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400685</wp:posOffset>
            </wp:positionV>
            <wp:extent cx="62922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85725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(Mark One)</w:t>
      </w:r>
    </w:p>
    <w:p>
      <w:pPr>
        <w:spacing w:after="0" w:line="123" w:lineRule="exact"/>
        <w:rPr>
          <w:sz w:val="24"/>
          <w:szCs w:val="24"/>
          <w:color w:val="auto"/>
        </w:rPr>
      </w:pPr>
    </w:p>
    <w:p>
      <w:pPr>
        <w:jc w:val="center"/>
        <w:ind w:left="3380" w:right="1220" w:hanging="2157"/>
        <w:spacing w:after="0" w:line="279" w:lineRule="auto"/>
        <w:tabs>
          <w:tab w:leader="none" w:pos="138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2021</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23" w:lineRule="exact"/>
        <w:rPr>
          <w:sz w:val="24"/>
          <w:szCs w:val="24"/>
          <w:color w:val="auto"/>
        </w:rPr>
      </w:pPr>
    </w:p>
    <w:p>
      <w:pPr>
        <w:jc w:val="center"/>
        <w:ind w:left="3480" w:right="1200" w:hanging="2263"/>
        <w:spacing w:after="0" w:line="279" w:lineRule="auto"/>
        <w:tabs>
          <w:tab w:leader="none" w:pos="1397"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 to ______.</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6340" w:type="dxa"/>
            <w:vAlign w:val="bottom"/>
          </w:tcPr>
          <w:p>
            <w:pPr>
              <w:jc w:val="center"/>
              <w:ind w:right="3505"/>
              <w:spacing w:after="0"/>
              <w:rPr>
                <w:sz w:val="20"/>
                <w:szCs w:val="20"/>
                <w:color w:val="auto"/>
              </w:rPr>
            </w:pPr>
            <w:r>
              <w:rPr>
                <w:rFonts w:ascii="Arial" w:cs="Arial" w:eastAsia="Arial" w:hAnsi="Arial"/>
                <w:sz w:val="14"/>
                <w:szCs w:val="14"/>
                <w:b w:val="1"/>
                <w:bCs w:val="1"/>
                <w:color w:val="auto"/>
                <w:w w:val="93"/>
              </w:rPr>
              <w:t>Commission File Number: 001-39532</w:t>
            </w:r>
          </w:p>
        </w:tc>
        <w:tc>
          <w:tcPr>
            <w:tcW w:w="0" w:type="dxa"/>
            <w:vAlign w:val="bottom"/>
          </w:tcPr>
          <w:p>
            <w:pPr>
              <w:spacing w:after="0"/>
              <w:rPr>
                <w:sz w:val="1"/>
                <w:szCs w:val="1"/>
                <w:color w:val="auto"/>
              </w:rPr>
            </w:pPr>
          </w:p>
        </w:tc>
      </w:tr>
      <w:tr>
        <w:trPr>
          <w:trHeight w:val="174"/>
        </w:trPr>
        <w:tc>
          <w:tcPr>
            <w:tcW w:w="3580" w:type="dxa"/>
            <w:vAlign w:val="bottom"/>
            <w:tcBorders>
              <w:bottom w:val="single" w:sz="8" w:color="auto"/>
            </w:tcBorders>
          </w:tcPr>
          <w:p>
            <w:pPr>
              <w:spacing w:after="0"/>
              <w:rPr>
                <w:sz w:val="15"/>
                <w:szCs w:val="15"/>
                <w:color w:val="auto"/>
              </w:rPr>
            </w:pPr>
          </w:p>
        </w:tc>
        <w:tc>
          <w:tcPr>
            <w:tcW w:w="6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3580" w:type="dxa"/>
            <w:vAlign w:val="bottom"/>
          </w:tcPr>
          <w:p>
            <w:pPr>
              <w:spacing w:after="0"/>
              <w:rPr>
                <w:sz w:val="24"/>
                <w:szCs w:val="24"/>
                <w:color w:val="auto"/>
              </w:rPr>
            </w:pPr>
          </w:p>
        </w:tc>
        <w:tc>
          <w:tcPr>
            <w:tcW w:w="6340" w:type="dxa"/>
            <w:vAlign w:val="bottom"/>
          </w:tcPr>
          <w:p>
            <w:pPr>
              <w:jc w:val="center"/>
              <w:ind w:right="3505"/>
              <w:spacing w:after="0"/>
              <w:rPr>
                <w:sz w:val="20"/>
                <w:szCs w:val="20"/>
                <w:color w:val="auto"/>
              </w:rPr>
            </w:pPr>
            <w:r>
              <w:rPr>
                <w:rFonts w:ascii="Arial" w:cs="Arial" w:eastAsia="Arial" w:hAnsi="Arial"/>
                <w:sz w:val="29"/>
                <w:szCs w:val="29"/>
                <w:b w:val="1"/>
                <w:bCs w:val="1"/>
                <w:color w:val="auto"/>
                <w:w w:val="91"/>
              </w:rPr>
              <w:t>Humacyte, Inc.</w:t>
            </w:r>
          </w:p>
        </w:tc>
        <w:tc>
          <w:tcPr>
            <w:tcW w:w="0" w:type="dxa"/>
            <w:vAlign w:val="bottom"/>
          </w:tcPr>
          <w:p>
            <w:pPr>
              <w:spacing w:after="0"/>
              <w:rPr>
                <w:sz w:val="1"/>
                <w:szCs w:val="1"/>
                <w:color w:val="auto"/>
              </w:rPr>
            </w:pPr>
          </w:p>
        </w:tc>
      </w:tr>
      <w:tr>
        <w:trPr>
          <w:trHeight w:val="182"/>
        </w:trPr>
        <w:tc>
          <w:tcPr>
            <w:tcW w:w="3580" w:type="dxa"/>
            <w:vAlign w:val="bottom"/>
          </w:tcPr>
          <w:p>
            <w:pPr>
              <w:spacing w:after="0"/>
              <w:rPr>
                <w:sz w:val="15"/>
                <w:szCs w:val="15"/>
                <w:color w:val="auto"/>
              </w:rPr>
            </w:pPr>
          </w:p>
        </w:tc>
        <w:tc>
          <w:tcPr>
            <w:tcW w:w="6340" w:type="dxa"/>
            <w:vAlign w:val="bottom"/>
          </w:tcPr>
          <w:p>
            <w:pPr>
              <w:jc w:val="center"/>
              <w:ind w:right="3505"/>
              <w:spacing w:after="0"/>
              <w:rPr>
                <w:sz w:val="20"/>
                <w:szCs w:val="20"/>
                <w:color w:val="auto"/>
              </w:rPr>
            </w:pPr>
            <w:r>
              <w:rPr>
                <w:rFonts w:ascii="Arial" w:cs="Arial" w:eastAsia="Arial" w:hAnsi="Arial"/>
                <w:sz w:val="13"/>
                <w:szCs w:val="13"/>
                <w:color w:val="auto"/>
                <w:w w:val="87"/>
              </w:rPr>
              <w:t>(Exact name of registrant as specified in its charter)</w:t>
            </w:r>
          </w:p>
        </w:tc>
        <w:tc>
          <w:tcPr>
            <w:tcW w:w="0" w:type="dxa"/>
            <w:vAlign w:val="bottom"/>
          </w:tcPr>
          <w:p>
            <w:pPr>
              <w:spacing w:after="0"/>
              <w:rPr>
                <w:sz w:val="1"/>
                <w:szCs w:val="1"/>
                <w:color w:val="auto"/>
              </w:rPr>
            </w:pPr>
          </w:p>
        </w:tc>
      </w:tr>
      <w:tr>
        <w:trPr>
          <w:trHeight w:val="111"/>
        </w:trPr>
        <w:tc>
          <w:tcPr>
            <w:tcW w:w="3580" w:type="dxa"/>
            <w:vAlign w:val="bottom"/>
            <w:tcBorders>
              <w:bottom w:val="single" w:sz="8" w:color="auto"/>
            </w:tcBorders>
          </w:tcPr>
          <w:p>
            <w:pPr>
              <w:spacing w:after="0"/>
              <w:rPr>
                <w:sz w:val="9"/>
                <w:szCs w:val="9"/>
                <w:color w:val="auto"/>
              </w:rPr>
            </w:pPr>
          </w:p>
        </w:tc>
        <w:tc>
          <w:tcPr>
            <w:tcW w:w="6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580" w:type="dxa"/>
            <w:vAlign w:val="bottom"/>
          </w:tcPr>
          <w:p>
            <w:pPr>
              <w:jc w:val="center"/>
              <w:ind w:left="1452"/>
              <w:spacing w:after="0"/>
              <w:rPr>
                <w:sz w:val="20"/>
                <w:szCs w:val="20"/>
                <w:color w:val="auto"/>
              </w:rPr>
            </w:pPr>
            <w:r>
              <w:rPr>
                <w:rFonts w:ascii="Arial" w:cs="Arial" w:eastAsia="Arial" w:hAnsi="Arial"/>
                <w:sz w:val="14"/>
                <w:szCs w:val="14"/>
                <w:b w:val="1"/>
                <w:bCs w:val="1"/>
                <w:color w:val="auto"/>
                <w:w w:val="94"/>
              </w:rPr>
              <w:t>Delaware</w:t>
            </w:r>
          </w:p>
        </w:tc>
        <w:tc>
          <w:tcPr>
            <w:tcW w:w="6340" w:type="dxa"/>
            <w:vAlign w:val="bottom"/>
          </w:tcPr>
          <w:p>
            <w:pPr>
              <w:jc w:val="right"/>
              <w:ind w:right="1825"/>
              <w:spacing w:after="0"/>
              <w:rPr>
                <w:sz w:val="20"/>
                <w:szCs w:val="20"/>
                <w:color w:val="auto"/>
              </w:rPr>
            </w:pPr>
            <w:r>
              <w:rPr>
                <w:rFonts w:ascii="Arial" w:cs="Arial" w:eastAsia="Arial" w:hAnsi="Arial"/>
                <w:sz w:val="14"/>
                <w:szCs w:val="14"/>
                <w:b w:val="1"/>
                <w:bCs w:val="1"/>
                <w:color w:val="auto"/>
              </w:rPr>
              <w:t>85-1763759</w:t>
            </w:r>
          </w:p>
        </w:tc>
        <w:tc>
          <w:tcPr>
            <w:tcW w:w="0" w:type="dxa"/>
            <w:vAlign w:val="bottom"/>
          </w:tcPr>
          <w:p>
            <w:pPr>
              <w:spacing w:after="0"/>
              <w:rPr>
                <w:sz w:val="1"/>
                <w:szCs w:val="1"/>
                <w:color w:val="auto"/>
              </w:rPr>
            </w:pPr>
          </w:p>
        </w:tc>
      </w:tr>
      <w:tr>
        <w:trPr>
          <w:trHeight w:val="135"/>
        </w:trPr>
        <w:tc>
          <w:tcPr>
            <w:tcW w:w="3580" w:type="dxa"/>
            <w:vAlign w:val="bottom"/>
          </w:tcPr>
          <w:p>
            <w:pPr>
              <w:jc w:val="center"/>
              <w:ind w:left="1412"/>
              <w:spacing w:after="0" w:line="135" w:lineRule="exact"/>
              <w:rPr>
                <w:sz w:val="20"/>
                <w:szCs w:val="20"/>
                <w:color w:val="auto"/>
              </w:rPr>
            </w:pPr>
            <w:r>
              <w:rPr>
                <w:rFonts w:ascii="Arial" w:cs="Arial" w:eastAsia="Arial" w:hAnsi="Arial"/>
                <w:sz w:val="13"/>
                <w:szCs w:val="13"/>
                <w:color w:val="auto"/>
                <w:w w:val="89"/>
              </w:rPr>
              <w:t>(State or other jurisdiction of</w:t>
            </w:r>
          </w:p>
        </w:tc>
        <w:tc>
          <w:tcPr>
            <w:tcW w:w="6340" w:type="dxa"/>
            <w:vAlign w:val="bottom"/>
          </w:tcPr>
          <w:p>
            <w:pPr>
              <w:jc w:val="center"/>
              <w:ind w:left="1765"/>
              <w:spacing w:after="0" w:line="135" w:lineRule="exact"/>
              <w:rPr>
                <w:sz w:val="20"/>
                <w:szCs w:val="20"/>
                <w:color w:val="auto"/>
              </w:rPr>
            </w:pPr>
            <w:r>
              <w:rPr>
                <w:rFonts w:ascii="Arial" w:cs="Arial" w:eastAsia="Arial" w:hAnsi="Arial"/>
                <w:sz w:val="13"/>
                <w:szCs w:val="13"/>
                <w:color w:val="auto"/>
                <w:w w:val="90"/>
              </w:rPr>
              <w:t>(I.R.S. Employer</w:t>
            </w:r>
          </w:p>
        </w:tc>
        <w:tc>
          <w:tcPr>
            <w:tcW w:w="0" w:type="dxa"/>
            <w:vAlign w:val="bottom"/>
          </w:tcPr>
          <w:p>
            <w:pPr>
              <w:spacing w:after="0"/>
              <w:rPr>
                <w:sz w:val="1"/>
                <w:szCs w:val="1"/>
                <w:color w:val="auto"/>
              </w:rPr>
            </w:pPr>
          </w:p>
        </w:tc>
      </w:tr>
      <w:tr>
        <w:trPr>
          <w:trHeight w:val="160"/>
        </w:trPr>
        <w:tc>
          <w:tcPr>
            <w:tcW w:w="3580" w:type="dxa"/>
            <w:vAlign w:val="bottom"/>
          </w:tcPr>
          <w:p>
            <w:pPr>
              <w:jc w:val="center"/>
              <w:ind w:left="1432"/>
              <w:spacing w:after="0"/>
              <w:rPr>
                <w:sz w:val="20"/>
                <w:szCs w:val="20"/>
                <w:color w:val="auto"/>
              </w:rPr>
            </w:pPr>
            <w:r>
              <w:rPr>
                <w:rFonts w:ascii="Arial" w:cs="Arial" w:eastAsia="Arial" w:hAnsi="Arial"/>
                <w:sz w:val="13"/>
                <w:szCs w:val="13"/>
                <w:color w:val="auto"/>
                <w:w w:val="89"/>
              </w:rPr>
              <w:t>incorporation or organization)</w:t>
            </w:r>
          </w:p>
        </w:tc>
        <w:tc>
          <w:tcPr>
            <w:tcW w:w="6340" w:type="dxa"/>
            <w:vAlign w:val="bottom"/>
          </w:tcPr>
          <w:p>
            <w:pPr>
              <w:jc w:val="center"/>
              <w:ind w:left="1785"/>
              <w:spacing w:after="0"/>
              <w:rPr>
                <w:sz w:val="20"/>
                <w:szCs w:val="20"/>
                <w:color w:val="auto"/>
              </w:rPr>
            </w:pPr>
            <w:r>
              <w:rPr>
                <w:rFonts w:ascii="Arial" w:cs="Arial" w:eastAsia="Arial" w:hAnsi="Arial"/>
                <w:sz w:val="13"/>
                <w:szCs w:val="13"/>
                <w:color w:val="auto"/>
                <w:w w:val="91"/>
              </w:rPr>
              <w:t>Identification Number)</w:t>
            </w:r>
          </w:p>
        </w:tc>
        <w:tc>
          <w:tcPr>
            <w:tcW w:w="0" w:type="dxa"/>
            <w:vAlign w:val="bottom"/>
          </w:tcPr>
          <w:p>
            <w:pPr>
              <w:spacing w:after="0"/>
              <w:rPr>
                <w:sz w:val="1"/>
                <w:szCs w:val="1"/>
                <w:color w:val="auto"/>
              </w:rPr>
            </w:pPr>
          </w:p>
        </w:tc>
      </w:tr>
      <w:tr>
        <w:trPr>
          <w:trHeight w:val="236"/>
        </w:trPr>
        <w:tc>
          <w:tcPr>
            <w:tcW w:w="3580" w:type="dxa"/>
            <w:vAlign w:val="bottom"/>
          </w:tcPr>
          <w:p>
            <w:pPr>
              <w:jc w:val="center"/>
              <w:ind w:left="1432"/>
              <w:spacing w:after="0"/>
              <w:rPr>
                <w:sz w:val="20"/>
                <w:szCs w:val="20"/>
                <w:color w:val="auto"/>
              </w:rPr>
            </w:pPr>
            <w:r>
              <w:rPr>
                <w:rFonts w:ascii="Arial" w:cs="Arial" w:eastAsia="Arial" w:hAnsi="Arial"/>
                <w:sz w:val="14"/>
                <w:szCs w:val="14"/>
                <w:b w:val="1"/>
                <w:bCs w:val="1"/>
                <w:color w:val="auto"/>
                <w:w w:val="94"/>
              </w:rPr>
              <w:t>2525 East North Carolina</w:t>
            </w:r>
          </w:p>
        </w:tc>
        <w:tc>
          <w:tcPr>
            <w:tcW w:w="6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580" w:type="dxa"/>
            <w:vAlign w:val="bottom"/>
          </w:tcPr>
          <w:p>
            <w:pPr>
              <w:jc w:val="center"/>
              <w:ind w:left="1432"/>
              <w:spacing w:after="0" w:line="149" w:lineRule="exact"/>
              <w:rPr>
                <w:sz w:val="20"/>
                <w:szCs w:val="20"/>
                <w:color w:val="auto"/>
              </w:rPr>
            </w:pPr>
            <w:r>
              <w:rPr>
                <w:rFonts w:ascii="Arial" w:cs="Arial" w:eastAsia="Arial" w:hAnsi="Arial"/>
                <w:sz w:val="14"/>
                <w:szCs w:val="14"/>
                <w:b w:val="1"/>
                <w:bCs w:val="1"/>
                <w:color w:val="auto"/>
                <w:w w:val="93"/>
              </w:rPr>
              <w:t>Highway 54</w:t>
            </w:r>
          </w:p>
        </w:tc>
        <w:tc>
          <w:tcPr>
            <w:tcW w:w="6340" w:type="dxa"/>
            <w:vAlign w:val="bottom"/>
            <w:vMerge w:val="restart"/>
          </w:tcPr>
          <w:p>
            <w:pPr>
              <w:jc w:val="right"/>
              <w:ind w:right="1985"/>
              <w:spacing w:after="0"/>
              <w:rPr>
                <w:sz w:val="20"/>
                <w:szCs w:val="20"/>
                <w:color w:val="auto"/>
              </w:rPr>
            </w:pPr>
            <w:r>
              <w:rPr>
                <w:rFonts w:ascii="Arial" w:cs="Arial" w:eastAsia="Arial" w:hAnsi="Arial"/>
                <w:sz w:val="14"/>
                <w:szCs w:val="14"/>
                <w:b w:val="1"/>
                <w:bCs w:val="1"/>
                <w:color w:val="auto"/>
              </w:rPr>
              <w:t>27713</w:t>
            </w:r>
          </w:p>
        </w:tc>
        <w:tc>
          <w:tcPr>
            <w:tcW w:w="0" w:type="dxa"/>
            <w:vAlign w:val="bottom"/>
          </w:tcPr>
          <w:p>
            <w:pPr>
              <w:spacing w:after="0"/>
              <w:rPr>
                <w:sz w:val="1"/>
                <w:szCs w:val="1"/>
                <w:color w:val="auto"/>
              </w:rPr>
            </w:pPr>
          </w:p>
        </w:tc>
      </w:tr>
      <w:tr>
        <w:trPr>
          <w:trHeight w:val="157"/>
        </w:trPr>
        <w:tc>
          <w:tcPr>
            <w:tcW w:w="3580" w:type="dxa"/>
            <w:vAlign w:val="bottom"/>
          </w:tcPr>
          <w:p>
            <w:pPr>
              <w:jc w:val="center"/>
              <w:ind w:left="1432"/>
              <w:spacing w:after="0" w:line="157" w:lineRule="exact"/>
              <w:rPr>
                <w:sz w:val="20"/>
                <w:szCs w:val="20"/>
                <w:color w:val="auto"/>
              </w:rPr>
            </w:pPr>
            <w:r>
              <w:rPr>
                <w:rFonts w:ascii="Arial" w:cs="Arial" w:eastAsia="Arial" w:hAnsi="Arial"/>
                <w:sz w:val="14"/>
                <w:szCs w:val="14"/>
                <w:b w:val="1"/>
                <w:bCs w:val="1"/>
                <w:color w:val="auto"/>
                <w:w w:val="98"/>
              </w:rPr>
              <w:t>Durham, NC</w:t>
            </w:r>
          </w:p>
        </w:tc>
        <w:tc>
          <w:tcPr>
            <w:tcW w:w="6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80" w:type="dxa"/>
            <w:vAlign w:val="bottom"/>
          </w:tcPr>
          <w:p>
            <w:pPr>
              <w:jc w:val="center"/>
              <w:ind w:left="1432"/>
              <w:spacing w:after="0"/>
              <w:rPr>
                <w:sz w:val="20"/>
                <w:szCs w:val="20"/>
                <w:color w:val="auto"/>
              </w:rPr>
            </w:pPr>
            <w:r>
              <w:rPr>
                <w:rFonts w:ascii="Arial" w:cs="Arial" w:eastAsia="Arial" w:hAnsi="Arial"/>
                <w:sz w:val="13"/>
                <w:szCs w:val="13"/>
                <w:color w:val="auto"/>
                <w:w w:val="89"/>
              </w:rPr>
              <w:t>(Address of principal executive offices)</w:t>
            </w:r>
          </w:p>
        </w:tc>
        <w:tc>
          <w:tcPr>
            <w:tcW w:w="6340" w:type="dxa"/>
            <w:vAlign w:val="bottom"/>
          </w:tcPr>
          <w:p>
            <w:pPr>
              <w:jc w:val="center"/>
              <w:ind w:left="1785"/>
              <w:spacing w:after="0"/>
              <w:rPr>
                <w:sz w:val="20"/>
                <w:szCs w:val="20"/>
                <w:color w:val="auto"/>
              </w:rPr>
            </w:pPr>
            <w:r>
              <w:rPr>
                <w:rFonts w:ascii="Arial" w:cs="Arial" w:eastAsia="Arial" w:hAnsi="Arial"/>
                <w:sz w:val="13"/>
                <w:szCs w:val="13"/>
                <w:color w:val="auto"/>
                <w:w w:val="88"/>
              </w:rPr>
              <w:t>(Zip code)</w:t>
            </w:r>
          </w:p>
        </w:tc>
        <w:tc>
          <w:tcPr>
            <w:tcW w:w="0" w:type="dxa"/>
            <w:vAlign w:val="bottom"/>
          </w:tcPr>
          <w:p>
            <w:pPr>
              <w:spacing w:after="0"/>
              <w:rPr>
                <w:sz w:val="1"/>
                <w:szCs w:val="1"/>
                <w:color w:val="auto"/>
              </w:rPr>
            </w:pPr>
          </w:p>
        </w:tc>
      </w:tr>
      <w:tr>
        <w:trPr>
          <w:trHeight w:val="272"/>
        </w:trPr>
        <w:tc>
          <w:tcPr>
            <w:tcW w:w="3580" w:type="dxa"/>
            <w:vAlign w:val="bottom"/>
          </w:tcPr>
          <w:p>
            <w:pPr>
              <w:spacing w:after="0"/>
              <w:rPr>
                <w:sz w:val="23"/>
                <w:szCs w:val="23"/>
                <w:color w:val="auto"/>
              </w:rPr>
            </w:pPr>
          </w:p>
        </w:tc>
        <w:tc>
          <w:tcPr>
            <w:tcW w:w="6340" w:type="dxa"/>
            <w:vAlign w:val="bottom"/>
          </w:tcPr>
          <w:p>
            <w:pPr>
              <w:jc w:val="center"/>
              <w:ind w:right="3445"/>
              <w:spacing w:after="0"/>
              <w:rPr>
                <w:sz w:val="20"/>
                <w:szCs w:val="20"/>
                <w:color w:val="auto"/>
              </w:rPr>
            </w:pPr>
            <w:r>
              <w:rPr>
                <w:rFonts w:ascii="Arial" w:cs="Arial" w:eastAsia="Arial" w:hAnsi="Arial"/>
                <w:sz w:val="14"/>
                <w:szCs w:val="14"/>
                <w:b w:val="1"/>
                <w:bCs w:val="1"/>
                <w:color w:val="auto"/>
                <w:w w:val="93"/>
              </w:rPr>
              <w:t>(919) 313-9633</w:t>
            </w:r>
          </w:p>
        </w:tc>
        <w:tc>
          <w:tcPr>
            <w:tcW w:w="0" w:type="dxa"/>
            <w:vAlign w:val="bottom"/>
          </w:tcPr>
          <w:p>
            <w:pPr>
              <w:spacing w:after="0"/>
              <w:rPr>
                <w:sz w:val="1"/>
                <w:szCs w:val="1"/>
                <w:color w:val="auto"/>
              </w:rPr>
            </w:pPr>
          </w:p>
        </w:tc>
      </w:tr>
      <w:tr>
        <w:trPr>
          <w:trHeight w:val="160"/>
        </w:trPr>
        <w:tc>
          <w:tcPr>
            <w:tcW w:w="3580" w:type="dxa"/>
            <w:vAlign w:val="bottom"/>
          </w:tcPr>
          <w:p>
            <w:pPr>
              <w:spacing w:after="0"/>
              <w:rPr>
                <w:sz w:val="13"/>
                <w:szCs w:val="13"/>
                <w:color w:val="auto"/>
              </w:rPr>
            </w:pPr>
          </w:p>
        </w:tc>
        <w:tc>
          <w:tcPr>
            <w:tcW w:w="6340" w:type="dxa"/>
            <w:vAlign w:val="bottom"/>
          </w:tcPr>
          <w:p>
            <w:pPr>
              <w:jc w:val="center"/>
              <w:ind w:right="3485"/>
              <w:spacing w:after="0"/>
              <w:rPr>
                <w:sz w:val="20"/>
                <w:szCs w:val="20"/>
                <w:color w:val="auto"/>
              </w:rPr>
            </w:pPr>
            <w:r>
              <w:rPr>
                <w:rFonts w:ascii="Arial" w:cs="Arial" w:eastAsia="Arial" w:hAnsi="Arial"/>
                <w:sz w:val="13"/>
                <w:szCs w:val="13"/>
                <w:color w:val="auto"/>
                <w:w w:val="87"/>
              </w:rPr>
              <w:t>(Registrant’s telephone number, including area code)</w:t>
            </w:r>
          </w:p>
        </w:tc>
        <w:tc>
          <w:tcPr>
            <w:tcW w:w="0" w:type="dxa"/>
            <w:vAlign w:val="bottom"/>
          </w:tcPr>
          <w:p>
            <w:pPr>
              <w:spacing w:after="0"/>
              <w:rPr>
                <w:sz w:val="1"/>
                <w:szCs w:val="1"/>
                <w:color w:val="auto"/>
              </w:rPr>
            </w:pPr>
          </w:p>
        </w:tc>
      </w:tr>
    </w:tbl>
    <w:p>
      <w:pPr>
        <w:spacing w:after="0" w:line="7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76835</wp:posOffset>
            </wp:positionV>
            <wp:extent cx="6292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380" w:type="dxa"/>
            <w:vAlign w:val="bottom"/>
            <w:gridSpan w:val="3"/>
          </w:tcPr>
          <w:p>
            <w:pPr>
              <w:spacing w:after="0"/>
              <w:rPr>
                <w:sz w:val="20"/>
                <w:szCs w:val="20"/>
                <w:color w:val="auto"/>
              </w:rPr>
            </w:pPr>
            <w:r>
              <w:rPr>
                <w:rFonts w:ascii="Arial" w:cs="Arial" w:eastAsia="Arial" w:hAnsi="Arial"/>
                <w:sz w:val="14"/>
                <w:szCs w:val="14"/>
                <w:color w:val="auto"/>
              </w:rPr>
              <w:t>Securities registered pursuant to 12(b) of the Act:</w:t>
            </w:r>
          </w:p>
        </w:tc>
        <w:tc>
          <w:tcPr>
            <w:tcW w:w="2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tcPr>
          <w:p>
            <w:pPr>
              <w:spacing w:after="0"/>
              <w:rPr>
                <w:sz w:val="15"/>
                <w:szCs w:val="15"/>
                <w:color w:val="auto"/>
              </w:rPr>
            </w:pPr>
          </w:p>
        </w:tc>
      </w:tr>
      <w:tr>
        <w:trPr>
          <w:trHeight w:val="295"/>
        </w:trPr>
        <w:tc>
          <w:tcPr>
            <w:tcW w:w="20" w:type="dxa"/>
            <w:vAlign w:val="bottom"/>
          </w:tcPr>
          <w:p>
            <w:pPr>
              <w:spacing w:after="0"/>
              <w:rPr>
                <w:sz w:val="24"/>
                <w:szCs w:val="24"/>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Title of each class</w:t>
            </w:r>
          </w:p>
        </w:tc>
        <w:tc>
          <w:tcPr>
            <w:tcW w:w="2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Trading Symbol(s)</w:t>
            </w: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19"/>
        </w:trPr>
        <w:tc>
          <w:tcPr>
            <w:tcW w:w="20" w:type="dxa"/>
            <w:vAlign w:val="bottom"/>
          </w:tcPr>
          <w:p>
            <w:pPr>
              <w:spacing w:after="0"/>
              <w:rPr>
                <w:sz w:val="10"/>
                <w:szCs w:val="10"/>
                <w:color w:val="auto"/>
              </w:rPr>
            </w:pPr>
          </w:p>
        </w:tc>
        <w:tc>
          <w:tcPr>
            <w:tcW w:w="32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Common Stock, par value $0.0001 per share</w:t>
            </w:r>
          </w:p>
        </w:tc>
        <w:tc>
          <w:tcPr>
            <w:tcW w:w="160" w:type="dxa"/>
            <w:vAlign w:val="bottom"/>
          </w:tcPr>
          <w:p>
            <w:pPr>
              <w:spacing w:after="0"/>
              <w:rPr>
                <w:sz w:val="10"/>
                <w:szCs w:val="10"/>
                <w:color w:val="auto"/>
              </w:rPr>
            </w:pPr>
          </w:p>
        </w:tc>
        <w:tc>
          <w:tcPr>
            <w:tcW w:w="2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HUMA</w:t>
            </w:r>
          </w:p>
        </w:tc>
        <w:tc>
          <w:tcPr>
            <w:tcW w:w="160" w:type="dxa"/>
            <w:vAlign w:val="bottom"/>
          </w:tcPr>
          <w:p>
            <w:pPr>
              <w:spacing w:after="0"/>
              <w:rPr>
                <w:sz w:val="10"/>
                <w:szCs w:val="10"/>
                <w:color w:val="auto"/>
              </w:rPr>
            </w:pPr>
          </w:p>
        </w:tc>
        <w:tc>
          <w:tcPr>
            <w:tcW w:w="3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The Nasdaq Stock Market LLC</w:t>
            </w:r>
          </w:p>
        </w:tc>
      </w:tr>
      <w:tr>
        <w:trPr>
          <w:trHeight w:val="149"/>
        </w:trPr>
        <w:tc>
          <w:tcPr>
            <w:tcW w:w="20" w:type="dxa"/>
            <w:vAlign w:val="bottom"/>
          </w:tcPr>
          <w:p>
            <w:pPr>
              <w:spacing w:after="0"/>
              <w:rPr>
                <w:sz w:val="12"/>
                <w:szCs w:val="12"/>
                <w:color w:val="auto"/>
              </w:rPr>
            </w:pPr>
          </w:p>
        </w:tc>
        <w:tc>
          <w:tcPr>
            <w:tcW w:w="3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Redeemable Warrants, each whole warrant</w:t>
            </w:r>
          </w:p>
        </w:tc>
        <w:tc>
          <w:tcPr>
            <w:tcW w:w="2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HUMAW</w:t>
            </w: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The Nasdaq Stock Market LLC</w:t>
            </w:r>
          </w:p>
        </w:tc>
      </w:tr>
      <w:tr>
        <w:trPr>
          <w:trHeight w:val="148"/>
        </w:trPr>
        <w:tc>
          <w:tcPr>
            <w:tcW w:w="20" w:type="dxa"/>
            <w:vAlign w:val="bottom"/>
          </w:tcPr>
          <w:p>
            <w:pPr>
              <w:spacing w:after="0"/>
              <w:rPr>
                <w:sz w:val="12"/>
                <w:szCs w:val="12"/>
                <w:color w:val="auto"/>
              </w:rPr>
            </w:pPr>
          </w:p>
        </w:tc>
        <w:tc>
          <w:tcPr>
            <w:tcW w:w="3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exercisable for one share of Common Stock at an</w:t>
            </w:r>
          </w:p>
        </w:tc>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2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3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exercise price of $11.50</w:t>
            </w:r>
          </w:p>
        </w:tc>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20" w:type="dxa"/>
            <w:vAlign w:val="bottom"/>
          </w:tcPr>
          <w:p>
            <w:pPr>
              <w:spacing w:after="0"/>
              <w:rPr>
                <w:sz w:val="16"/>
                <w:szCs w:val="16"/>
                <w:color w:val="auto"/>
              </w:rPr>
            </w:pPr>
          </w:p>
        </w:tc>
      </w:tr>
    </w:tbl>
    <w:p>
      <w:pPr>
        <w:spacing w:after="0" w:line="88" w:lineRule="exact"/>
        <w:rPr>
          <w:sz w:val="24"/>
          <w:szCs w:val="24"/>
          <w:color w:val="auto"/>
        </w:rPr>
      </w:pPr>
    </w:p>
    <w:p>
      <w:pPr>
        <w:jc w:val="both"/>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6" w:lineRule="exact"/>
        <w:rPr>
          <w:sz w:val="24"/>
          <w:szCs w:val="24"/>
          <w:color w:val="auto"/>
        </w:rPr>
      </w:pPr>
    </w:p>
    <w:p>
      <w:pPr>
        <w:jc w:val="both"/>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5" w:lineRule="exact"/>
        <w:rPr>
          <w:sz w:val="24"/>
          <w:szCs w:val="24"/>
          <w:color w:val="auto"/>
        </w:rPr>
      </w:pPr>
    </w:p>
    <w:p>
      <w:pPr>
        <w:jc w:val="both"/>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88" w:lineRule="exact"/>
        <w:rPr>
          <w:sz w:val="24"/>
          <w:szCs w:val="24"/>
          <w:color w:val="auto"/>
        </w:rPr>
      </w:pPr>
    </w:p>
    <w:p>
      <w:pPr>
        <w:ind w:left="2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jc w:val="center"/>
        <w:ind w:right="382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4240" w:space="720"/>
            <w:col w:w="4960"/>
          </w:cols>
          <w:pgMar w:left="980" w:top="665" w:right="999" w:bottom="1440" w:gutter="0" w:footer="0" w:header="0"/>
          <w:type w:val="continuous"/>
        </w:sectPr>
      </w:pPr>
    </w:p>
    <w:p>
      <w:pPr>
        <w:ind w:left="2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22" w:lineRule="exact"/>
        <w:rPr>
          <w:sz w:val="24"/>
          <w:szCs w:val="24"/>
          <w:color w:val="auto"/>
        </w:rPr>
      </w:pPr>
    </w:p>
    <w:p>
      <w:pPr>
        <w:sectPr>
          <w:pgSz w:w="11900" w:h="16838" w:orient="portrait"/>
          <w:cols w:equalWidth="0" w:num="2">
            <w:col w:w="4240" w:space="720"/>
            <w:col w:w="4960"/>
          </w:cols>
          <w:pgMar w:left="980" w:top="665" w:right="999" w:bottom="1440" w:gutter="0" w:footer="0" w:header="0"/>
          <w:type w:val="continuous"/>
        </w:sectPr>
      </w:pPr>
    </w:p>
    <w:p>
      <w:pPr>
        <w:ind w:right="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2" w:lineRule="exact"/>
        <w:rPr>
          <w:sz w:val="24"/>
          <w:szCs w:val="24"/>
          <w:color w:val="auto"/>
        </w:rPr>
      </w:pPr>
    </w:p>
    <w:p>
      <w:pPr>
        <w:ind w:right="2580"/>
        <w:spacing w:after="0" w:line="247"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November 4, 2021, 103,003,384 shares of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393700</wp:posOffset>
            </wp:positionV>
            <wp:extent cx="629221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020" w:type="dxa"/>
            <w:vAlign w:val="bottom"/>
            <w:gridSpan w:val="2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00" w:type="dxa"/>
            <w:vAlign w:val="bottom"/>
          </w:tcPr>
          <w:p>
            <w:pPr>
              <w:spacing w:after="0"/>
              <w:rPr>
                <w:sz w:val="17"/>
                <w:szCs w:val="17"/>
                <w:color w:val="auto"/>
              </w:rPr>
            </w:pPr>
          </w:p>
        </w:tc>
      </w:tr>
      <w:tr>
        <w:trPr>
          <w:trHeight w:val="799"/>
        </w:trPr>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80" w:type="dxa"/>
            <w:vAlign w:val="bottom"/>
            <w:gridSpan w:val="9"/>
          </w:tcPr>
          <w:p>
            <w:pPr>
              <w:jc w:val="center"/>
              <w:ind w:right="2320"/>
              <w:spacing w:after="0"/>
              <w:rPr>
                <w:sz w:val="20"/>
                <w:szCs w:val="20"/>
                <w:color w:val="auto"/>
              </w:rPr>
            </w:pPr>
            <w:r>
              <w:rPr>
                <w:rFonts w:ascii="Arial" w:cs="Arial" w:eastAsia="Arial" w:hAnsi="Arial"/>
                <w:sz w:val="18"/>
                <w:szCs w:val="18"/>
                <w:b w:val="1"/>
                <w:bCs w:val="1"/>
                <w:color w:val="auto"/>
                <w:w w:val="92"/>
              </w:rPr>
              <w:t>Humacyte, Inc.</w:t>
            </w:r>
          </w:p>
        </w:tc>
        <w:tc>
          <w:tcPr>
            <w:tcW w:w="9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9"/>
          </w:tcPr>
          <w:p>
            <w:pPr>
              <w:jc w:val="center"/>
              <w:ind w:right="2340"/>
              <w:spacing w:after="0"/>
              <w:rPr>
                <w:sz w:val="20"/>
                <w:szCs w:val="20"/>
                <w:color w:val="auto"/>
              </w:rPr>
            </w:pPr>
            <w:r>
              <w:rPr>
                <w:rFonts w:ascii="Arial" w:cs="Arial" w:eastAsia="Arial" w:hAnsi="Arial"/>
                <w:sz w:val="18"/>
                <w:szCs w:val="18"/>
                <w:b w:val="1"/>
                <w:bCs w:val="1"/>
                <w:color w:val="auto"/>
                <w:w w:val="93"/>
              </w:rPr>
              <w:t>Quarterly Report on Form 10-Q</w:t>
            </w:r>
          </w:p>
        </w:tc>
        <w:tc>
          <w:tcPr>
            <w:tcW w:w="9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9"/>
          </w:tcPr>
          <w:p>
            <w:pPr>
              <w:jc w:val="center"/>
              <w:ind w:right="2340"/>
              <w:spacing w:after="0"/>
              <w:rPr>
                <w:sz w:val="20"/>
                <w:szCs w:val="20"/>
                <w:color w:val="auto"/>
              </w:rPr>
            </w:pPr>
            <w:r>
              <w:rPr>
                <w:rFonts w:ascii="Arial" w:cs="Arial" w:eastAsia="Arial" w:hAnsi="Arial"/>
                <w:sz w:val="18"/>
                <w:szCs w:val="18"/>
                <w:b w:val="1"/>
                <w:bCs w:val="1"/>
                <w:color w:val="auto"/>
                <w:w w:val="89"/>
              </w:rPr>
              <w:t>Table of Contents</w:t>
            </w:r>
          </w:p>
        </w:tc>
        <w:tc>
          <w:tcPr>
            <w:tcW w:w="9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Page No.</w:t>
            </w:r>
          </w:p>
        </w:tc>
      </w:tr>
      <w:tr>
        <w:trPr>
          <w:trHeight w:val="216"/>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100" w:type="dxa"/>
            <w:vAlign w:val="bottom"/>
            <w:gridSpan w:val="20"/>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9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10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10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10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Loss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2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Redeemable Convertible Preferred Stock and Stockholders’</w:t>
              </w:r>
            </w:hyperlink>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100" w:type="dxa"/>
            <w:vAlign w:val="bottom"/>
            <w:gridSpan w:val="20"/>
            <w:shd w:val="clear" w:color="auto" w:fill="CCEEFF"/>
          </w:tcPr>
          <w:p>
            <w:pPr>
              <w:ind w:left="1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Equity (Deficit) (unaudited)</w:t>
              </w:r>
            </w:hyperlink>
          </w:p>
        </w:tc>
        <w:tc>
          <w:tcPr>
            <w:tcW w:w="9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100" w:type="dxa"/>
            <w:vAlign w:val="bottom"/>
            <w:gridSpan w:val="20"/>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100" w:type="dxa"/>
            <w:vAlign w:val="bottom"/>
            <w:gridSpan w:val="20"/>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8100" w:type="dxa"/>
            <w:vAlign w:val="bottom"/>
            <w:gridSpan w:val="20"/>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Item 3.</w:t>
              </w:r>
            </w:hyperlink>
          </w:p>
        </w:tc>
        <w:tc>
          <w:tcPr>
            <w:tcW w:w="8100" w:type="dxa"/>
            <w:vAlign w:val="bottom"/>
            <w:gridSpan w:val="20"/>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Item 4.</w:t>
              </w:r>
            </w:hyperlink>
          </w:p>
        </w:tc>
        <w:tc>
          <w:tcPr>
            <w:tcW w:w="8100" w:type="dxa"/>
            <w:vAlign w:val="bottom"/>
            <w:gridSpan w:val="20"/>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100" w:type="dxa"/>
            <w:vAlign w:val="bottom"/>
            <w:gridSpan w:val="20"/>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9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1.</w:t>
              </w:r>
            </w:hyperlink>
          </w:p>
        </w:tc>
        <w:tc>
          <w:tcPr>
            <w:tcW w:w="8100" w:type="dxa"/>
            <w:vAlign w:val="bottom"/>
            <w:gridSpan w:val="20"/>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1A.</w:t>
              </w:r>
            </w:hyperlink>
          </w:p>
        </w:tc>
        <w:tc>
          <w:tcPr>
            <w:tcW w:w="8100" w:type="dxa"/>
            <w:vAlign w:val="bottom"/>
            <w:gridSpan w:val="20"/>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2.</w:t>
              </w:r>
            </w:hyperlink>
          </w:p>
        </w:tc>
        <w:tc>
          <w:tcPr>
            <w:tcW w:w="8100" w:type="dxa"/>
            <w:vAlign w:val="bottom"/>
            <w:gridSpan w:val="20"/>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3.</w:t>
              </w:r>
            </w:hyperlink>
          </w:p>
        </w:tc>
        <w:tc>
          <w:tcPr>
            <w:tcW w:w="8100" w:type="dxa"/>
            <w:vAlign w:val="bottom"/>
            <w:gridSpan w:val="20"/>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Defaults Upon Senior Securities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4.</w:t>
              </w:r>
            </w:hyperlink>
          </w:p>
        </w:tc>
        <w:tc>
          <w:tcPr>
            <w:tcW w:w="8100" w:type="dxa"/>
            <w:vAlign w:val="bottom"/>
            <w:gridSpan w:val="20"/>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Mine Safety Disclosures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5.</w:t>
              </w:r>
            </w:hyperlink>
          </w:p>
        </w:tc>
        <w:tc>
          <w:tcPr>
            <w:tcW w:w="8100" w:type="dxa"/>
            <w:vAlign w:val="bottom"/>
            <w:gridSpan w:val="20"/>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Other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6.</w:t>
              </w:r>
            </w:hyperlink>
          </w:p>
        </w:tc>
        <w:tc>
          <w:tcPr>
            <w:tcW w:w="8100" w:type="dxa"/>
            <w:vAlign w:val="bottom"/>
            <w:gridSpan w:val="20"/>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9020" w:type="dxa"/>
            <w:vAlign w:val="bottom"/>
            <w:gridSpan w:val="24"/>
            <w:shd w:val="clear" w:color="auto" w:fill="CCEEFF"/>
          </w:tcPr>
          <w:p>
            <w:pPr>
              <w:ind w:left="20"/>
              <w:spacing w:after="0" w:line="17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SIGNATURES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4"/>
              </w:rPr>
              <w:t>September 30,</w:t>
            </w:r>
          </w:p>
        </w:tc>
        <w:tc>
          <w:tcPr>
            <w:tcW w:w="8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b w:val="1"/>
                <w:bCs w:val="1"/>
                <w:color w:val="auto"/>
                <w:w w:val="96"/>
              </w:rPr>
              <w:t>2021</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6"/>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3"/>
                <w:szCs w:val="13"/>
                <w:color w:val="auto"/>
              </w:rPr>
              <w:t>Current assets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cash equivalents</w:t>
            </w:r>
          </w:p>
        </w:tc>
        <w:tc>
          <w:tcPr>
            <w:tcW w:w="36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240,449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ind w:left="100"/>
              <w:spacing w:after="0"/>
              <w:rPr>
                <w:sz w:val="20"/>
                <w:szCs w:val="20"/>
                <w:color w:val="auto"/>
              </w:rPr>
            </w:pPr>
            <w:r>
              <w:rPr>
                <w:rFonts w:ascii="Arial" w:cs="Arial" w:eastAsia="Arial" w:hAnsi="Arial"/>
                <w:sz w:val="13"/>
                <w:szCs w:val="13"/>
                <w:color w:val="auto"/>
              </w:rPr>
              <w:t>Accounts receivable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Prepaid expenses</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3,490</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20" w:type="dxa"/>
            <w:vAlign w:val="bottom"/>
            <w:gridSpan w:val="2"/>
          </w:tcPr>
          <w:p>
            <w:pPr>
              <w:spacing w:after="0" w:line="142" w:lineRule="exact"/>
              <w:rPr>
                <w:sz w:val="20"/>
                <w:szCs w:val="20"/>
                <w:color w:val="auto"/>
              </w:rPr>
            </w:pPr>
            <w:r>
              <w:rPr>
                <w:rFonts w:ascii="Arial" w:cs="Arial" w:eastAsia="Arial" w:hAnsi="Arial"/>
                <w:sz w:val="13"/>
                <w:szCs w:val="13"/>
                <w:color w:val="auto"/>
              </w:rPr>
              <w:t>Total current assets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244,179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41,449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ind w:left="100"/>
              <w:spacing w:after="0"/>
              <w:rPr>
                <w:sz w:val="20"/>
                <w:szCs w:val="20"/>
                <w:color w:val="auto"/>
              </w:rPr>
            </w:pPr>
            <w:r>
              <w:rPr>
                <w:rFonts w:ascii="Arial" w:cs="Arial" w:eastAsia="Arial" w:hAnsi="Arial"/>
                <w:sz w:val="13"/>
                <w:szCs w:val="13"/>
                <w:color w:val="auto"/>
              </w:rPr>
              <w:t>Finance lease right-of-use assets, net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21,947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23,492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Operating lease right-of-use assets, net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Property and equipment, net</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36,499</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40,978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Total assets</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303,363</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106,688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7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4"/>
              </w:rPr>
              <w:t>September 30,</w:t>
            </w:r>
          </w:p>
        </w:tc>
        <w:tc>
          <w:tcPr>
            <w:tcW w:w="80" w:type="dxa"/>
            <w:vAlign w:val="bottom"/>
          </w:tcPr>
          <w:p>
            <w:pPr>
              <w:spacing w:after="0"/>
              <w:rPr>
                <w:sz w:val="23"/>
                <w:szCs w:val="2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b w:val="1"/>
                <w:bCs w:val="1"/>
                <w:color w:val="auto"/>
                <w:w w:val="96"/>
              </w:rPr>
              <w:t>2021</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6"/>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LIABILITIES, REDEEMABLE CONVERTIBLE PREFERRED STOCK AND STOCKHOLDERS' EQUITY (DEFICIT)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3"/>
                <w:szCs w:val="13"/>
                <w:color w:val="auto"/>
              </w:rPr>
              <w:t>Current liabilities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payable</w:t>
            </w:r>
          </w:p>
        </w:tc>
        <w:tc>
          <w:tcPr>
            <w:tcW w:w="36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ind w:left="100"/>
              <w:spacing w:after="0"/>
              <w:rPr>
                <w:sz w:val="20"/>
                <w:szCs w:val="20"/>
                <w:color w:val="auto"/>
              </w:rPr>
            </w:pPr>
            <w:r>
              <w:rPr>
                <w:rFonts w:ascii="Arial" w:cs="Arial" w:eastAsia="Arial" w:hAnsi="Arial"/>
                <w:sz w:val="13"/>
                <w:szCs w:val="13"/>
                <w:color w:val="auto"/>
              </w:rPr>
              <w:t>Accrued expenses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9,422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4,592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SVB loan payable, current portion</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ind w:left="100"/>
              <w:spacing w:after="0"/>
              <w:rPr>
                <w:sz w:val="20"/>
                <w:szCs w:val="20"/>
                <w:color w:val="auto"/>
              </w:rPr>
            </w:pPr>
            <w:r>
              <w:rPr>
                <w:rFonts w:ascii="Arial" w:cs="Arial" w:eastAsia="Arial" w:hAnsi="Arial"/>
                <w:sz w:val="13"/>
                <w:szCs w:val="13"/>
                <w:color w:val="auto"/>
              </w:rPr>
              <w:t>Finance lease obligation, current portion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1,915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Deferred payroll tax, current portion</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ind w:left="100"/>
              <w:spacing w:after="0"/>
              <w:rPr>
                <w:sz w:val="20"/>
                <w:szCs w:val="20"/>
                <w:color w:val="auto"/>
              </w:rPr>
            </w:pPr>
            <w:r>
              <w:rPr>
                <w:rFonts w:ascii="Arial" w:cs="Arial" w:eastAsia="Arial" w:hAnsi="Arial"/>
                <w:sz w:val="13"/>
                <w:szCs w:val="13"/>
                <w:color w:val="auto"/>
              </w:rPr>
              <w:t>Operating lease obligation, current portion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PPP loan payable, current portion</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20" w:type="dxa"/>
            <w:vAlign w:val="bottom"/>
            <w:gridSpan w:val="2"/>
          </w:tcPr>
          <w:p>
            <w:pPr>
              <w:spacing w:after="0" w:line="142" w:lineRule="exact"/>
              <w:rPr>
                <w:sz w:val="20"/>
                <w:szCs w:val="20"/>
                <w:color w:val="auto"/>
              </w:rPr>
            </w:pPr>
            <w:r>
              <w:rPr>
                <w:rFonts w:ascii="Arial" w:cs="Arial" w:eastAsia="Arial" w:hAnsi="Arial"/>
                <w:sz w:val="13"/>
                <w:szCs w:val="13"/>
                <w:color w:val="auto"/>
              </w:rPr>
              <w:t>Total current liabilities</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21,245</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11,233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3"/>
                <w:szCs w:val="13"/>
                <w:color w:val="auto"/>
              </w:rPr>
              <w:t>Contingent earnout liability</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169,200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Finance lease obligation, net of current portion</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21,627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3"/>
                <w:szCs w:val="13"/>
                <w:color w:val="auto"/>
              </w:rPr>
              <w:t>SVB loan payable, net of current portion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14,038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obligation, net of current portion</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3"/>
                <w:szCs w:val="13"/>
                <w:color w:val="auto"/>
              </w:rPr>
              <w:t>Common stock warrant liabilities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555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Deferred payroll tax, net of current portion</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3"/>
                <w:szCs w:val="13"/>
                <w:color w:val="auto"/>
              </w:rPr>
              <w:t>PPP loan payable, net of current portion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Total liabilities</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227,502</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36,016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Commitments and contingencies (Note 11)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600" w:type="dxa"/>
            <w:vAlign w:val="bottom"/>
          </w:tcPr>
          <w:p>
            <w:pPr>
              <w:spacing w:after="0" w:line="138" w:lineRule="exact"/>
              <w:rPr>
                <w:sz w:val="20"/>
                <w:szCs w:val="20"/>
                <w:color w:val="auto"/>
              </w:rPr>
            </w:pPr>
            <w:r>
              <w:rPr>
                <w:rFonts w:ascii="Arial" w:cs="Arial" w:eastAsia="Arial" w:hAnsi="Arial"/>
                <w:sz w:val="13"/>
                <w:szCs w:val="13"/>
                <w:color w:val="auto"/>
                <w:w w:val="94"/>
              </w:rPr>
              <w:t>Redeemable convertible preferred stock (Series A, B, C and D) $0.001 par value, 0 and 69,613,565 shares authorized as of September 30,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ind w:left="120"/>
              <w:spacing w:after="0"/>
              <w:rPr>
                <w:sz w:val="20"/>
                <w:szCs w:val="20"/>
                <w:color w:val="auto"/>
              </w:rPr>
            </w:pPr>
            <w:r>
              <w:rPr>
                <w:rFonts w:ascii="Arial" w:cs="Arial" w:eastAsia="Arial" w:hAnsi="Arial"/>
                <w:sz w:val="13"/>
                <w:szCs w:val="13"/>
                <w:color w:val="auto"/>
                <w:w w:val="96"/>
              </w:rPr>
              <w:t>2021 and December 31, 2020, respectively; 0 and 69,613,562 shares outstanding as of September 30, 2021 and December 31, 2020,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0" w:type="dxa"/>
            <w:vAlign w:val="bottom"/>
          </w:tcPr>
          <w:p>
            <w:pPr>
              <w:ind w:left="120"/>
              <w:spacing w:after="0"/>
              <w:rPr>
                <w:sz w:val="20"/>
                <w:szCs w:val="20"/>
                <w:color w:val="auto"/>
              </w:rPr>
            </w:pPr>
            <w:r>
              <w:rPr>
                <w:rFonts w:ascii="Arial" w:cs="Arial" w:eastAsia="Arial" w:hAnsi="Arial"/>
                <w:sz w:val="13"/>
                <w:szCs w:val="13"/>
                <w:color w:val="auto"/>
              </w:rPr>
              <w:t>respectively; liquidation preference of $0 and $435,579 as of September 30, 2021 and December 31, 2020, respectively.</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420,989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3"/>
                <w:szCs w:val="13"/>
                <w:b w:val="1"/>
                <w:bCs w:val="1"/>
                <w:color w:val="auto"/>
              </w:rPr>
              <w:t>Stockholders' equity (deficit)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600" w:type="dxa"/>
            <w:vAlign w:val="bottom"/>
            <w:shd w:val="clear" w:color="auto" w:fill="CCEEFF"/>
          </w:tcPr>
          <w:p>
            <w:pPr>
              <w:ind w:left="100"/>
              <w:spacing w:after="0" w:line="138" w:lineRule="exact"/>
              <w:rPr>
                <w:sz w:val="20"/>
                <w:szCs w:val="20"/>
                <w:color w:val="auto"/>
              </w:rPr>
            </w:pPr>
            <w:r>
              <w:rPr>
                <w:rFonts w:ascii="Arial" w:cs="Arial" w:eastAsia="Arial" w:hAnsi="Arial"/>
                <w:sz w:val="13"/>
                <w:szCs w:val="13"/>
                <w:color w:val="auto"/>
                <w:w w:val="97"/>
              </w:rPr>
              <w:t>Preferred stock, $0.0001 par value; 20,000,000 and 0 shares designated as of September 30, 2021 and December 31, 2020; 0 shares</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issued and outstanding as of September 30, 2021 and December 31, 2020</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600" w:type="dxa"/>
            <w:vAlign w:val="bottom"/>
          </w:tcPr>
          <w:p>
            <w:pPr>
              <w:ind w:left="100"/>
              <w:spacing w:after="0" w:line="138" w:lineRule="exact"/>
              <w:rPr>
                <w:sz w:val="20"/>
                <w:szCs w:val="20"/>
                <w:color w:val="auto"/>
              </w:rPr>
            </w:pPr>
            <w:r>
              <w:rPr>
                <w:rFonts w:ascii="Arial" w:cs="Arial" w:eastAsia="Arial" w:hAnsi="Arial"/>
                <w:sz w:val="13"/>
                <w:szCs w:val="13"/>
                <w:color w:val="auto"/>
                <w:w w:val="99"/>
              </w:rPr>
              <w:t>Common stock, $0.0001 and $0.0001 par value as of September 30, 2021 and December 31, 2020, respectively; 250,000,000 and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ind w:left="220"/>
              <w:spacing w:after="0"/>
              <w:rPr>
                <w:sz w:val="20"/>
                <w:szCs w:val="20"/>
                <w:color w:val="auto"/>
              </w:rPr>
            </w:pPr>
            <w:r>
              <w:rPr>
                <w:rFonts w:ascii="Arial" w:cs="Arial" w:eastAsia="Arial" w:hAnsi="Arial"/>
                <w:sz w:val="13"/>
                <w:szCs w:val="13"/>
                <w:color w:val="auto"/>
                <w:w w:val="96"/>
              </w:rPr>
              <w:t>340,216,780 shares authorized as of September 30, 2021 and December 31, 2020, respectively; 103,003,384 and 5,822,396 shares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0" w:type="dxa"/>
            <w:vAlign w:val="bottom"/>
          </w:tcPr>
          <w:p>
            <w:pPr>
              <w:ind w:left="220"/>
              <w:spacing w:after="0"/>
              <w:rPr>
                <w:sz w:val="20"/>
                <w:szCs w:val="20"/>
                <w:color w:val="auto"/>
              </w:rPr>
            </w:pPr>
            <w:r>
              <w:rPr>
                <w:rFonts w:ascii="Arial" w:cs="Arial" w:eastAsia="Arial" w:hAnsi="Arial"/>
                <w:sz w:val="13"/>
                <w:szCs w:val="13"/>
                <w:color w:val="auto"/>
              </w:rPr>
              <w:t>issued and outstanding as of September 30, 2021 and December 31, 2020, respectively.</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Additional paid-in capital</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533,009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ind w:left="100"/>
              <w:spacing w:after="0"/>
              <w:rPr>
                <w:sz w:val="20"/>
                <w:szCs w:val="20"/>
                <w:color w:val="auto"/>
              </w:rPr>
            </w:pPr>
            <w:r>
              <w:rPr>
                <w:rFonts w:ascii="Arial" w:cs="Arial" w:eastAsia="Arial" w:hAnsi="Arial"/>
                <w:sz w:val="13"/>
                <w:szCs w:val="13"/>
                <w:color w:val="auto"/>
              </w:rPr>
              <w:t>Accumulated deficit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(457,158)</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(388,096)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stockholders' equity (deficit)</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75,861</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(350,317)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liabilities, redeemable convertible preferred stock and stockholders' equity (deficit)</w:t>
            </w:r>
          </w:p>
        </w:tc>
        <w:tc>
          <w:tcPr>
            <w:tcW w:w="160" w:type="dxa"/>
            <w:vAlign w:val="bottom"/>
          </w:tcPr>
          <w:p>
            <w:pPr>
              <w:spacing w:after="0"/>
              <w:rPr>
                <w:sz w:val="12"/>
                <w:szCs w:val="12"/>
                <w:color w:val="auto"/>
              </w:rPr>
            </w:pPr>
          </w:p>
        </w:tc>
        <w:tc>
          <w:tcPr>
            <w:tcW w:w="2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303,363</w:t>
            </w:r>
          </w:p>
        </w:tc>
        <w:tc>
          <w:tcPr>
            <w:tcW w:w="2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106,688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90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For the Three Months Ended September 30,</w:t>
            </w:r>
          </w:p>
        </w:tc>
        <w:tc>
          <w:tcPr>
            <w:tcW w:w="268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Grant 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ind w:left="200"/>
              <w:spacing w:after="0" w:line="201" w:lineRule="exact"/>
              <w:rPr>
                <w:sz w:val="20"/>
                <w:szCs w:val="20"/>
                <w:color w:val="auto"/>
              </w:rPr>
            </w:pPr>
            <w:r>
              <w:rPr>
                <w:rFonts w:ascii="Arial" w:cs="Arial" w:eastAsia="Arial" w:hAnsi="Arial"/>
                <w:sz w:val="18"/>
                <w:szCs w:val="18"/>
                <w:color w:val="auto"/>
              </w:rPr>
              <w:t>Research and development (includes related party</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w w:val="93"/>
              </w:rPr>
              <w:t>expenses of $2 and $149 for the three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w w:val="92"/>
              </w:rPr>
              <w:t>September 30, 2021 and 2020 and $168 and $462 for</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the nine months ended September 30, 2021 and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ind w:left="36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15,386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14,692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45,091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20,784</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18,127</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60,667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(20,543)</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(17,213)</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(59,581)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contingent earnout liability</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(9,768)</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(9,768)</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(1,204)</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(2,952)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 costs expensed</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ind w:left="200"/>
              <w:spacing w:after="0" w:line="201" w:lineRule="exact"/>
              <w:rPr>
                <w:sz w:val="20"/>
                <w:szCs w:val="20"/>
                <w:color w:val="auto"/>
              </w:rPr>
            </w:pPr>
            <w:r>
              <w:rPr>
                <w:rFonts w:ascii="Arial" w:cs="Arial" w:eastAsia="Arial" w:hAnsi="Arial"/>
                <w:sz w:val="18"/>
                <w:szCs w:val="18"/>
                <w:color w:val="auto"/>
              </w:rPr>
              <w:t>Change in fair value of common stock warrant</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PPP loan forgiveness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expenses, net</w:t>
            </w: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(11,020)</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(9,481)</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(31,563)</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(17,760)</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(69,062)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Net loss per share attributable to common stockholders,</w:t>
            </w: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(0.72)</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24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4"/>
              </w:rPr>
              <w:t>Weighted-average shares outstanding used in computing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w w:val="94"/>
              </w:rPr>
              <w:t>net loss per share attributable to common stockholders,</w:t>
            </w:r>
          </w:p>
        </w:tc>
        <w:tc>
          <w:tcPr>
            <w:tcW w:w="2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43,950,856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5,788,130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18,728,471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5,755,418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Changes in Redeemable Convertible Preferred Stock and Stockholders’ Equity (Deficit)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9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720" w:type="dxa"/>
            <w:vAlign w:val="bottom"/>
            <w:gridSpan w:val="7"/>
            <w:vMerge w:val="restart"/>
          </w:tcPr>
          <w:p>
            <w:pPr>
              <w:jc w:val="center"/>
              <w:ind w:right="100"/>
              <w:spacing w:after="0"/>
              <w:rPr>
                <w:sz w:val="20"/>
                <w:szCs w:val="20"/>
                <w:color w:val="auto"/>
              </w:rPr>
            </w:pPr>
            <w:r>
              <w:rPr>
                <w:rFonts w:ascii="Arial" w:cs="Arial" w:eastAsia="Arial" w:hAnsi="Arial"/>
                <w:sz w:val="14"/>
                <w:szCs w:val="14"/>
                <w:b w:val="1"/>
                <w:bCs w:val="1"/>
                <w:color w:val="auto"/>
                <w:w w:val="91"/>
              </w:rPr>
              <w:t>Redeemable Convertible</w:t>
            </w:r>
          </w:p>
        </w:tc>
        <w:tc>
          <w:tcPr>
            <w:tcW w:w="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920" w:type="dxa"/>
            <w:vAlign w:val="bottom"/>
            <w:gridSpan w:val="7"/>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3"/>
                <w:szCs w:val="3"/>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3"/>
                <w:szCs w:val="3"/>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line="20" w:lineRule="exact"/>
              <w:rPr>
                <w:sz w:val="1"/>
                <w:szCs w:val="1"/>
                <w:color w:val="auto"/>
              </w:rPr>
            </w:pPr>
          </w:p>
        </w:tc>
      </w:tr>
      <w:tr>
        <w:trPr>
          <w:trHeight w:val="126"/>
        </w:trPr>
        <w:tc>
          <w:tcPr>
            <w:tcW w:w="290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1720" w:type="dxa"/>
            <w:vAlign w:val="bottom"/>
            <w:gridSpan w:val="7"/>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920" w:type="dxa"/>
            <w:vAlign w:val="bottom"/>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Preferred Stock</w:t>
            </w:r>
          </w:p>
        </w:tc>
        <w:tc>
          <w:tcPr>
            <w:tcW w:w="20" w:type="dxa"/>
            <w:vAlign w:val="bottom"/>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Paid-in Capital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112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w w:val="97"/>
              </w:rPr>
              <w:t>(Deficit) Equity</w:t>
            </w:r>
          </w:p>
        </w:tc>
        <w:tc>
          <w:tcPr>
            <w:tcW w:w="0" w:type="dxa"/>
            <w:vAlign w:val="bottom"/>
          </w:tcPr>
          <w:p>
            <w:pPr>
              <w:spacing w:after="0"/>
              <w:rPr>
                <w:sz w:val="1"/>
                <w:szCs w:val="1"/>
                <w:color w:val="auto"/>
              </w:rPr>
            </w:pPr>
          </w:p>
        </w:tc>
      </w:tr>
      <w:tr>
        <w:trPr>
          <w:trHeight w:val="142"/>
        </w:trPr>
        <w:tc>
          <w:tcPr>
            <w:tcW w:w="2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2020</w:t>
            </w: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69,613,562</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420,989</w:t>
            </w: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left w:val="single" w:sz="8" w:color="CCEEFF"/>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5,822,396</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37,778</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(388,096)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(350,317)</w:t>
            </w:r>
          </w:p>
        </w:tc>
        <w:tc>
          <w:tcPr>
            <w:tcW w:w="0" w:type="dxa"/>
            <w:vAlign w:val="bottom"/>
          </w:tcPr>
          <w:p>
            <w:pPr>
              <w:spacing w:after="0"/>
              <w:rPr>
                <w:sz w:val="1"/>
                <w:szCs w:val="1"/>
                <w:color w:val="auto"/>
              </w:rPr>
            </w:pPr>
          </w:p>
        </w:tc>
      </w:tr>
      <w:tr>
        <w:trPr>
          <w:trHeight w:val="148"/>
        </w:trPr>
        <w:tc>
          <w:tcPr>
            <w:tcW w:w="2900" w:type="dxa"/>
            <w:vAlign w:val="bottom"/>
          </w:tcPr>
          <w:p>
            <w:pPr>
              <w:spacing w:after="0" w:line="149" w:lineRule="exact"/>
              <w:rPr>
                <w:sz w:val="20"/>
                <w:szCs w:val="20"/>
                <w:color w:val="auto"/>
              </w:rPr>
            </w:pPr>
            <w:r>
              <w:rPr>
                <w:rFonts w:ascii="Arial" w:cs="Arial" w:eastAsia="Arial" w:hAnsi="Arial"/>
                <w:sz w:val="14"/>
                <w:szCs w:val="14"/>
                <w:color w:val="auto"/>
              </w:rPr>
              <w:t>Proceeds from the exercise of stock options</w:t>
            </w:r>
          </w:p>
        </w:tc>
        <w:tc>
          <w:tcPr>
            <w:tcW w:w="20" w:type="dxa"/>
            <w:vAlign w:val="bottom"/>
          </w:tcPr>
          <w:p>
            <w:pPr>
              <w:spacing w:after="0"/>
              <w:rPr>
                <w:sz w:val="12"/>
                <w:szCs w:val="12"/>
                <w:color w:val="auto"/>
              </w:rPr>
            </w:pP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116,149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2,528</w:t>
            </w:r>
          </w:p>
        </w:tc>
        <w:tc>
          <w:tcPr>
            <w:tcW w:w="0" w:type="dxa"/>
            <w:vAlign w:val="bottom"/>
          </w:tcPr>
          <w:p>
            <w:pPr>
              <w:spacing w:after="0"/>
              <w:rPr>
                <w:sz w:val="1"/>
                <w:szCs w:val="1"/>
                <w:color w:val="auto"/>
              </w:rPr>
            </w:pPr>
          </w:p>
        </w:tc>
      </w:tr>
      <w:tr>
        <w:trPr>
          <w:trHeight w:val="148"/>
        </w:trPr>
        <w:tc>
          <w:tcPr>
            <w:tcW w:w="2900" w:type="dxa"/>
            <w:vAlign w:val="bottom"/>
          </w:tcPr>
          <w:p>
            <w:pPr>
              <w:spacing w:after="0" w:line="149" w:lineRule="exact"/>
              <w:rPr>
                <w:sz w:val="20"/>
                <w:szCs w:val="20"/>
                <w:color w:val="auto"/>
              </w:rPr>
            </w:pPr>
            <w:r>
              <w:rPr>
                <w:rFonts w:ascii="Arial" w:cs="Arial" w:eastAsia="Arial" w:hAnsi="Arial"/>
                <w:sz w:val="14"/>
                <w:szCs w:val="14"/>
                <w:color w:val="auto"/>
              </w:rPr>
              <w:t>Issuance of warrants in conjunction with debt</w:t>
            </w:r>
          </w:p>
        </w:tc>
        <w:tc>
          <w:tcPr>
            <w:tcW w:w="20" w:type="dxa"/>
            <w:vAlign w:val="bottom"/>
          </w:tcPr>
          <w:p>
            <w:pPr>
              <w:spacing w:after="0"/>
              <w:rPr>
                <w:sz w:val="12"/>
                <w:szCs w:val="12"/>
                <w:color w:val="auto"/>
              </w:rPr>
            </w:pP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2,360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2,360</w:t>
            </w:r>
          </w:p>
        </w:tc>
        <w:tc>
          <w:tcPr>
            <w:tcW w:w="0" w:type="dxa"/>
            <w:vAlign w:val="bottom"/>
          </w:tcPr>
          <w:p>
            <w:pPr>
              <w:spacing w:after="0"/>
              <w:rPr>
                <w:sz w:val="1"/>
                <w:szCs w:val="1"/>
                <w:color w:val="auto"/>
              </w:rPr>
            </w:pPr>
          </w:p>
        </w:tc>
      </w:tr>
      <w:tr>
        <w:trPr>
          <w:trHeight w:val="148"/>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(20,301)</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(20,301)</w:t>
            </w:r>
          </w:p>
        </w:tc>
        <w:tc>
          <w:tcPr>
            <w:tcW w:w="0" w:type="dxa"/>
            <w:vAlign w:val="bottom"/>
          </w:tcPr>
          <w:p>
            <w:pPr>
              <w:spacing w:after="0"/>
              <w:rPr>
                <w:sz w:val="1"/>
                <w:szCs w:val="1"/>
                <w:color w:val="auto"/>
              </w:rPr>
            </w:pPr>
          </w:p>
        </w:tc>
      </w:tr>
      <w:tr>
        <w:trPr>
          <w:trHeight w:val="142"/>
        </w:trPr>
        <w:tc>
          <w:tcPr>
            <w:tcW w:w="290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as of March 31, 2021</w:t>
            </w: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69,613,562</w:t>
            </w: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420,989</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5,938,545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42,872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(408,397)</w:t>
            </w:r>
          </w:p>
        </w:tc>
        <w:tc>
          <w:tcPr>
            <w:tcW w:w="14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(365,524)</w:t>
            </w:r>
          </w:p>
        </w:tc>
        <w:tc>
          <w:tcPr>
            <w:tcW w:w="0" w:type="dxa"/>
            <w:vAlign w:val="bottom"/>
          </w:tcPr>
          <w:p>
            <w:pPr>
              <w:spacing w:after="0"/>
              <w:rPr>
                <w:sz w:val="1"/>
                <w:szCs w:val="1"/>
                <w:color w:val="auto"/>
              </w:rPr>
            </w:pPr>
          </w:p>
        </w:tc>
      </w:tr>
      <w:tr>
        <w:trPr>
          <w:trHeight w:val="148"/>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the exercise of stock options</w:t>
            </w:r>
          </w:p>
        </w:tc>
        <w:tc>
          <w:tcPr>
            <w:tcW w:w="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5,204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2,930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2,930</w:t>
            </w:r>
          </w:p>
        </w:tc>
        <w:tc>
          <w:tcPr>
            <w:tcW w:w="0" w:type="dxa"/>
            <w:vAlign w:val="bottom"/>
          </w:tcPr>
          <w:p>
            <w:pPr>
              <w:spacing w:after="0"/>
              <w:rPr>
                <w:sz w:val="1"/>
                <w:szCs w:val="1"/>
                <w:color w:val="auto"/>
              </w:rPr>
            </w:pPr>
          </w:p>
        </w:tc>
      </w:tr>
      <w:tr>
        <w:trPr>
          <w:trHeight w:val="148"/>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(17,198)</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(17,198)</w:t>
            </w:r>
          </w:p>
        </w:tc>
        <w:tc>
          <w:tcPr>
            <w:tcW w:w="0" w:type="dxa"/>
            <w:vAlign w:val="bottom"/>
          </w:tcPr>
          <w:p>
            <w:pPr>
              <w:spacing w:after="0"/>
              <w:rPr>
                <w:sz w:val="1"/>
                <w:szCs w:val="1"/>
                <w:color w:val="auto"/>
              </w:rPr>
            </w:pPr>
          </w:p>
        </w:tc>
      </w:tr>
      <w:tr>
        <w:trPr>
          <w:trHeight w:val="142"/>
        </w:trPr>
        <w:tc>
          <w:tcPr>
            <w:tcW w:w="290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as of June 30, 2021</w:t>
            </w: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69,613,562</w:t>
            </w: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420,989</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5,943,749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45,832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(425,595)</w:t>
            </w:r>
          </w:p>
        </w:tc>
        <w:tc>
          <w:tcPr>
            <w:tcW w:w="14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(379,762)</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redeemable convertible</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preferred stock into common stock in</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8"/>
              </w:rPr>
              <w:t>connection with the Merger and related PIPE</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financing</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w w:val="95"/>
              </w:rPr>
              <w:t>(69,613,562)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(420,989)</w:t>
            </w:r>
          </w:p>
        </w:tc>
        <w:tc>
          <w:tcPr>
            <w:tcW w:w="20" w:type="dxa"/>
            <w:vAlign w:val="bottom"/>
            <w:shd w:val="clear" w:color="auto" w:fill="000000"/>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69,613,562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420,982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420,989</w:t>
            </w:r>
          </w:p>
        </w:tc>
        <w:tc>
          <w:tcPr>
            <w:tcW w:w="0" w:type="dxa"/>
            <w:vAlign w:val="bottom"/>
          </w:tcPr>
          <w:p>
            <w:pPr>
              <w:spacing w:after="0"/>
              <w:rPr>
                <w:sz w:val="1"/>
                <w:szCs w:val="1"/>
                <w:color w:val="auto"/>
              </w:rPr>
            </w:pPr>
          </w:p>
        </w:tc>
      </w:tr>
      <w:tr>
        <w:trPr>
          <w:trHeight w:val="130"/>
        </w:trPr>
        <w:tc>
          <w:tcPr>
            <w:tcW w:w="2900" w:type="dxa"/>
            <w:vAlign w:val="bottom"/>
          </w:tcPr>
          <w:p>
            <w:pPr>
              <w:spacing w:after="0" w:line="130" w:lineRule="exact"/>
              <w:rPr>
                <w:sz w:val="20"/>
                <w:szCs w:val="20"/>
                <w:color w:val="auto"/>
              </w:rPr>
            </w:pPr>
            <w:r>
              <w:rPr>
                <w:rFonts w:ascii="Arial" w:cs="Arial" w:eastAsia="Arial" w:hAnsi="Arial"/>
                <w:sz w:val="14"/>
                <w:szCs w:val="14"/>
                <w:color w:val="auto"/>
              </w:rPr>
              <w:t>The merger and related PIPE financing, net of</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140"/>
              <w:spacing w:after="0"/>
              <w:rPr>
                <w:sz w:val="20"/>
                <w:szCs w:val="20"/>
                <w:color w:val="auto"/>
              </w:rPr>
            </w:pPr>
            <w:r>
              <w:rPr>
                <w:rFonts w:ascii="Arial" w:cs="Arial" w:eastAsia="Arial" w:hAnsi="Arial"/>
                <w:sz w:val="14"/>
                <w:szCs w:val="14"/>
                <w:color w:val="auto"/>
              </w:rPr>
              <w:t>transaction costs and acquired liabilities</w:t>
            </w:r>
          </w:p>
        </w:tc>
        <w:tc>
          <w:tcPr>
            <w:tcW w:w="20" w:type="dxa"/>
            <w:vAlign w:val="bottom"/>
          </w:tcPr>
          <w:p>
            <w:pPr>
              <w:spacing w:after="0"/>
              <w:rPr>
                <w:sz w:val="14"/>
                <w:szCs w:val="14"/>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27,346,449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209,478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209,480</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Public warrants assumed upon the merger, net</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transaction costs</w:t>
            </w:r>
          </w:p>
        </w:tc>
        <w:tc>
          <w:tcPr>
            <w:tcW w:w="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13,912</w:t>
            </w:r>
          </w:p>
        </w:tc>
        <w:tc>
          <w:tcPr>
            <w:tcW w:w="0" w:type="dxa"/>
            <w:vAlign w:val="bottom"/>
          </w:tcPr>
          <w:p>
            <w:pPr>
              <w:spacing w:after="0"/>
              <w:rPr>
                <w:sz w:val="1"/>
                <w:szCs w:val="1"/>
                <w:color w:val="auto"/>
              </w:rPr>
            </w:pPr>
          </w:p>
        </w:tc>
      </w:tr>
      <w:tr>
        <w:trPr>
          <w:trHeight w:val="130"/>
        </w:trPr>
        <w:tc>
          <w:tcPr>
            <w:tcW w:w="2900" w:type="dxa"/>
            <w:vAlign w:val="bottom"/>
          </w:tcPr>
          <w:p>
            <w:pPr>
              <w:spacing w:after="0" w:line="130" w:lineRule="exact"/>
              <w:rPr>
                <w:sz w:val="20"/>
                <w:szCs w:val="20"/>
                <w:color w:val="auto"/>
              </w:rPr>
            </w:pPr>
            <w:r>
              <w:rPr>
                <w:rFonts w:ascii="Arial" w:cs="Arial" w:eastAsia="Arial" w:hAnsi="Arial"/>
                <w:sz w:val="14"/>
                <w:szCs w:val="14"/>
                <w:color w:val="auto"/>
              </w:rPr>
              <w:t>Contingent earnout liability recognized upon</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140"/>
              <w:spacing w:after="0"/>
              <w:rPr>
                <w:sz w:val="20"/>
                <w:szCs w:val="20"/>
                <w:color w:val="auto"/>
              </w:rPr>
            </w:pPr>
            <w:r>
              <w:rPr>
                <w:rFonts w:ascii="Arial" w:cs="Arial" w:eastAsia="Arial" w:hAnsi="Arial"/>
                <w:sz w:val="14"/>
                <w:szCs w:val="14"/>
                <w:color w:val="auto"/>
              </w:rPr>
              <w:t>closing of the reverse recapitalization</w:t>
            </w:r>
          </w:p>
        </w:tc>
        <w:tc>
          <w:tcPr>
            <w:tcW w:w="20" w:type="dxa"/>
            <w:vAlign w:val="bottom"/>
          </w:tcPr>
          <w:p>
            <w:pPr>
              <w:spacing w:after="0"/>
              <w:rPr>
                <w:sz w:val="14"/>
                <w:szCs w:val="14"/>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(159,432)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(159,432)</w:t>
            </w:r>
          </w:p>
        </w:tc>
        <w:tc>
          <w:tcPr>
            <w:tcW w:w="0" w:type="dxa"/>
            <w:vAlign w:val="bottom"/>
          </w:tcPr>
          <w:p>
            <w:pPr>
              <w:spacing w:after="0"/>
              <w:rPr>
                <w:sz w:val="1"/>
                <w:szCs w:val="1"/>
                <w:color w:val="auto"/>
              </w:rPr>
            </w:pPr>
          </w:p>
        </w:tc>
      </w:tr>
      <w:tr>
        <w:trPr>
          <w:trHeight w:val="148"/>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the exercise of stock options</w:t>
            </w:r>
          </w:p>
        </w:tc>
        <w:tc>
          <w:tcPr>
            <w:tcW w:w="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99,624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48"/>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1,877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1,877</w:t>
            </w: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(31,563)</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(31,563)</w:t>
            </w:r>
          </w:p>
        </w:tc>
        <w:tc>
          <w:tcPr>
            <w:tcW w:w="0" w:type="dxa"/>
            <w:vAlign w:val="bottom"/>
          </w:tcPr>
          <w:p>
            <w:pPr>
              <w:spacing w:after="0"/>
              <w:rPr>
                <w:sz w:val="1"/>
                <w:szCs w:val="1"/>
                <w:color w:val="auto"/>
              </w:rPr>
            </w:pPr>
          </w:p>
        </w:tc>
      </w:tr>
      <w:tr>
        <w:trPr>
          <w:trHeight w:val="142"/>
        </w:trPr>
        <w:tc>
          <w:tcPr>
            <w:tcW w:w="290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as of September 30, 2021</w:t>
            </w:r>
          </w:p>
        </w:tc>
        <w:tc>
          <w:tcPr>
            <w:tcW w:w="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103,003,384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533,009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(457,158)</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75,861</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gridSpan w:val="9"/>
            <w:vMerge w:val="restart"/>
          </w:tcPr>
          <w:p>
            <w:pPr>
              <w:jc w:val="center"/>
              <w:ind w:right="100"/>
              <w:spacing w:after="0"/>
              <w:rPr>
                <w:sz w:val="20"/>
                <w:szCs w:val="20"/>
                <w:color w:val="auto"/>
              </w:rPr>
            </w:pPr>
            <w:r>
              <w:rPr>
                <w:rFonts w:ascii="Arial" w:cs="Arial" w:eastAsia="Arial" w:hAnsi="Arial"/>
                <w:sz w:val="14"/>
                <w:szCs w:val="14"/>
                <w:b w:val="1"/>
                <w:bCs w:val="1"/>
                <w:color w:val="auto"/>
                <w:w w:val="91"/>
              </w:rPr>
              <w:t>Redeemable Convertible</w:t>
            </w:r>
          </w:p>
        </w:tc>
        <w:tc>
          <w:tcPr>
            <w:tcW w:w="20" w:type="dxa"/>
            <w:vAlign w:val="bottom"/>
          </w:tcPr>
          <w:p>
            <w:pPr>
              <w:spacing w:after="0"/>
              <w:rPr>
                <w:sz w:val="18"/>
                <w:szCs w:val="18"/>
                <w:color w:val="auto"/>
              </w:rPr>
            </w:pPr>
          </w:p>
        </w:tc>
        <w:tc>
          <w:tcPr>
            <w:tcW w:w="1920" w:type="dxa"/>
            <w:vAlign w:val="bottom"/>
            <w:gridSpan w:val="7"/>
            <w:vMerge w:val="restart"/>
          </w:tcPr>
          <w:p>
            <w:pPr>
              <w:ind w:left="4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8"/>
                <w:szCs w:val="18"/>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8"/>
                <w:szCs w:val="18"/>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26"/>
        </w:trPr>
        <w:tc>
          <w:tcPr>
            <w:tcW w:w="2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60" w:type="dxa"/>
            <w:vAlign w:val="bottom"/>
            <w:gridSpan w:val="9"/>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920" w:type="dxa"/>
            <w:vAlign w:val="bottom"/>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93"/>
              </w:rPr>
              <w:t>Preferred Stock</w:t>
            </w:r>
          </w:p>
        </w:tc>
        <w:tc>
          <w:tcPr>
            <w:tcW w:w="20" w:type="dxa"/>
            <w:vAlign w:val="bottom"/>
            <w:shd w:val="clear" w:color="auto" w:fill="000000"/>
          </w:tcPr>
          <w:p>
            <w:pPr>
              <w:spacing w:after="0"/>
              <w:rPr>
                <w:sz w:val="14"/>
                <w:szCs w:val="14"/>
                <w:color w:val="auto"/>
              </w:rPr>
            </w:pPr>
          </w:p>
        </w:tc>
        <w:tc>
          <w:tcPr>
            <w:tcW w:w="192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gridSpan w:val="2"/>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6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Paid-in Capital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112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42"/>
        </w:trPr>
        <w:tc>
          <w:tcPr>
            <w:tcW w:w="2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2019</w:t>
            </w:r>
          </w:p>
        </w:tc>
        <w:tc>
          <w:tcPr>
            <w:tcW w:w="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69,613,562</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420,989</w:t>
            </w:r>
          </w:p>
        </w:tc>
        <w:tc>
          <w:tcPr>
            <w:tcW w:w="8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0" w:type="dxa"/>
            <w:vAlign w:val="bottom"/>
            <w:tcBorders>
              <w:top w:val="single" w:sz="8" w:color="auto"/>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5,627,157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32,783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(321,572)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(288,788)</w:t>
            </w: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Proceeds from the exercise of stock options</w:t>
            </w:r>
          </w:p>
        </w:tc>
        <w:tc>
          <w:tcPr>
            <w:tcW w:w="2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148,159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8"/>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148"/>
        </w:trPr>
        <w:tc>
          <w:tcPr>
            <w:tcW w:w="29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(17,674)</w:t>
            </w: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(17,674)</w:t>
            </w:r>
          </w:p>
        </w:tc>
        <w:tc>
          <w:tcPr>
            <w:tcW w:w="0" w:type="dxa"/>
            <w:vAlign w:val="bottom"/>
          </w:tcPr>
          <w:p>
            <w:pPr>
              <w:spacing w:after="0"/>
              <w:rPr>
                <w:sz w:val="1"/>
                <w:szCs w:val="1"/>
                <w:color w:val="auto"/>
              </w:rPr>
            </w:pPr>
          </w:p>
        </w:tc>
      </w:tr>
      <w:tr>
        <w:trPr>
          <w:trHeight w:val="142"/>
        </w:trPr>
        <w:tc>
          <w:tcPr>
            <w:tcW w:w="2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March 31, 2020</w:t>
            </w:r>
          </w:p>
        </w:tc>
        <w:tc>
          <w:tcPr>
            <w:tcW w:w="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69,613,562</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420,989</w:t>
            </w:r>
          </w:p>
        </w:tc>
        <w:tc>
          <w:tcPr>
            <w:tcW w:w="8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0" w:type="dxa"/>
            <w:vAlign w:val="bottom"/>
            <w:tcBorders>
              <w:top w:val="single" w:sz="8" w:color="auto"/>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5,775,316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34,140</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(339,246)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(305,105)</w:t>
            </w: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Proceeds from the exercise of stock options</w:t>
            </w:r>
          </w:p>
        </w:tc>
        <w:tc>
          <w:tcPr>
            <w:tcW w:w="2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11,761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8"/>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48"/>
        </w:trPr>
        <w:tc>
          <w:tcPr>
            <w:tcW w:w="29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(14,878)</w:t>
            </w: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(14,878)</w:t>
            </w:r>
          </w:p>
        </w:tc>
        <w:tc>
          <w:tcPr>
            <w:tcW w:w="0" w:type="dxa"/>
            <w:vAlign w:val="bottom"/>
          </w:tcPr>
          <w:p>
            <w:pPr>
              <w:spacing w:after="0"/>
              <w:rPr>
                <w:sz w:val="1"/>
                <w:szCs w:val="1"/>
                <w:color w:val="auto"/>
              </w:rPr>
            </w:pPr>
          </w:p>
        </w:tc>
      </w:tr>
      <w:tr>
        <w:trPr>
          <w:trHeight w:val="142"/>
        </w:trPr>
        <w:tc>
          <w:tcPr>
            <w:tcW w:w="2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June 30, 2020</w:t>
            </w:r>
          </w:p>
        </w:tc>
        <w:tc>
          <w:tcPr>
            <w:tcW w:w="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69,613,562</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420,989</w:t>
            </w:r>
          </w:p>
        </w:tc>
        <w:tc>
          <w:tcPr>
            <w:tcW w:w="8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0" w:type="dxa"/>
            <w:vAlign w:val="bottom"/>
            <w:tcBorders>
              <w:top w:val="single" w:sz="8" w:color="auto"/>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5,787,077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35,302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(354,124)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(318,821)</w:t>
            </w:r>
          </w:p>
        </w:tc>
        <w:tc>
          <w:tcPr>
            <w:tcW w:w="0" w:type="dxa"/>
            <w:vAlign w:val="bottom"/>
          </w:tcPr>
          <w:p>
            <w:pPr>
              <w:spacing w:after="0"/>
              <w:rPr>
                <w:sz w:val="1"/>
                <w:szCs w:val="1"/>
                <w:color w:val="auto"/>
              </w:rPr>
            </w:pPr>
          </w:p>
        </w:tc>
      </w:tr>
      <w:tr>
        <w:trPr>
          <w:trHeight w:val="148"/>
        </w:trPr>
        <w:tc>
          <w:tcPr>
            <w:tcW w:w="2900" w:type="dxa"/>
            <w:vAlign w:val="bottom"/>
          </w:tcPr>
          <w:p>
            <w:pPr>
              <w:spacing w:after="0" w:line="149" w:lineRule="exact"/>
              <w:rPr>
                <w:sz w:val="20"/>
                <w:szCs w:val="20"/>
                <w:color w:val="auto"/>
              </w:rPr>
            </w:pPr>
            <w:r>
              <w:rPr>
                <w:rFonts w:ascii="Arial" w:cs="Arial" w:eastAsia="Arial" w:hAnsi="Arial"/>
                <w:sz w:val="14"/>
                <w:szCs w:val="14"/>
                <w:color w:val="auto"/>
              </w:rPr>
              <w:t>Proceeds from the exercise of stock options</w:t>
            </w:r>
          </w:p>
        </w:tc>
        <w:tc>
          <w:tcPr>
            <w:tcW w:w="2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148"/>
        </w:trPr>
        <w:tc>
          <w:tcPr>
            <w:tcW w:w="29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(17,760)</w:t>
            </w: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(17,760)</w:t>
            </w:r>
          </w:p>
        </w:tc>
        <w:tc>
          <w:tcPr>
            <w:tcW w:w="0" w:type="dxa"/>
            <w:vAlign w:val="bottom"/>
          </w:tcPr>
          <w:p>
            <w:pPr>
              <w:spacing w:after="0"/>
              <w:rPr>
                <w:sz w:val="1"/>
                <w:szCs w:val="1"/>
                <w:color w:val="auto"/>
              </w:rPr>
            </w:pPr>
          </w:p>
        </w:tc>
      </w:tr>
      <w:tr>
        <w:trPr>
          <w:trHeight w:val="142"/>
        </w:trPr>
        <w:tc>
          <w:tcPr>
            <w:tcW w:w="29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September 30, 2020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69,613,562</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420,989</w:t>
            </w:r>
          </w:p>
        </w:tc>
        <w:tc>
          <w:tcPr>
            <w:tcW w:w="80" w:type="dxa"/>
            <w:vAlign w:val="bottom"/>
            <w:tcBorders>
              <w:top w:val="single" w:sz="8" w:color="auto"/>
              <w:bottom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0" w:type="dxa"/>
            <w:vAlign w:val="bottom"/>
            <w:tcBorders>
              <w:top w:val="single" w:sz="8" w:color="auto"/>
              <w:left w:val="single" w:sz="8" w:color="CCEEFF"/>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5,788,877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36,484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(371,884)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(335,399)</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680" w:type="dxa"/>
            <w:vAlign w:val="bottom"/>
            <w:gridSpan w:val="7"/>
          </w:tcPr>
          <w:p>
            <w:pPr>
              <w:ind w:left="20"/>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(69,062)</w:t>
            </w: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(50,312)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ind w:left="100"/>
              <w:spacing w:after="0" w:line="149" w:lineRule="exact"/>
              <w:rPr>
                <w:sz w:val="20"/>
                <w:szCs w:val="20"/>
                <w:color w:val="auto"/>
              </w:rPr>
            </w:pPr>
            <w:r>
              <w:rPr>
                <w:rFonts w:ascii="Arial" w:cs="Arial" w:eastAsia="Arial" w:hAnsi="Arial"/>
                <w:sz w:val="14"/>
                <w:szCs w:val="14"/>
                <w:color w:val="auto"/>
              </w:rPr>
              <w:t>Depreciation expense</w:t>
            </w: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4,650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 expense</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tcPr>
          <w:p>
            <w:pPr>
              <w:ind w:left="100"/>
              <w:spacing w:after="0" w:line="149" w:lineRule="exact"/>
              <w:rPr>
                <w:sz w:val="20"/>
                <w:szCs w:val="20"/>
                <w:color w:val="auto"/>
              </w:rPr>
            </w:pPr>
            <w:r>
              <w:rPr>
                <w:rFonts w:ascii="Arial" w:cs="Arial" w:eastAsia="Arial" w:hAnsi="Arial"/>
                <w:sz w:val="14"/>
                <w:szCs w:val="14"/>
                <w:color w:val="auto"/>
              </w:rPr>
              <w:t>Change in fair value of contingent earnout liability</w:t>
            </w: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9,768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 in fair value of common stock warrant liabilities</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tcPr>
          <w:p>
            <w:pPr>
              <w:ind w:left="10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2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expense</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ind w:left="100"/>
              <w:spacing w:after="0" w:line="149" w:lineRule="exact"/>
              <w:rPr>
                <w:sz w:val="20"/>
                <w:szCs w:val="20"/>
                <w:color w:val="auto"/>
              </w:rPr>
            </w:pPr>
            <w:r>
              <w:rPr>
                <w:rFonts w:ascii="Arial" w:cs="Arial" w:eastAsia="Arial" w:hAnsi="Arial"/>
                <w:sz w:val="14"/>
                <w:szCs w:val="14"/>
                <w:color w:val="auto"/>
              </w:rPr>
              <w:t>Non-cash operating lease costs</w:t>
            </w: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SVB debt discount</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tcPr>
          <w:p>
            <w:pPr>
              <w:ind w:left="100"/>
              <w:spacing w:after="0" w:line="149" w:lineRule="exact"/>
              <w:rPr>
                <w:sz w:val="20"/>
                <w:szCs w:val="20"/>
                <w:color w:val="auto"/>
              </w:rPr>
            </w:pPr>
            <w:r>
              <w:rPr>
                <w:rFonts w:ascii="Arial" w:cs="Arial" w:eastAsia="Arial" w:hAnsi="Arial"/>
                <w:sz w:val="14"/>
                <w:szCs w:val="14"/>
                <w:color w:val="auto"/>
              </w:rPr>
              <w:t>Accrued interest on PPP loan obligation</w:t>
            </w: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Gain on PPP loan forgiveness</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(3,284)</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tcPr>
          <w:p>
            <w:pPr>
              <w:ind w:left="100"/>
              <w:spacing w:after="0" w:line="149" w:lineRule="exact"/>
              <w:rPr>
                <w:sz w:val="20"/>
                <w:szCs w:val="20"/>
                <w:color w:val="auto"/>
              </w:rPr>
            </w:pPr>
            <w:r>
              <w:rPr>
                <w:rFonts w:ascii="Arial" w:cs="Arial" w:eastAsia="Arial" w:hAnsi="Arial"/>
                <w:sz w:val="14"/>
                <w:szCs w:val="14"/>
                <w:color w:val="auto"/>
              </w:rPr>
              <w:t>Payment of liabilities assumed in Merger</w:t>
            </w:r>
          </w:p>
        </w:tc>
        <w:tc>
          <w:tcPr>
            <w:tcW w:w="2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(12,363)</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(2,002)</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757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ind w:left="200"/>
              <w:spacing w:after="0" w:line="149" w:lineRule="exact"/>
              <w:rPr>
                <w:sz w:val="20"/>
                <w:szCs w:val="20"/>
                <w:color w:val="auto"/>
              </w:rPr>
            </w:pPr>
            <w:r>
              <w:rPr>
                <w:rFonts w:ascii="Arial" w:cs="Arial" w:eastAsia="Arial" w:hAnsi="Arial"/>
                <w:sz w:val="14"/>
                <w:szCs w:val="14"/>
                <w:color w:val="auto"/>
              </w:rPr>
              <w:t>Operating lease obligation</w:t>
            </w:r>
          </w:p>
        </w:tc>
        <w:tc>
          <w:tcPr>
            <w:tcW w:w="2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payroll taxes</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line="142" w:lineRule="exact"/>
              <w:rPr>
                <w:sz w:val="20"/>
                <w:szCs w:val="20"/>
                <w:color w:val="auto"/>
              </w:rPr>
            </w:pPr>
            <w:r>
              <w:rPr>
                <w:rFonts w:ascii="Arial" w:cs="Arial" w:eastAsia="Arial" w:hAnsi="Arial"/>
                <w:sz w:val="14"/>
                <w:szCs w:val="14"/>
                <w:color w:val="auto"/>
              </w:rPr>
              <w:t>Net cash used in operating activities</w:t>
            </w: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(59,742)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(40,373)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 of property and equipment</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tcPr>
          <w:p>
            <w:pPr>
              <w:ind w:left="100"/>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2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investing activities</w:t>
            </w:r>
          </w:p>
        </w:tc>
        <w:tc>
          <w:tcPr>
            <w:tcW w:w="2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ind w:left="100"/>
              <w:spacing w:after="0" w:line="149" w:lineRule="exact"/>
              <w:rPr>
                <w:sz w:val="20"/>
                <w:szCs w:val="20"/>
                <w:color w:val="auto"/>
              </w:rPr>
            </w:pPr>
            <w:r>
              <w:rPr>
                <w:rFonts w:ascii="Arial" w:cs="Arial" w:eastAsia="Arial" w:hAnsi="Arial"/>
                <w:sz w:val="14"/>
                <w:szCs w:val="14"/>
                <w:color w:val="auto"/>
              </w:rPr>
              <w:t>Proceeds from Merger and PIPE financing, net of offering costs paid</w:t>
            </w: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242,400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Payment of transaction costs related to Merger</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(941)</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tcPr>
          <w:p>
            <w:pPr>
              <w:ind w:left="100"/>
              <w:spacing w:after="0" w:line="149" w:lineRule="exact"/>
              <w:rPr>
                <w:sz w:val="20"/>
                <w:szCs w:val="20"/>
                <w:color w:val="auto"/>
              </w:rPr>
            </w:pPr>
            <w:r>
              <w:rPr>
                <w:rFonts w:ascii="Arial" w:cs="Arial" w:eastAsia="Arial" w:hAnsi="Arial"/>
                <w:sz w:val="14"/>
                <w:szCs w:val="14"/>
                <w:color w:val="auto"/>
              </w:rPr>
              <w:t>Proceeds from the exercise of stock options</w:t>
            </w: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596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SVB loan</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19,659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tcPr>
          <w:p>
            <w:pPr>
              <w:ind w:left="100"/>
              <w:spacing w:after="0" w:line="149" w:lineRule="exact"/>
              <w:rPr>
                <w:sz w:val="20"/>
                <w:szCs w:val="20"/>
                <w:color w:val="auto"/>
              </w:rPr>
            </w:pPr>
            <w:r>
              <w:rPr>
                <w:rFonts w:ascii="Arial" w:cs="Arial" w:eastAsia="Arial" w:hAnsi="Arial"/>
                <w:sz w:val="14"/>
                <w:szCs w:val="14"/>
                <w:color w:val="auto"/>
              </w:rPr>
              <w:t>Proceeds from PPP loan</w:t>
            </w:r>
          </w:p>
        </w:tc>
        <w:tc>
          <w:tcPr>
            <w:tcW w:w="2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3,251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Payment of finance lease principal</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(1,277)</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line="142" w:lineRule="exact"/>
              <w:rPr>
                <w:sz w:val="20"/>
                <w:szCs w:val="20"/>
                <w:color w:val="auto"/>
              </w:rPr>
            </w:pPr>
            <w:r>
              <w:rPr>
                <w:rFonts w:ascii="Arial" w:cs="Arial" w:eastAsia="Arial" w:hAnsi="Arial"/>
                <w:sz w:val="14"/>
                <w:szCs w:val="14"/>
                <w:color w:val="auto"/>
              </w:rPr>
              <w:t>Net cash provided by financing activities</w:t>
            </w: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260,437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200,520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(38,249)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the beginning of the period</w:t>
            </w: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39,929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93,713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2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and cash equivalents at the end of the period</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240,449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55,464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2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interest on SVB loan</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activities:</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ind w:left="100"/>
              <w:spacing w:after="0" w:line="149" w:lineRule="exact"/>
              <w:rPr>
                <w:sz w:val="20"/>
                <w:szCs w:val="20"/>
                <w:color w:val="auto"/>
              </w:rPr>
            </w:pPr>
            <w:r>
              <w:rPr>
                <w:rFonts w:ascii="Arial" w:cs="Arial" w:eastAsia="Arial" w:hAnsi="Arial"/>
                <w:sz w:val="14"/>
                <w:szCs w:val="14"/>
                <w:color w:val="auto"/>
              </w:rPr>
              <w:t>Operating lease right-of-use assets obtained in exchange for lease obligations</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Issuance of warrants in conjunction with debt</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2,360</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tcPr>
          <w:p>
            <w:pPr>
              <w:ind w:left="100"/>
              <w:spacing w:after="0" w:line="149" w:lineRule="exact"/>
              <w:rPr>
                <w:sz w:val="20"/>
                <w:szCs w:val="20"/>
                <w:color w:val="auto"/>
              </w:rPr>
            </w:pPr>
            <w:r>
              <w:rPr>
                <w:rFonts w:ascii="Arial" w:cs="Arial" w:eastAsia="Arial" w:hAnsi="Arial"/>
                <w:sz w:val="14"/>
                <w:szCs w:val="14"/>
                <w:color w:val="auto"/>
              </w:rPr>
              <w:t>Unpaid liabilities assumed in connection with Merger</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2,228</w:t>
            </w:r>
          </w:p>
        </w:tc>
        <w:tc>
          <w:tcPr>
            <w:tcW w:w="10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Unpaid transaction costs in connection with Merger</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3,004</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tcPr>
          <w:p>
            <w:pPr>
              <w:ind w:left="100"/>
              <w:spacing w:after="0" w:line="149" w:lineRule="exact"/>
              <w:rPr>
                <w:sz w:val="20"/>
                <w:szCs w:val="20"/>
                <w:color w:val="auto"/>
              </w:rPr>
            </w:pPr>
            <w:r>
              <w:rPr>
                <w:rFonts w:ascii="Arial" w:cs="Arial" w:eastAsia="Arial" w:hAnsi="Arial"/>
                <w:sz w:val="14"/>
                <w:szCs w:val="14"/>
                <w:color w:val="auto"/>
                <w:w w:val="97"/>
              </w:rPr>
              <w:t>Conversion of redeemable convertible preferred stock into common stock in connection with the reverse capitalization</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420,989</w:t>
            </w:r>
          </w:p>
        </w:tc>
        <w:tc>
          <w:tcPr>
            <w:tcW w:w="10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Contingent Consideration Liability recognized upon the closing of the reverse recapitalization</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159,432</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ind w:right="654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Organization</w:t>
      </w:r>
    </w:p>
    <w:p>
      <w:pPr>
        <w:jc w:val="both"/>
        <w:ind w:firstLine="324"/>
        <w:spacing w:after="0" w:line="259" w:lineRule="auto"/>
        <w:rPr>
          <w:sz w:val="20"/>
          <w:szCs w:val="20"/>
          <w:color w:val="auto"/>
        </w:rPr>
      </w:pPr>
      <w:r>
        <w:rPr>
          <w:rFonts w:ascii="Arial" w:cs="Arial" w:eastAsia="Arial" w:hAnsi="Arial"/>
          <w:sz w:val="18"/>
          <w:szCs w:val="18"/>
          <w:color w:val="auto"/>
        </w:rPr>
        <w:t>Humacyte, Inc.and subsidiary, or the Company, is pioneering the development and manufacture of off-the-shelf, universally implantable, bioengineered human tissues designed to improve the lives of patients and transform the practice of medicine. The Company is leveraging its technology platform to develop proprietary, bioengineered, acellular human tissues for use in the treatment of diseases and conditions across a range of anatomic locations in multiple therapeutic areas.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August 26, 2021 (the “Closing Date”), Alpha Healthcare Acquisition Corp. (“AHAC”) consummated a merger pursuant to which Hunter Merger Sub, Inc. (“Merger Sub”), a Delaware corporation and wholly owned subsidiary of AHAC, merged with Humacyte, Inc., a Delaware Corporation (“Legacy Humacyte”), with Legacy Humacyte surviving the Merger as a wholly-owned subsidiary of AHAC (such transactions, the “Merger,” and, collectively with the other transactions described in the Merger Agreement (as defined below), the “Reverse Recapitalization”). As a result of the Merger, AHAC was renamed Humacyte, Inc. (“New Humacyte”) and Legacy Humacyte was renamed Humacyte Global, Inc.</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3 - Reverse Recapitalization for further details of the Merger.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Going Concern</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Since its inception in 2004, the Company has generated no product revenue and has incurred net losses and negative cash flows from operations in each year. To date, the Company has financed its operations primarily through the sale of equity securities and convertible debt and, to a lesser extent, through governmental and other grants. At September 30, 2021 and December 31, 2020, the Company had an accumulated deficit of $457.2 million and $388.1 million, respectively. The Company’s net losses were $69.1 million and $50.3 million for the nine months ended September 30, 2021 and 2020, respectively. Substantially all of the Company’s net losses resulted from costs incurred in connection with the Company’s research and development programs and from general and administrative costs associated with the Company’s operations. The Company expects to incur substantial operating losses and negative cash flows from operations for the foreseeable future as the Company advances its product candidates.</w:t>
      </w:r>
    </w:p>
    <w:p>
      <w:pPr>
        <w:spacing w:after="0" w:line="16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September 30, 2021, the Company had cash and cash equivalents of $240.4 million. Based on the cash and cash equivalents on hand, the Company believes its combined cash and cash equivalents will be sufficient to fund operations, including clinical trial expenses and capital expenditure requirements, for at least 12 months from the issuance date of these interim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COVID-19 pandemic, which began in December 2019 and has spread worldwide, has caused many governments to implement measures to slow the spread of the outbreak, including shelter-in-place orders and the mandatory shutdown of certain businesses. The outbreak and government measures taken in response have had a significant impact, both direct and indirect, on the Company’s business, as supply chains have been disrupted, and facilities and production have been suspended. The future progression of the pandemic and its effects on the Company’s business and operations are uncertain. The COVID-19 pandemic may affect the Company’s ability to initiate and complete preclinical studies, delay its clinical trials or future clinical trials, disrupt regulatory activities, or have other adverse effects on its business and operations. The pandemic has already caused significant disruptions in the financial markets, and may continue to cause such disruptions, which could impact the Company’s ability to raise additional funds to support its operations. Moreover, the pandemic has significantly impacted economies worldwide and could result in adverse effects on the Company’s business and operations.</w:t>
      </w:r>
    </w:p>
    <w:p>
      <w:pPr>
        <w:spacing w:after="0" w:line="18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To date, the COVID-19 pandemic has not resulted in material financial impacts or impairment losses in the carrying values of the Company’s assets as a result of the pandemic and the Company is not aware of any specific related event or circumstance that would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require it to revise the estimates reflected in these financial statements. The extent to which the COVID-19 pandemic will directly or indirectly impact the Company’s business, results of operations and financial condition, including current and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economic impact of the pandemic.</w:t>
      </w:r>
    </w:p>
    <w:p>
      <w:pPr>
        <w:spacing w:after="0" w:line="184" w:lineRule="exact"/>
        <w:rPr>
          <w:sz w:val="20"/>
          <w:szCs w:val="20"/>
          <w:color w:val="auto"/>
        </w:rPr>
      </w:pPr>
    </w:p>
    <w:p>
      <w:pPr>
        <w:ind w:right="636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firstLine="324"/>
        <w:spacing w:after="0" w:line="311" w:lineRule="auto"/>
        <w:rPr>
          <w:sz w:val="20"/>
          <w:szCs w:val="20"/>
          <w:color w:val="auto"/>
        </w:rPr>
      </w:pPr>
      <w:r>
        <w:rPr>
          <w:rFonts w:ascii="Arial" w:cs="Arial" w:eastAsia="Arial" w:hAnsi="Arial"/>
          <w:sz w:val="16"/>
          <w:szCs w:val="16"/>
          <w:color w:val="auto"/>
        </w:rPr>
        <w:t>The Company has prepared the accompanying financial statements in conformity with accounting principles generally accepted in the United States of America, or U.S. GAAP. The Company’s condensed consolidated financial statements reflect the operations of the Company and its wholly owned subsidiaries. All intercompany accounts and transactions have been eliminated in consolidation.</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otherwise noted, the Company has retroactively adjusted all common and preferred share and related price information to give effect to the Exchange Ratio established in the Merger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costs, right-of-use, or ROU, assets, accruals for research and development activities, contingent earnout liability, fair value of common stock warrants, redeemable convertible preferred stock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Financial Statements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accompanying interim condensed consolidated financial statements and the related footnote disclosures are unaudited. These unaudited interim financial statements have been prepared on the same basis as the audited financial statements, and in management’s opinion, include all adjustments, consisting of only normal recurring adjustments, necessary for the fair statement of the Company’s financial position as of September 30, 2021 and its results of operations for the three and nine months ended September 30, 2021 and 2020, and cash flows for the nine months ended September 30, 2021 and 2020. The results of operations for the three and nine months ended September 30, 2021 are not necessarily indicative of the results to be expected for the year ended December 31, 2021 or any other period. The December 31, 2020 year-end condensed consolidated balance sheet was derived from audited annual financial statements but does not include all disclosures from the annual financial statements.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Certain information and footnote disclosures normally included in consolidated financial statements prepared in accordance with U.S. GAAP have been condensed or omitted pursuant to such rules and regulations. Accordingly, these condensed consolidated financial statements should be read in conjunction with the audited consolidated financial statements for the year ended December 31, 2020 and the related notes included in the Company’s Registration Statement on Form S-1, filed with the SEC on September 17, 2021 and amended on October 22, 2021, or S-1, which provides a more complete discussion of the Company’s accounting policies and certain other information.</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the policies noted below, there have been no significant changes to the significant accounting policies disclosed in Note 2 of the audited consolidated financial statements as of and for the years ended December 31, 2020 and 2019 included in the Company’s S-1.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18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“Common Stock Warrants”). The Common Stock Warrants entitle the holder to purchase one share of the Company’s Common stock, par value $0.0001 (“Common Stock”), at an exercise price of $11.50 per share.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eligible for a cashless exercise. The Private Placement Warrants are non-redeemable for cash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such holders on the same basis as the Public Warrants.</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Company evaluated the Common Stock Warrants to determine the appropriate financial statement classification upon the consummation of the Merger. The Common Stock Warrants are not mandatorily redeemable and are considered to be freestanding instruments as they are separately exercisable into common shares. As such, the Common Stock Warrants were not classified as liabilities under FASB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(“ASC 480”). The Company then evaluated the Common Stock Warrants under FASB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16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agreement governing the Common Stock Warrants includes a provision (“Replacement of Securities Upon Reorganization”), the application of which could result in a different settlement value for the Private Placement Warrants depending on their holder. Because the holder of an instrument is not an input into the pricing of a fixed-for-fixed option on the Company’s ordinary shares, the Private Placement Warrants are not considered to be “indexed to the Company’s own stock” and therefore are not classified in stockholders’ equity. As the Private Placement Warrants meet the definition of a derivative, the Company recorded these warrants as liabilities on the condensed consolidated balance sheet at fair value, with subsequent changes in their respective fair values recognized in the condensed consolidated statements of operations and comprehensive loss at each reporting date.</w:t>
      </w:r>
    </w:p>
    <w:p>
      <w:pPr>
        <w:spacing w:after="0" w:line="13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Public Warrants are considered to be “indexed to the Company’s own stock”. The agreement provides that in the event of a tender or exchange offer made to and accepted by holders of more than 50% of the outstanding shares of the Company’s common shares, all holders of the Common Stock Warrants (both the Public Warrants and the Private Placement Warrants) would be entitled to receive cash for all of their Common Stock Warrants. As the Company has a single class of common stock, a qualifying cash tender offer of more than 50% of the Company’s common stock will always result in a change-in-control and would not preclude permanent equity classification of the Public Warrants. Based on this evaluation, the Company concluded that the Public Warrants meet the criteria to be classified within stockholders’ equity.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Earnout Liability</w:t>
      </w:r>
    </w:p>
    <w:p>
      <w:pPr>
        <w:spacing w:after="0" w:line="2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connection with the Reverse Recapitalization and pursuant to the Business Combination Agreement dated as of February 17, 2021 by and among Legacy Humacyte, Merger Sub, and AHAC (the “Merger Agreement”), Legacy Humacyte equity holders are entitled to receive as additional merger consideration of up to 15,000,000 shares of the Company’s Common Stock (the “Contingent Earnout Shares”), comprised of two separate tranches of 7,500,000 shares per tranche, for no consideration upon the occurrence of certain triggering events, including a change of control event that is not solely indexed to the common stock. In accordance with ASC 815-40, as the earnout shares were not indexed to the common stock, they were accounted for as a liability at the Reverse Recapitalization date and subsequently remeasured at each reporting date with changes in fair value recorded as a component of other (expense) income, net in the condensed consolidated statements of operations and comprehensive loss.</w:t>
      </w:r>
    </w:p>
    <w:p>
      <w:pPr>
        <w:spacing w:after="0" w:line="17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estimated fair value of the Contingent Earnout Shares was determined using a Monte Carlo simulation using a distribution of potential outcomes on a monthly basis over a ten-year period prioritizing the most reliable information available. The assumptions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utilized in the calculation were based on the achievement of certain stock price milestones, including the current Company common stock price, expected volatility, risk-free rate, expected term and expected dividend yield.</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Contingent Earnout Shares are categorized as a Level 3 fair value measurement (see Fair Value Measurements accounting policy described below in Note 4) because the Company estimated projections over a ten-year period utilizing unobservable inputs. Contingent earnout payments involve certain assumptions requiring significant judgment and actual results can differ from assumed and estimated amounts.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02"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The Company operates and manages its business as one reportable and operating segment. The Company is developing proprietary, bioengineered, acellular human tissues that are designed to be used in the treatment of diseases and conditions across a range of anatomic locations in multiple therapeutic areas. The Company’s chief executive officer, who is the chief operating decision maker, reviews financial information on an aggregate basis for purposes of evaluating financial performance and allocating resources.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revenues generally consist of grant revenues, including revenues generated under government and other awarded grants.</w:t>
      </w:r>
    </w:p>
    <w:p>
      <w:pPr>
        <w:spacing w:after="0" w:line="14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Under ASC 606, revenue is recognized when a customer obtains control of promised goods or services and is recognized in an amount that reflects the consideration that an entity expects to receive in exchange for those goods or services. To determine revenue recognition for arrangements that an entity determines are within the scope of ASC 606, the entity performs the following five steps:</w:t>
      </w:r>
    </w:p>
    <w:p>
      <w:pPr>
        <w:spacing w:after="0" w:line="2"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identify the contract(s) with a customer; (ii) identify the performance obligations in the contract; (iii) determine the transaction price;</w:t>
      </w:r>
    </w:p>
    <w:p>
      <w:pPr>
        <w:spacing w:after="0" w:line="32" w:lineRule="exact"/>
        <w:rPr>
          <w:rFonts w:ascii="Arial" w:cs="Arial" w:eastAsia="Arial" w:hAnsi="Arial"/>
          <w:sz w:val="16"/>
          <w:szCs w:val="16"/>
          <w:color w:val="auto"/>
        </w:rPr>
      </w:pPr>
    </w:p>
    <w:p>
      <w:pPr>
        <w:jc w:val="both"/>
        <w:ind w:firstLine="8"/>
        <w:spacing w:after="0" w:line="255"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 (v) recognize revenue when (or as) the entity satisfies a performance obligation. ASC 606 also impacts certain other areas, such as the accounting for costs to obtain or fulfill a contract.</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ASC 606 requires disclosure of the nature, amount, timing, and uncertainty of revenue and cash flows arising from contracts with customers.</w:t>
      </w:r>
    </w:p>
    <w:p>
      <w:pPr>
        <w:spacing w:after="0" w:line="13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contracts where the period between when the Company transfers a promised good or service to the customer and when the customer pays is one year or less, the Company has elected the practical expedient to not adjust the promised amount of consideration for the effects of a significant financing component.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generates revenue primarily from government and other awarded grants that reimburse the Company for certain allowable costs related to research and development efforts. These grants include the following terms: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Department of Defense grants are for an award of $4.0 million, all of which was recognized as revenue before the program ended, for work on bioengineered blood vessels for vascular trauma, which was awarded to the Company in September 2017 and ended in February 2020, and an award of $7.1 million for work to support human tissue engineered blood vessels for vascular reconstruction in the injured warfighter, which was awarded to the Company in August 2017 and is ongoing. The Company has recognized revenue of $0.2 million and $1.1 million during the three and nine months ended September 30, 2021,respectively, and $0.6 million and $1.0 million during the three and nine months ended September 30, 2020, respectively, for reimbursement of certain allowable costs related to these grants.</w:t>
      </w:r>
    </w:p>
    <w:p>
      <w:pPr>
        <w:spacing w:after="0" w:line="19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National Institutes of Health grant is for $1.6 million for work to support bioengineered grafts for peripheral vascular disease, which was awarded to the Company in November 2013. The Company recognized $1.6 million for the reimbursement of certain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allowable costs related to the grant before this program ended in 2020. The Company recognized $0.3 million during the three and nine months ended September 30, 2020, and no revenue during the three and nine months ended September 30, 2021, for reimbursement of certain allowable costs related to these grants.</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has determined that the grants are not within the scope of ASC 606 as they do not meet the definition of a contract with a customer. The Company has concluded that the grants meet the definition of a contribution and are nonexchange transactions and has applied the contribution accounting model in Subtopic 958-605, Not-for-Profit-Entities-Revenue Recognition by analogy.</w:t>
      </w:r>
    </w:p>
    <w:p>
      <w:pPr>
        <w:spacing w:after="0" w:line="1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recognizes funding received from grants as revenue, rather than as a reduction of research and development expenses, because the Company is the principal in conducting the research and development activities and these grants are central to the Company’s ongoing operations. The Company recognizes revenue only after the qualifying expenses related to the grants have been incurred and it is reasonably assured that the expenses will be reimbursed and the revenue will be collectible. The related costs incurred are included in research and development expense in the Company’s condensed consolidated statements of operations and comprehensive loss.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 from grants not within the scope of ASC 606 was $0.2 million and $1.1 million for the three and nine months ended September 30, 2021, respectively, and $0.9 million and $1.4 million for the three and nine months ended September 30,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and cash equivalents. Total cash balances exceeded insured balances by the Federal Deposit Insurance Corporation as of September 30, 2021 and December 31, 2020. Cash equivalents are invested in highly rated money market funds invested only in obligations of the U.S. government and its agencies.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majority of the Company’s revenue has been derived from government grants. The Company’s grants, which represented 10% or more of the Company’s total revenue during the three and nine months ended September 30, 2021 and 2020, or accounts receivable balance as of September 30, 2021 and December 31, 2020,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4"/>
          </w:tcPr>
          <w:p>
            <w:pPr>
              <w:jc w:val="right"/>
              <w:ind w:right="1010"/>
              <w:spacing w:after="0"/>
              <w:rPr>
                <w:sz w:val="20"/>
                <w:szCs w:val="20"/>
                <w:color w:val="auto"/>
              </w:rPr>
            </w:pPr>
            <w:r>
              <w:rPr>
                <w:rFonts w:ascii="Arial" w:cs="Arial" w:eastAsia="Arial" w:hAnsi="Arial"/>
                <w:sz w:val="14"/>
                <w:szCs w:val="14"/>
                <w:b w:val="1"/>
                <w:bCs w:val="1"/>
                <w:color w:val="auto"/>
              </w:rPr>
              <w:t>Revenue</w:t>
            </w: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Accounts Receivable</w:t>
            </w:r>
          </w:p>
        </w:tc>
      </w:tr>
      <w:tr>
        <w:trPr>
          <w:trHeight w:val="142"/>
        </w:trPr>
        <w:tc>
          <w:tcPr>
            <w:tcW w:w="2740" w:type="dxa"/>
            <w:vAlign w:val="bottom"/>
          </w:tcPr>
          <w:p>
            <w:pPr>
              <w:spacing w:after="0"/>
              <w:rPr>
                <w:sz w:val="12"/>
                <w:szCs w:val="12"/>
                <w:color w:val="auto"/>
              </w:rPr>
            </w:pPr>
          </w:p>
        </w:tc>
        <w:tc>
          <w:tcPr>
            <w:tcW w:w="2500" w:type="dxa"/>
            <w:vAlign w:val="bottom"/>
            <w:tcBorders>
              <w:top w:val="single" w:sz="8" w:color="auto"/>
            </w:tcBorders>
            <w:gridSpan w:val="5"/>
          </w:tcPr>
          <w:p>
            <w:pPr>
              <w:jc w:val="right"/>
              <w:ind w:right="170"/>
              <w:spacing w:after="0" w:line="142" w:lineRule="exact"/>
              <w:rPr>
                <w:sz w:val="20"/>
                <w:szCs w:val="20"/>
                <w:color w:val="auto"/>
              </w:rPr>
            </w:pPr>
            <w:r>
              <w:rPr>
                <w:rFonts w:ascii="Arial" w:cs="Arial" w:eastAsia="Arial" w:hAnsi="Arial"/>
                <w:sz w:val="14"/>
                <w:szCs w:val="14"/>
                <w:b w:val="1"/>
                <w:bCs w:val="1"/>
                <w:color w:val="auto"/>
                <w:w w:val="93"/>
              </w:rPr>
              <w:t>Three Months Ended September 30,</w:t>
            </w:r>
          </w:p>
        </w:tc>
        <w:tc>
          <w:tcPr>
            <w:tcW w:w="21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2"/>
              </w:rPr>
              <w:t>Nine Months Ended September 30,</w:t>
            </w:r>
          </w:p>
        </w:tc>
        <w:tc>
          <w:tcPr>
            <w:tcW w:w="24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December 31,</w:t>
            </w:r>
          </w:p>
        </w:tc>
        <w:tc>
          <w:tcPr>
            <w:tcW w:w="240" w:type="dxa"/>
            <w:vAlign w:val="bottom"/>
          </w:tcPr>
          <w:p>
            <w:pPr>
              <w:spacing w:after="0"/>
              <w:rPr>
                <w:sz w:val="12"/>
                <w:szCs w:val="12"/>
                <w:color w:val="auto"/>
              </w:rPr>
            </w:pPr>
          </w:p>
        </w:tc>
      </w:tr>
      <w:tr>
        <w:trPr>
          <w:trHeight w:val="142"/>
        </w:trPr>
        <w:tc>
          <w:tcPr>
            <w:tcW w:w="27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r>
      <w:tr>
        <w:trPr>
          <w:trHeight w:val="209"/>
        </w:trPr>
        <w:tc>
          <w:tcPr>
            <w:tcW w:w="2740" w:type="dxa"/>
            <w:vAlign w:val="bottom"/>
            <w:shd w:val="clear" w:color="auto" w:fill="CCEEFF"/>
          </w:tcPr>
          <w:p>
            <w:pPr>
              <w:jc w:val="center"/>
              <w:ind w:right="2050"/>
              <w:spacing w:after="0"/>
              <w:rPr>
                <w:sz w:val="20"/>
                <w:szCs w:val="20"/>
                <w:color w:val="auto"/>
              </w:rPr>
            </w:pPr>
            <w:r>
              <w:rPr>
                <w:rFonts w:ascii="Arial" w:cs="Arial" w:eastAsia="Arial" w:hAnsi="Arial"/>
                <w:sz w:val="18"/>
                <w:szCs w:val="18"/>
                <w:color w:val="auto"/>
                <w:w w:val="96"/>
              </w:rPr>
              <w:t>Grant A</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jc w:val="center"/>
              <w:ind w:right="2748"/>
              <w:spacing w:after="0"/>
              <w:rPr>
                <w:sz w:val="20"/>
                <w:szCs w:val="20"/>
                <w:color w:val="auto"/>
              </w:rPr>
            </w:pPr>
            <w:r>
              <w:rPr>
                <w:rFonts w:ascii="Arial" w:cs="Arial" w:eastAsia="Arial" w:hAnsi="Arial"/>
                <w:sz w:val="18"/>
                <w:szCs w:val="18"/>
                <w:color w:val="auto"/>
                <w:w w:val="93"/>
              </w:rPr>
              <w:t>Grant B</w:t>
            </w:r>
          </w:p>
        </w:tc>
        <w:tc>
          <w:tcPr>
            <w:tcW w:w="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0 %</w:t>
            </w:r>
          </w:p>
        </w:tc>
        <w:tc>
          <w:tcPr>
            <w:tcW w:w="12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11 %</w:t>
            </w: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gridSpan w:val="2"/>
            <w:shd w:val="clear" w:color="auto" w:fill="CCEEFF"/>
          </w:tcPr>
          <w:p>
            <w:pPr>
              <w:jc w:val="center"/>
              <w:ind w:right="2748"/>
              <w:spacing w:after="0"/>
              <w:rPr>
                <w:sz w:val="20"/>
                <w:szCs w:val="20"/>
                <w:color w:val="auto"/>
              </w:rPr>
            </w:pPr>
            <w:r>
              <w:rPr>
                <w:rFonts w:ascii="Arial" w:cs="Arial" w:eastAsia="Arial" w:hAnsi="Arial"/>
                <w:sz w:val="18"/>
                <w:szCs w:val="18"/>
                <w:color w:val="auto"/>
                <w:w w:val="91"/>
              </w:rPr>
              <w:t>Grant C</w:t>
            </w: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0"/>
              </w:rPr>
              <w:t>100 %</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68 %</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100 %</w:t>
            </w: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65 %</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100 %</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100 %</w:t>
            </w:r>
          </w:p>
        </w:tc>
      </w:tr>
      <w:tr>
        <w:trPr>
          <w:trHeight w:val="216"/>
        </w:trPr>
        <w:tc>
          <w:tcPr>
            <w:tcW w:w="3400" w:type="dxa"/>
            <w:vAlign w:val="bottom"/>
            <w:gridSpan w:val="2"/>
          </w:tcPr>
          <w:p>
            <w:pPr>
              <w:jc w:val="center"/>
              <w:ind w:right="2728"/>
              <w:spacing w:after="0"/>
              <w:rPr>
                <w:sz w:val="20"/>
                <w:szCs w:val="20"/>
                <w:color w:val="auto"/>
              </w:rPr>
            </w:pPr>
            <w:r>
              <w:rPr>
                <w:rFonts w:ascii="Arial" w:cs="Arial" w:eastAsia="Arial" w:hAnsi="Arial"/>
                <w:sz w:val="18"/>
                <w:szCs w:val="18"/>
                <w:color w:val="auto"/>
                <w:w w:val="95"/>
              </w:rPr>
              <w:t>Grant D</w:t>
            </w:r>
          </w:p>
        </w:tc>
        <w:tc>
          <w:tcPr>
            <w:tcW w:w="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30 %</w:t>
            </w:r>
          </w:p>
        </w:tc>
        <w:tc>
          <w:tcPr>
            <w:tcW w:w="12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20 %</w:t>
            </w: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r>
      <w:tr>
        <w:trPr>
          <w:trHeight w:val="210"/>
        </w:trPr>
        <w:tc>
          <w:tcPr>
            <w:tcW w:w="2740" w:type="dxa"/>
            <w:vAlign w:val="bottom"/>
            <w:tcBorders>
              <w:top w:val="single" w:sz="8" w:color="CCEEFF"/>
              <w:bottom w:val="single" w:sz="8" w:color="CCEEFF"/>
            </w:tcBorders>
            <w:shd w:val="clear" w:color="auto" w:fill="CCEEFF"/>
          </w:tcPr>
          <w:p>
            <w:pPr>
              <w:jc w:val="center"/>
              <w:ind w:right="2050"/>
              <w:spacing w:after="0"/>
              <w:rPr>
                <w:sz w:val="20"/>
                <w:szCs w:val="20"/>
                <w:color w:val="auto"/>
              </w:rPr>
            </w:pPr>
            <w:r>
              <w:rPr>
                <w:rFonts w:ascii="Arial" w:cs="Arial" w:eastAsia="Arial" w:hAnsi="Arial"/>
                <w:sz w:val="18"/>
                <w:szCs w:val="18"/>
                <w:color w:val="auto"/>
                <w:w w:val="89"/>
              </w:rPr>
              <w:t>Total</w:t>
            </w: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96</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0"/>
        </w:trPr>
        <w:tc>
          <w:tcPr>
            <w:tcW w:w="27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of the Company’s revenues were generated from grants from government and other entities located in the United States, for the three and nine months ended September 30, 2021 and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and Uncertainties</w:t>
      </w:r>
    </w:p>
    <w:p>
      <w:pPr>
        <w:spacing w:after="0" w:line="22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successful discovery and development of its product candidates, the success of clinical trials and other studies for its product candidates, including for its ongoing V005 Phase II/III clinical trial and V007 Phase III clinical trial, the regulatory approval and commercialization of its HAVs and other product candidates, the expected size of the target populations for the Company’s product candidates, the degree of market acceptance of the HAVs, if approved, the availability of third-party coverage and reimbursement, development by competitors of new technological innovations, the ability to manufacture HAVs and other product candidates in sufficient quantities, expectations regarding the Company’s strategic partnerships, dependence on third parties, key personnel and the ability to attract and retain qualified employees, protection of proprietary technology and confidentiality of trade secrets, compliance with governmental regulations, the impact of the COVID-19 pandemic, the Company’s implementation and maintenance of effective internal controls, and the ability to secure additional capital to fund operations and commercial success of its product candidates.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Product candidates currently under development will require extensive preclinical and clinical testing and regulatory approval prior to commercialization. These efforts require significant amounts of additional capital, adequate personnel, and infrastructure and extensive compliance-reporting capabilities. Even if the Company’s commercialization efforts are successful, it is uncertain when, if ever, the Company will realize significant revenue from product sales, and the Company may depend on certain strategic relationships to distribute its products, including the Company’s strategic partnership with Fresenius Medical Care Holdings, Inc., or Fresenius Medical Care, to sell, market and distribute its 6 millimeter HAV for certain specified indications.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Attributable to Common Stockholders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follows the two-class method to compute basic and diluted net loss per share attributable to common stockholders when shares met the definition of participating securities. The two-class method determines net loss per common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share in the earnings as if all income for the period had been distributed. During periods of loss, there is no allocation required under the two-class method since the redeemable convertible preferred stock did not have a contractual obligation to share in the Company’s losses.</w:t>
      </w:r>
    </w:p>
    <w:p>
      <w:pPr>
        <w:spacing w:after="0" w:line="1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Basic net loss per share attributable to common stockholders is computed by dividing net loss attributable to common stockholders by the weighted-average number of common shares outstanding during the period without consideration of potentially dilutive common stock. Diluted net loss per share attributable to common stockholders reflects the potential dilution that could occur if securities or other contracts to issue common stock were exercised or converted into common stock or resulted in the issuance of common stock that then shared in the earnings of the Company unless inclusion of such shares would be anti-dilutive. As the Company has only incurred losses, basic and diluted net loss per share is the same.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for each period because including them would have had an antidilutive effect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75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12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2"/>
                <w:szCs w:val="12"/>
                <w:color w:val="auto"/>
              </w:rPr>
            </w:pPr>
          </w:p>
        </w:tc>
        <w:tc>
          <w:tcPr>
            <w:tcW w:w="114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conversion of Series A redeemable convertible preferred stock</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Shares issuable upon conversion of Series B redeemable convertible preferred stock</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24,137,647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conversion of Series C redeemable convertible preferred stock</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Shares issuable upon conversion of Series D redeemable convertible preferred stock</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15,812,735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 under stock plan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6,399,888</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4,516,907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5,465,204</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32,961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15,000,000 Contingent Earnout shares are excluded from the anti-dilutive table for all the periods presented as such shares are contingently issuable until the share price of the Company exceeds specified thresholds that have not yet been achieved, or upon the occurrence of a change in control.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reviews the carrying value of property and equipment for indicators of possible impairment whenever events and circumstances indicate that the carrying value of an asset or asset group may not be recoverable from the estimated future net undiscounted cash flows expected to result from its use and eventual disposition. In cases where estimated future net undiscounted cash flows are less than the carrying value, an impairment loss is recognized equal to an amount by which the carrying value exceeds the fair value of the asset or asset group. The factors considered by management in performing this assessment include current operating results, trends and prospects, the manner in which the property is used, and the effects of obsolescence, demand, competition, and other economic factors. Based on this assessment, during the nine months ended September 30, 2021 and 2020, respectively, the Company concluded there were no such events or changes in circumstances requiring review of the carrying amount of the Company’s long-lived assets and there was no impairment at September 30, 2021 or December 31, 2020.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0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August 2020, the FASB issued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The ASU removes certain settlement conditions that are required for equity contracts to qualify for the derivative scope exception and it also simplifies the diluted earnings per share calculation in certain areas. Either a modified retrospective method of transition or a fully retrospective method of transition is permissible for the adoption of this standard. This guidance is effective for fiscal years, and interim periods within those fiscal years, beginning after December 15, 2021, with early adoption permitted. The Company adopted ASU 2020-06 as of January 1, 2021. The adoption of this ASU had no impact on the Company’s financial statements and related disclosures.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May 2021, the FASB issued ASU No. 2021-04, “Issuer’s Accounting for Certain Modifications or Exchanges of Freestanding Equity-Classified Written Call Options” (“ASU 2021-04”). The FASB issued this update to clarify and reduce diversity in an issuer’s accounting for modifications or exchanges of freestanding equity classified written call options (for example, warrants) that remain equity classified after modification or exchange. ASU 2021-04 is effective for all entities for fiscal years beginning after December 15, 2021, including interim periods within those fiscal years. An entity should apply the amendments prospectively to modifications or exchanges occurring after the effective date of the amendments. The Company is currently evaluating the effect of this update on its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Reverse Recapitalization</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On August 26, 2021, Merger Sub, a wholly-owned subsidiary of AHAC, merged with Legacy Humacyte, with Legacy Humacyte surviving as a wholly-owned subsidiary of AHAC. At the effective time of the Merger:</w:t>
      </w:r>
    </w:p>
    <w:p>
      <w:pPr>
        <w:spacing w:after="0" w:line="170" w:lineRule="exact"/>
        <w:rPr>
          <w:sz w:val="20"/>
          <w:szCs w:val="20"/>
          <w:color w:val="auto"/>
        </w:rPr>
      </w:pPr>
    </w:p>
    <w:p>
      <w:pPr>
        <w:ind w:left="68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outstanding share of Legacy Humacyte common stock was converted into approximately 0.26260 shares of the Company’s common stock;</w:t>
      </w:r>
    </w:p>
    <w:p>
      <w:pPr>
        <w:spacing w:after="0" w:line="170" w:lineRule="exact"/>
        <w:rPr>
          <w:rFonts w:ascii="Arial" w:cs="Arial" w:eastAsia="Arial" w:hAnsi="Arial"/>
          <w:sz w:val="18"/>
          <w:szCs w:val="18"/>
          <w:color w:val="auto"/>
        </w:rPr>
      </w:pPr>
    </w:p>
    <w:p>
      <w:pPr>
        <w:jc w:val="both"/>
        <w:ind w:left="680" w:hanging="321"/>
        <w:spacing w:after="0" w:line="259"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outstanding share of preferred stock of Legacy Humacyte was cancelled and converted into the aggregate number of shares of New Humacyte’s common stock that would be issued upon conversion of the shares of Legacy Humacyte preferred stock based on the applicable conversion ratio immediately prior to the effective time, multiplied by approximately 0.26260; and</w:t>
      </w:r>
    </w:p>
    <w:p>
      <w:pPr>
        <w:spacing w:after="0" w:line="186" w:lineRule="exact"/>
        <w:rPr>
          <w:rFonts w:ascii="Arial" w:cs="Arial" w:eastAsia="Arial" w:hAnsi="Arial"/>
          <w:sz w:val="18"/>
          <w:szCs w:val="18"/>
          <w:color w:val="auto"/>
        </w:rPr>
      </w:pPr>
    </w:p>
    <w:p>
      <w:pPr>
        <w:jc w:val="both"/>
        <w:ind w:left="680" w:hanging="321"/>
        <w:spacing w:after="0" w:line="279"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each outstanding option or warrant to purchase Legacy Humacyte common stock was converted into an option or warrant, as applicable, to purchase a number of shares of the Company’s common stock equal to the number of shares of Legacy Humacyte common stock subject to such option or warrant multiplied by approximately 0.26260, at an exercise price per share equal to the current exercise price per share for such option or warrant divided by approximately 0.26260;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each case, rounded down to the nearest whole share.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upon the closing of the merger (the “Closing”), 2,500,000 Class B shares of AHAC (Founder Shares) automatically converted into shares of the Company’s common stock, on a one-for-one basis.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Former holders of the Legacy Humacyte common stock and Legacy Humacyte preferred stock are eligible to receive up to an aggregate of 15 million additional shares of the Company’s common stock (the “Contingent Earnout Shares”) in the aggregate in two equal tranches of 7.5 million shares if the volume-weighted average closing sale price of the common stock is greater than or equal to $15.00 and $20.00, respectively, for any 20 trading days within any 30 consecutive trading day period. At the Closing on August 26, 2021, the Company recorded a liability (“Contingent Earnout Liability”) of $159.4 million, based on the estimated fair value of the 15 million Contingent Earnout Shares with a corresponding reduction of additional paid-in capital in the equity section of the Company’s condensed consolidated balance sheet.</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Concurrently with the execution of the Business Combination Agreement, AHAC entered into subscription agreements (the “Subscription Agreements”) with certain investors (the “PIPE Investors”). Pursuant to the Subscription Agreements, the PIPE Investors purchased an aggregate of 17,500,000 shares of the Company’s common stock (the “PIPE Shares”) in a private placement at a price of $10.00 per share for an aggregate purchase price of $175 million (the “PIPE Financing”). The PIPE Financing was consummated in connection with the Closing.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number of shares of the Company’s common stock outstanding immediately following the consummation of the Merger was: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5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CCEEFF"/>
            </w:tcBorders>
          </w:tcPr>
          <w:p>
            <w:pPr>
              <w:spacing w:after="0"/>
              <w:rPr>
                <w:sz w:val="14"/>
                <w:szCs w:val="14"/>
                <w:color w:val="auto"/>
              </w:rPr>
            </w:pPr>
          </w:p>
        </w:tc>
      </w:tr>
      <w:tr>
        <w:trPr>
          <w:trHeight w:val="209"/>
        </w:trPr>
        <w:tc>
          <w:tcPr>
            <w:tcW w:w="100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of AHAC, outstanding prior to Merger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10,355,000</w:t>
            </w:r>
          </w:p>
        </w:tc>
        <w:tc>
          <w:tcPr>
            <w:tcW w:w="24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redemption of AHAC shares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(3,008,551)</w:t>
            </w:r>
          </w:p>
        </w:tc>
        <w:tc>
          <w:tcPr>
            <w:tcW w:w="240" w:type="dxa"/>
            <w:vAlign w:val="bottom"/>
            <w:tcBorders>
              <w:bottom w:val="single" w:sz="8" w:color="CCEEFF"/>
            </w:tcBorders>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of AHAC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7,346,449</w:t>
            </w:r>
          </w:p>
        </w:tc>
        <w:tc>
          <w:tcPr>
            <w:tcW w:w="24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AHAC Founder Shares</w:t>
            </w:r>
          </w:p>
        </w:tc>
        <w:tc>
          <w:tcPr>
            <w:tcW w:w="1000" w:type="dxa"/>
            <w:vAlign w:val="bottom"/>
          </w:tcPr>
          <w:p>
            <w:pPr>
              <w:jc w:val="right"/>
              <w:spacing w:after="0"/>
              <w:rPr>
                <w:sz w:val="20"/>
                <w:szCs w:val="20"/>
                <w:color w:val="auto"/>
              </w:rPr>
            </w:pPr>
            <w:r>
              <w:rPr>
                <w:rFonts w:ascii="Arial" w:cs="Arial" w:eastAsia="Arial" w:hAnsi="Arial"/>
                <w:sz w:val="18"/>
                <w:szCs w:val="18"/>
                <w:color w:val="auto"/>
              </w:rPr>
              <w:t>2,500,000</w:t>
            </w:r>
          </w:p>
        </w:tc>
        <w:tc>
          <w:tcPr>
            <w:tcW w:w="24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Humacyte shares issued to PIPE Investors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17,500,000</w:t>
            </w:r>
          </w:p>
        </w:tc>
        <w:tc>
          <w:tcPr>
            <w:tcW w:w="240" w:type="dxa"/>
            <w:vAlign w:val="bottom"/>
            <w:shd w:val="clear" w:color="auto" w:fill="CCEEFF"/>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Issuance of common stock upon reverse recapitalization and PIPE Financing</w:t>
            </w:r>
          </w:p>
        </w:tc>
        <w:tc>
          <w:tcPr>
            <w:tcW w:w="1000" w:type="dxa"/>
            <w:vAlign w:val="bottom"/>
          </w:tcPr>
          <w:p>
            <w:pPr>
              <w:jc w:val="right"/>
              <w:spacing w:after="0"/>
              <w:rPr>
                <w:sz w:val="20"/>
                <w:szCs w:val="20"/>
                <w:color w:val="auto"/>
              </w:rPr>
            </w:pPr>
            <w:r>
              <w:rPr>
                <w:rFonts w:ascii="Arial" w:cs="Arial" w:eastAsia="Arial" w:hAnsi="Arial"/>
                <w:sz w:val="18"/>
                <w:szCs w:val="18"/>
                <w:color w:val="auto"/>
              </w:rPr>
              <w:t>27,346,449</w:t>
            </w:r>
          </w:p>
        </w:tc>
        <w:tc>
          <w:tcPr>
            <w:tcW w:w="24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Humacyte shares issued in Merger to Legacy Humacyte stockholders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75,656,935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(1)</w:t>
            </w:r>
          </w:p>
        </w:tc>
      </w:tr>
      <w:tr>
        <w:trPr>
          <w:trHeight w:val="210"/>
        </w:trPr>
        <w:tc>
          <w:tcPr>
            <w:tcW w:w="7700" w:type="dxa"/>
            <w:vAlign w:val="bottom"/>
            <w:gridSpan w:val="3"/>
          </w:tcPr>
          <w:p>
            <w:pPr>
              <w:ind w:left="1000"/>
              <w:spacing w:after="0"/>
              <w:rPr>
                <w:sz w:val="20"/>
                <w:szCs w:val="20"/>
                <w:color w:val="auto"/>
              </w:rPr>
            </w:pPr>
            <w:r>
              <w:rPr>
                <w:rFonts w:ascii="Arial" w:cs="Arial" w:eastAsia="Arial" w:hAnsi="Arial"/>
                <w:sz w:val="18"/>
                <w:szCs w:val="18"/>
                <w:color w:val="auto"/>
              </w:rPr>
              <w:t>Total shares of common stock immediately after Merger</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103,003,384</w:t>
            </w:r>
          </w:p>
        </w:tc>
        <w:tc>
          <w:tcPr>
            <w:tcW w:w="24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88"/>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Includes 69,613,562 shares of common stock issued upon conversion of Legacy Humacyte's redeemable convertible preferred stock.</w:t>
      </w:r>
    </w:p>
    <w:p>
      <w:pPr>
        <w:spacing w:after="0" w:line="24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Merger is accounted for as a reverse recapitalization in accordance with U.S. GAAP. Under this method of accounting, AHAC is treated as the acquired company for financial reporting purposes and Legacy Humacyte is treated as the acquiror. This determination is primarily based on the fact that subsequent to the Merger, the Legacy Humacyte stockholders hold a majority of the voting rights of the combined company, Legacy Humacyte comprises all of the ongoing operations of the combined company, Legacy Humacyte comprises a majority of the carryover governing body of the combined company, and Legacy Humacyte’s senior management comprises all of the senior management of the combined company. Accordingly, for accounting purposes, the Merger was treated as the equivalent of Legacy Humacyte issuing shares for the net assets of AHAC, accompanied by a recapitalization. The net assets of AHAC were stated at historical costs. No goodwill or other intangible assets were recorded. Operations prior to the Merger are those of Legacy Humacyte.</w:t>
      </w:r>
    </w:p>
    <w:p>
      <w:pPr>
        <w:spacing w:after="0" w:line="16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connection with the Merger, the Company received $242.4 million in proceeds from the Merger and related PIPE Financing. The Company incurred $3.9 million of transaction costs, consisting of banking, legal, and other professional fees, of which $3.9 million was recorded as a reduction of proceeds to additional paid-in capital, and less than $0.1 million related to the Private Placement Warrants, which are classified as liabilities in the condensed consolidated balance sheets, was expensed in the condensed consolidated statements of operations and comprehensive loss. Legacy Humacyte assumed $15.2 million of liabilities, including PIPE Financing fees and legal fees, and $0.1 million of assets from AHAC. Of the $15.2 million of liabilities assumed from AHAC, as of September 30, 2021, $2.2 million was included in accounts payable and accrued expenses. In addition, there were $3.0 million of unpaid transaction costs included in accounts payable and accrued expenses as of September 30,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Fair value is defined as the price that would be received to sell an asset or paid to transfer a liability in the principal or most advantageous market in an orderly transaction between market participants at the measurement date.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and Disclosures</w:t>
      </w:r>
      <w:r>
        <w:rPr>
          <w:rFonts w:ascii="Arial" w:cs="Arial" w:eastAsia="Arial" w:hAnsi="Arial"/>
          <w:sz w:val="17"/>
          <w:szCs w:val="17"/>
          <w:color w:val="auto"/>
        </w:rPr>
        <w:t>, establishes a hierarchy whereby inputs to valuation techniques used in measuring fair value are prioritized, or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hierarchy. There are three levels to the fair value hierarchy based on reliability of inputs, as follows:</w:t>
      </w:r>
    </w:p>
    <w:p>
      <w:pPr>
        <w:spacing w:after="0" w:line="171" w:lineRule="exact"/>
        <w:rPr>
          <w:sz w:val="20"/>
          <w:szCs w:val="20"/>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Observable inputs that reflect unadjusted quoted prices for identical assets or liabilities in active markets.</w:t>
      </w:r>
    </w:p>
    <w:p>
      <w:pPr>
        <w:spacing w:after="0" w:line="23" w:lineRule="exact"/>
        <w:rPr>
          <w:rFonts w:ascii="Arial" w:cs="Arial" w:eastAsia="Arial" w:hAnsi="Arial"/>
          <w:sz w:val="18"/>
          <w:szCs w:val="18"/>
          <w:color w:val="auto"/>
        </w:rPr>
      </w:pPr>
    </w:p>
    <w:p>
      <w:pPr>
        <w:jc w:val="both"/>
        <w:ind w:left="680" w:hanging="321"/>
        <w:spacing w:after="0" w:line="265"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ind w:left="680" w:right="20" w:hanging="321"/>
        <w:spacing w:after="0" w:line="260"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data exists, therefore requiring the Company to develop its own assumptions.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assets and liabilities that were measured at fair value on a recurring basis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Measured as of September 30, 2021</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4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238,375</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238,375</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238,375</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Contingent earnout liability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169,200</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169,200</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8"/>
                <w:szCs w:val="18"/>
                <w:color w:val="auto"/>
              </w:rPr>
              <w:t>Common stock warrant liabilities (Private Placement Warrants)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169,755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169,755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5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Measured as of December 31, 2020</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35,623</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35,623</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the changes in the fair value of the Company’s Level 3 financial instruments: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Contingent</w:t>
            </w:r>
          </w:p>
        </w:tc>
        <w:tc>
          <w:tcPr>
            <w:tcW w:w="100" w:type="dxa"/>
            <w:vAlign w:val="bottom"/>
          </w:tcPr>
          <w:p>
            <w:pPr>
              <w:spacing w:after="0"/>
              <w:rPr>
                <w:sz w:val="14"/>
                <w:szCs w:val="14"/>
                <w:color w:val="auto"/>
              </w:rPr>
            </w:pPr>
          </w:p>
        </w:tc>
        <w:tc>
          <w:tcPr>
            <w:tcW w:w="13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Private Placement</w:t>
            </w:r>
          </w:p>
        </w:tc>
        <w:tc>
          <w:tcPr>
            <w:tcW w:w="0" w:type="dxa"/>
            <w:vAlign w:val="bottom"/>
          </w:tcPr>
          <w:p>
            <w:pPr>
              <w:spacing w:after="0"/>
              <w:rPr>
                <w:sz w:val="1"/>
                <w:szCs w:val="1"/>
                <w:color w:val="auto"/>
              </w:rPr>
            </w:pPr>
          </w:p>
        </w:tc>
      </w:tr>
      <w:tr>
        <w:trPr>
          <w:trHeight w:val="171"/>
        </w:trPr>
        <w:tc>
          <w:tcPr>
            <w:tcW w:w="71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Earnout Liability</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Warrants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as of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100"/>
              <w:spacing w:after="0"/>
              <w:rPr>
                <w:sz w:val="20"/>
                <w:szCs w:val="20"/>
                <w:color w:val="auto"/>
              </w:rPr>
            </w:pPr>
            <w:r>
              <w:rPr>
                <w:rFonts w:ascii="Arial" w:cs="Arial" w:eastAsia="Arial" w:hAnsi="Arial"/>
                <w:sz w:val="18"/>
                <w:szCs w:val="18"/>
                <w:color w:val="auto"/>
              </w:rPr>
              <w:t>Private placement warrant liability acquired as part of the merger</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Contingent earount liability recognized upon the closing of the reverse recapitalization</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100"/>
              <w:spacing w:after="0"/>
              <w:rPr>
                <w:sz w:val="20"/>
                <w:szCs w:val="20"/>
                <w:color w:val="auto"/>
              </w:rPr>
            </w:pPr>
            <w:r>
              <w:rPr>
                <w:rFonts w:ascii="Arial" w:cs="Arial" w:eastAsia="Arial" w:hAnsi="Arial"/>
                <w:sz w:val="18"/>
                <w:szCs w:val="18"/>
                <w:color w:val="auto"/>
              </w:rPr>
              <w:t>Change in fair value included in other (expense) income</w:t>
            </w: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(9,768)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as of September 30,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fair value of the Contingent Earnout Liability and Private Placement Warrants liability are based on significant unobservable inputs, which represent Level 3 measurements within the fair value hierarchy.</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determining the fair value of the Contingent Earnout Liability, the Company used the Monte Carlo simulation value model using a distribution of potential outcomes on a monthly basis over a ten-year period prioritizing the most reliable information available. The assumptions utilized in the calculation were based on the achievement of certain stock price milestones, including the current Company common stock price, expected volatility, risk-free rate, expected term and expected dividend yield (see Note 8).</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determining the fair value of the Private Placement Warrants liability, the Company used the Monte Carlo simulation valuation model to estimate the fair value utilizing assumption including the current Company stock price, expected volatility, risk-free rate, expected term and expected dividend yield (see Note 8).</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cash equivalents are classified within Level 1 of the fair value hierarchy because they are valued using quoted market prices. The carrying values of other receivables, accounts payable and accrued expenses as of September 30, 2021 and December 31, 2020 approximated their fair values due to the short-term nature of these items.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 of the following:</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Scientific equipment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27,578</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Computer equipment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55,410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(14,261)</w:t>
            </w:r>
          </w:p>
        </w:tc>
        <w:tc>
          <w:tcPr>
            <w:tcW w:w="0" w:type="dxa"/>
            <w:vAlign w:val="bottom"/>
          </w:tcPr>
          <w:p>
            <w:pPr>
              <w:spacing w:after="0"/>
              <w:rPr>
                <w:sz w:val="1"/>
                <w:szCs w:val="1"/>
                <w:color w:val="auto"/>
              </w:rPr>
            </w:pPr>
          </w:p>
        </w:tc>
      </w:tr>
      <w:tr>
        <w:trPr>
          <w:trHeight w:val="209"/>
        </w:trPr>
        <w:tc>
          <w:tcPr>
            <w:tcW w:w="56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Depreciation expense totaled $1.5 million and $4.7 million for the three and nine months ended September 30, 2021, respectively, and $1.6 million and $4.7 million for the three and nine months ended September 30, 2020, respectively. All long-lived assets are maintained in the United States.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6.</w:t>
            </w:r>
          </w:p>
        </w:tc>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Accrued Expenses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6300" w:type="dxa"/>
            <w:vAlign w:val="bottom"/>
            <w:gridSpan w:val="2"/>
          </w:tcPr>
          <w:p>
            <w:pPr>
              <w:ind w:left="180"/>
              <w:spacing w:after="0"/>
              <w:rPr>
                <w:sz w:val="20"/>
                <w:szCs w:val="20"/>
                <w:color w:val="auto"/>
              </w:rPr>
            </w:pPr>
            <w:r>
              <w:rPr>
                <w:rFonts w:ascii="Arial" w:cs="Arial" w:eastAsia="Arial" w:hAnsi="Arial"/>
                <w:sz w:val="18"/>
                <w:szCs w:val="18"/>
                <w:color w:val="auto"/>
              </w:rPr>
              <w:t>Accrued expenses consisted of the following:</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6"/>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6300" w:type="dxa"/>
            <w:vAlign w:val="bottom"/>
            <w:gridSpan w:val="2"/>
          </w:tcPr>
          <w:p>
            <w:pPr>
              <w:ind w:left="840"/>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840" w:type="dxa"/>
            <w:vAlign w:val="bottom"/>
            <w:vMerge w:val="restart"/>
          </w:tcPr>
          <w:p>
            <w:pPr>
              <w:spacing w:after="0"/>
              <w:rPr>
                <w:sz w:val="12"/>
                <w:szCs w:val="12"/>
                <w:color w:val="auto"/>
              </w:rPr>
            </w:pPr>
          </w:p>
        </w:tc>
        <w:tc>
          <w:tcPr>
            <w:tcW w:w="5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Accrued external research, development and manufacturing costs</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Accrued employee compensation and benefits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6300" w:type="dxa"/>
            <w:vAlign w:val="bottom"/>
            <w:gridSpan w:val="2"/>
          </w:tcPr>
          <w:p>
            <w:pPr>
              <w:ind w:left="8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9,422</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0"/>
        </w:trPr>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7.</w:t>
            </w:r>
          </w:p>
        </w:tc>
        <w:tc>
          <w:tcPr>
            <w:tcW w:w="63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Debt</w:t>
            </w: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60" w:type="dxa"/>
            <w:vAlign w:val="bottom"/>
            <w:vMerge w:val="continue"/>
          </w:tcPr>
          <w:p>
            <w:pPr>
              <w:spacing w:after="0"/>
              <w:rPr>
                <w:sz w:val="24"/>
                <w:szCs w:val="24"/>
                <w:color w:val="auto"/>
              </w:rPr>
            </w:pPr>
          </w:p>
        </w:tc>
        <w:tc>
          <w:tcPr>
            <w:tcW w:w="63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April 30, 2020, the Company received loan proceeds in the amount of approximately $3.3 million under the Paycheck Protection Program (“PPP”). All or portion of this loan and any accrued interest was eligible to be forgiven after a twenty-four week period as long as the borrower used the loan proceeds for eligible purposes, including payroll, benefits, rent and utilities, and maintains its payroll levels. The amount of the loan forgiven was to be reduced if the borrower terminated employees or reduced salaries during the twenty-four week period. The unforgiven portion of the PPP loan was to be payable over two years at an interest rate of 1%, with a deferral of payments for the first ten months. On May 25, 2021, the PPP loan was forgiven and the Company recognized a gain from loan extinguishment in the amount of $3,284 during the nine months ended September 30, 2021.</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March 2021, the Company entered into a term loan agreement with Silicon Valley Bank and SVB Innovation Credit Fund VIII, L.P., which provides a term loan facility of up to $50.0 million with a maturity date of March 1, 2025, or the Loan Agreement. The Company’s obligations under the Loan Agreement are secured by substantially all of its assets except for its intellectual property. The Loan Agreement contains certain customary covenants, including, but not limited to, those relating to additional indebtedness, liens, asset divestitures, and affiliate transactions. If a minimum liquidity amount is not maintained, 50% of the outstanding principal and interest will become cash collateralized. As of September 30, 2021, the Company was in compliance with all covenants. The Company may use the proceeds of borrowings under the Loan Agreement as working capital and to fund its general business requirements.</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Loan Agreement provides that the term loans will be distributed in tranches. The initial term loan tranche of $20.0 million was drawn in March 2021 and is accounted for net of issuance costs which are being accreted to interest expense over the term of the loan using the effective interest method. As of September 30, 2021, three subsequent $10.0 million term loan tranches were eligible to be disbursed at the request of the Company during specified draw periods between now and 2023 if certain business development milestones and other specified requirements are met by the dates specified in the Loan Agreement. Borrowings bear interest at the greater of 7.5% or the Wall Street Journal Prime Rate plus 4.25% (7.5% as of September 30, 2021). Interest only payments on the principal amount outstanding are due monthly beginning in the first month after the loan is dispersed. Repayment of principal may begin as soon as April 1, 2022 under the level of borrowing outstanding at September 30, 2021, and no later than April 1, 2024. The term loans may only be prepaid in full, and such prepayment requires 30 days’ advance notice and is subject to a prepayment fee of 3.00% (with a step down to 2.00% after March 30, 2022, and a further step down to 1.00% after March 30, 2023). The Company is not obligated to pay a prepayment fee if the Company makes a prepayment after March 30, 2024.</w:t>
      </w:r>
    </w:p>
    <w:p>
      <w:pPr>
        <w:spacing w:after="0" w:line="1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13, 2021, the Company borrowed an additional $10.0 million under the Loan Agreement. As a result of the additional borrowing, the commencement of repayment of principal was deferred to no earlier than July 2023.</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connection with the Loan Agreement, the Company granted warrants to the lenders to purchase shares of common stock at an exercise price of $10.28 per share, of which 287,704 warrants were immediately exercisable. The warrants are classified within stockholders’ equity as the settlement of the warrants is indexed to the Company’s own stock. The Company recognized the fair value of the warrants immediately exercisable within stockholders’ equity using a Black-Scholes valuation model at issuance. As of September 30, 2021, the fair value of warrants ($2.4 million), a 5% final payment fee ($1.0 million) and debt issuance costs ($0.3 million) are being accreted to interest expense over the term of the loan using the effective interest method.</w:t>
      </w:r>
    </w:p>
    <w:p>
      <w:pPr>
        <w:spacing w:after="0" w:line="17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At issuance, the Company initially determined that the funding of an additional tranche was not probable, and therefore no value was ascribed to the remaining 123,302 warrants that were only exercisable upon the funding of the additional tranche. As a result of the Company's additional $10.0 million borrowings under the Loan Agreement on October 13, 2021, the warrants to purchase the additional 123,302 shares of the Company's common stock became exercisable at an exercise price of $10.28 per share.</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SVB loan payable and net discount or premium balances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3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8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of SVB loan payable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Final payment amount of SVB loan payable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premium associated with accretion of final payment and other debt issuance costs</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10"/>
        </w:trPr>
        <w:tc>
          <w:tcPr>
            <w:tcW w:w="8080" w:type="dxa"/>
            <w:vAlign w:val="bottom"/>
          </w:tcPr>
          <w:p>
            <w:pPr>
              <w:ind w:left="220"/>
              <w:spacing w:after="0"/>
              <w:rPr>
                <w:sz w:val="20"/>
                <w:szCs w:val="20"/>
                <w:color w:val="auto"/>
              </w:rPr>
            </w:pPr>
            <w:r>
              <w:rPr>
                <w:rFonts w:ascii="Arial" w:cs="Arial" w:eastAsia="Arial" w:hAnsi="Arial"/>
                <w:sz w:val="18"/>
                <w:szCs w:val="18"/>
                <w:color w:val="auto"/>
              </w:rPr>
              <w:t>SVB loan payable, current and noncurrent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17,927</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Less SVB loan payable, current portion</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10"/>
        </w:trPr>
        <w:tc>
          <w:tcPr>
            <w:tcW w:w="8080" w:type="dxa"/>
            <w:vAlign w:val="bottom"/>
          </w:tcPr>
          <w:p>
            <w:pPr>
              <w:ind w:left="220"/>
              <w:spacing w:after="0"/>
              <w:rPr>
                <w:sz w:val="20"/>
                <w:szCs w:val="20"/>
                <w:color w:val="auto"/>
              </w:rPr>
            </w:pPr>
            <w:r>
              <w:rPr>
                <w:rFonts w:ascii="Arial" w:cs="Arial" w:eastAsia="Arial" w:hAnsi="Arial"/>
                <w:sz w:val="18"/>
                <w:szCs w:val="18"/>
                <w:color w:val="auto"/>
              </w:rPr>
              <w:t>SVB loan payable, noncurrent portion</w:t>
            </w:r>
          </w:p>
        </w:tc>
        <w:tc>
          <w:tcPr>
            <w:tcW w:w="3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14,038</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488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8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Future minimum payments of principal on the Company’s outstanding variable rate borrowings as of September 30, 2021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Year ending December 31:</w:t>
            </w: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i w:val="1"/>
                <w:iCs w:val="1"/>
                <w:color w:val="auto"/>
              </w:rPr>
              <w:t>($ in thousands)</w:t>
            </w: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2021 (remainder)</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5,555</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6,667</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r>
      <w:tr>
        <w:trPr>
          <w:trHeight w:val="224"/>
        </w:trPr>
        <w:tc>
          <w:tcPr>
            <w:tcW w:w="7860" w:type="dxa"/>
            <w:vAlign w:val="bottom"/>
          </w:tcPr>
          <w:p>
            <w:pPr>
              <w:ind w:left="120"/>
              <w:spacing w:after="0"/>
              <w:rPr>
                <w:sz w:val="20"/>
                <w:szCs w:val="20"/>
                <w:color w:val="auto"/>
              </w:rPr>
            </w:pPr>
            <w:r>
              <w:rPr>
                <w:rFonts w:ascii="Arial" w:cs="Arial" w:eastAsia="Arial" w:hAnsi="Arial"/>
                <w:sz w:val="18"/>
                <w:szCs w:val="18"/>
                <w:color w:val="auto"/>
              </w:rPr>
              <w:t>Total future payments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20,000</w:t>
            </w:r>
          </w:p>
        </w:tc>
      </w:tr>
    </w:tbl>
    <w:p>
      <w:pPr>
        <w:spacing w:after="0" w:line="224" w:lineRule="exact"/>
        <w:rPr>
          <w:sz w:val="20"/>
          <w:szCs w:val="20"/>
          <w:color w:val="auto"/>
        </w:rPr>
      </w:pPr>
    </w:p>
    <w:p>
      <w:pPr>
        <w:ind w:right="6760" w:firstLine="8"/>
        <w:spacing w:after="0" w:line="566" w:lineRule="auto"/>
        <w:tabs>
          <w:tab w:leader="none" w:pos="1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(Deficit) Redeemable Convertible Preferred Stock</w:t>
      </w:r>
    </w:p>
    <w:p>
      <w:pPr>
        <w:jc w:val="both"/>
        <w:ind w:firstLine="324"/>
        <w:spacing w:after="0" w:line="286" w:lineRule="auto"/>
        <w:rPr>
          <w:sz w:val="20"/>
          <w:szCs w:val="20"/>
          <w:color w:val="auto"/>
        </w:rPr>
      </w:pPr>
      <w:r>
        <w:rPr>
          <w:rFonts w:ascii="Arial" w:cs="Arial" w:eastAsia="Arial" w:hAnsi="Arial"/>
          <w:sz w:val="17"/>
          <w:szCs w:val="17"/>
          <w:color w:val="auto"/>
        </w:rPr>
        <w:t>As of December 31, 2020 and immediately prior to the Merger, Legacy Humacyte had outstanding series A redeemable convertible preferred stock, series B redeemable convertible preferred stock, series C redeemable convertible preferred stock and series D redeemable convertible preferred stock, which are collectively referred to as “redeemable convertible preferred stock.”</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Merger, all previously issued and outstanding redeemable convertible preferred stock was converted into an equivalent number of shares of common stock of the Company on a one-to-one basis, then multiplied by the Exchange Ratio pursuant to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26, 2021, the Merger and related PIPE Financing was consummated and the Company issued 27,346,449 shares of common stock for proceeds of $242.4 million. The Company incurred $3.9 million of transaction costs, consisting of banking, legal, and other professional fees. Legacy Humacyte assumed $15.2 million of liabilities, including PIPE Financing fees and legal fees, and $0.1 million of assets from AHAC. Immediately following the Merger, there were 103,003,384 shares of common stock outstanding with a par value of $0.0001.</w:t>
      </w:r>
    </w:p>
    <w:p>
      <w:pPr>
        <w:spacing w:after="0" w:line="18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of September 30, 2021, the Company’s Second Amended and Restated Certificate of Incorporation authorized the Company to issue 250,000,000 shares of common stock at a par value of $0.0001 per share. The number of authorized shares of common stock may be increased or decreased (but not below the number of shares thereof then outstanding or reserved for issuance) by the affirmative vote of the holders of a majority of the capital stock of the Company entitled to vote and without a separate class vote of the common stock.</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holders of common stock are entitled to receive dividends from time to time as may be declared by the Company’s board of directors. Through September 30, 2021, no dividends have been declared.</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holders of common stock are entitled to one vote for each share held with respect to all matters voted on by the common stockholders of the Company.</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the event of a reorganization of the Company, after payment to the preferred stockholders of their liquidation preferences, holders of common stock are entitled to share ratably in all remaining assets of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2021, the Company had reserved common stock for future issuances as follows:</w:t>
      </w:r>
    </w:p>
    <w:p>
      <w:pPr>
        <w:spacing w:after="0" w:line="230" w:lineRule="exact"/>
        <w:rPr>
          <w:sz w:val="20"/>
          <w:szCs w:val="20"/>
          <w:color w:val="auto"/>
        </w:rPr>
      </w:pPr>
    </w:p>
    <w:p>
      <w:pPr>
        <w:jc w:val="center"/>
        <w:ind w:left="6660"/>
        <w:spacing w:after="0"/>
        <w:rPr>
          <w:sz w:val="20"/>
          <w:szCs w:val="20"/>
          <w:color w:val="auto"/>
        </w:rPr>
      </w:pPr>
      <w:r>
        <w:rPr>
          <w:rFonts w:ascii="Arial" w:cs="Arial" w:eastAsia="Arial" w:hAnsi="Arial"/>
          <w:sz w:val="12"/>
          <w:szCs w:val="12"/>
          <w:b w:val="1"/>
          <w:bCs w:val="1"/>
          <w:color w:val="auto"/>
        </w:rPr>
        <w:t>September 30,</w:t>
      </w:r>
    </w:p>
    <w:p>
      <w:pPr>
        <w:spacing w:after="0" w:line="27"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-3175</wp:posOffset>
            </wp:positionV>
            <wp:extent cx="503174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31740" cy="14541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p>
      <w:pPr>
        <w:spacing w:after="0" w:line="9" w:lineRule="exact"/>
        <w:rPr>
          <w:sz w:val="20"/>
          <w:szCs w:val="20"/>
          <w:color w:val="auto"/>
        </w:rPr>
      </w:pPr>
    </w:p>
    <w:p>
      <w:pPr>
        <w:ind w:left="1000" w:right="1920"/>
        <w:spacing w:after="0" w:line="249" w:lineRule="auto"/>
        <w:rPr>
          <w:sz w:val="20"/>
          <w:szCs w:val="20"/>
          <w:color w:val="auto"/>
        </w:rPr>
      </w:pPr>
      <w:r>
        <w:rPr>
          <w:rFonts w:ascii="Arial" w:cs="Arial" w:eastAsia="Arial" w:hAnsi="Arial"/>
          <w:sz w:val="18"/>
          <w:szCs w:val="18"/>
          <w:color w:val="auto"/>
        </w:rPr>
        <w:t>Common stock reserved for Contingent Consideration Shares Exercise of options under stock plans Issuance of options under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-135255</wp:posOffset>
            </wp:positionV>
            <wp:extent cx="50317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color w:val="auto"/>
        </w:rPr>
        <w:t>Shares available for grant under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5715</wp:posOffset>
            </wp:positionV>
            <wp:extent cx="503174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color w:val="auto"/>
        </w:rPr>
        <w:t>Warrants to purchase common stock</w:t>
      </w:r>
    </w:p>
    <w:p>
      <w:pPr>
        <w:spacing w:after="0" w:line="20" w:lineRule="exact"/>
        <w:rPr>
          <w:sz w:val="20"/>
          <w:szCs w:val="20"/>
          <w:color w:val="auto"/>
        </w:rPr>
      </w:pPr>
      <w:r>
        <w:rPr>
          <w:sz w:val="20"/>
          <w:szCs w:val="20"/>
          <w:color w:val="auto"/>
        </w:rPr>
        <w:br w:type="column"/>
      </w:r>
    </w:p>
    <w:p>
      <w:pPr>
        <w:jc w:val="right"/>
        <w:ind w:right="1040"/>
        <w:spacing w:after="0"/>
        <w:rPr>
          <w:sz w:val="20"/>
          <w:szCs w:val="20"/>
          <w:color w:val="auto"/>
        </w:rPr>
      </w:pPr>
      <w:r>
        <w:rPr>
          <w:rFonts w:ascii="Arial" w:cs="Arial" w:eastAsia="Arial" w:hAnsi="Arial"/>
          <w:sz w:val="16"/>
          <w:szCs w:val="16"/>
          <w:color w:val="auto"/>
        </w:rPr>
        <w:t>15,000,000</w:t>
      </w:r>
    </w:p>
    <w:p>
      <w:pPr>
        <w:spacing w:after="0" w:line="31" w:lineRule="exact"/>
        <w:rPr>
          <w:sz w:val="20"/>
          <w:szCs w:val="20"/>
          <w:color w:val="auto"/>
        </w:rPr>
      </w:pPr>
    </w:p>
    <w:p>
      <w:pPr>
        <w:jc w:val="right"/>
        <w:ind w:right="1040"/>
        <w:spacing w:after="0"/>
        <w:rPr>
          <w:sz w:val="20"/>
          <w:szCs w:val="20"/>
          <w:color w:val="auto"/>
        </w:rPr>
      </w:pPr>
      <w:r>
        <w:rPr>
          <w:rFonts w:ascii="Arial" w:cs="Arial" w:eastAsia="Arial" w:hAnsi="Arial"/>
          <w:sz w:val="18"/>
          <w:szCs w:val="18"/>
          <w:color w:val="auto"/>
        </w:rPr>
        <w:t>6,399,888</w:t>
      </w:r>
    </w:p>
    <w:p>
      <w:pPr>
        <w:spacing w:after="0" w:line="9" w:lineRule="exact"/>
        <w:rPr>
          <w:sz w:val="20"/>
          <w:szCs w:val="20"/>
          <w:color w:val="auto"/>
        </w:rPr>
      </w:pPr>
    </w:p>
    <w:p>
      <w:pPr>
        <w:jc w:val="right"/>
        <w:ind w:right="1040"/>
        <w:spacing w:after="0"/>
        <w:rPr>
          <w:sz w:val="20"/>
          <w:szCs w:val="20"/>
          <w:color w:val="auto"/>
        </w:rPr>
      </w:pPr>
      <w:r>
        <w:rPr>
          <w:rFonts w:ascii="Arial" w:cs="Arial" w:eastAsia="Arial" w:hAnsi="Arial"/>
          <w:sz w:val="18"/>
          <w:szCs w:val="18"/>
          <w:color w:val="auto"/>
        </w:rPr>
        <w:t>7,730,503</w:t>
      </w:r>
    </w:p>
    <w:p>
      <w:pPr>
        <w:spacing w:after="0" w:line="9" w:lineRule="exact"/>
        <w:rPr>
          <w:sz w:val="20"/>
          <w:szCs w:val="20"/>
          <w:color w:val="auto"/>
        </w:rPr>
      </w:pPr>
    </w:p>
    <w:p>
      <w:pPr>
        <w:jc w:val="right"/>
        <w:ind w:right="1040"/>
        <w:spacing w:after="0"/>
        <w:rPr>
          <w:sz w:val="20"/>
          <w:szCs w:val="20"/>
          <w:color w:val="auto"/>
        </w:rPr>
      </w:pPr>
      <w:r>
        <w:rPr>
          <w:rFonts w:ascii="Arial" w:cs="Arial" w:eastAsia="Arial" w:hAnsi="Arial"/>
          <w:sz w:val="18"/>
          <w:szCs w:val="18"/>
          <w:color w:val="auto"/>
        </w:rPr>
        <w:t>1,030,033</w:t>
      </w:r>
    </w:p>
    <w:p>
      <w:pPr>
        <w:spacing w:after="0" w:line="9" w:lineRule="exact"/>
        <w:rPr>
          <w:sz w:val="20"/>
          <w:szCs w:val="20"/>
          <w:color w:val="auto"/>
        </w:rPr>
      </w:pPr>
    </w:p>
    <w:p>
      <w:pPr>
        <w:jc w:val="right"/>
        <w:ind w:right="1040"/>
        <w:spacing w:after="0"/>
        <w:rPr>
          <w:sz w:val="20"/>
          <w:szCs w:val="20"/>
          <w:color w:val="auto"/>
        </w:rPr>
      </w:pPr>
      <w:r>
        <w:rPr>
          <w:rFonts w:ascii="Arial" w:cs="Arial" w:eastAsia="Arial" w:hAnsi="Arial"/>
          <w:sz w:val="18"/>
          <w:szCs w:val="18"/>
          <w:color w:val="auto"/>
        </w:rPr>
        <w:t>5,465,204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5715</wp:posOffset>
            </wp:positionV>
            <wp:extent cx="7886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35,625,628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29210</wp:posOffset>
            </wp:positionV>
            <wp:extent cx="7886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46355</wp:posOffset>
            </wp:positionV>
            <wp:extent cx="7886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40" w:space="720"/>
            <w:col w:w="1860"/>
          </w:cols>
          <w:pgMar w:left="980" w:top="517" w:right="999" w:bottom="1440" w:gutter="0" w:footer="0" w:header="0"/>
          <w:type w:val="continuous"/>
        </w:sectPr>
      </w:pPr>
    </w:p>
    <w:p>
      <w:pPr>
        <w:spacing w:after="0" w:line="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August 26, 2021, upon the Closing, all of the outstanding redeemable convertible preferred stock was converted to Common Stock pursuant to the conversion rate effective immediately prior to the Merger and the Exchange Ratio and the remaining amount was reclassified to additional paid-in 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Company’s Second Amended and Restated Certificate of Incorporation provides the Company’s board of directors with the authority to issue $0.0001 par value preferred stock in one more series and to establish from time to time the number of shares to be included in each such series, by adopting a resolution and filing a certification of designations. Voting powers, designations, powers, preferences and relative, participating, optional, special and other rights shall be stated and expressed in such resolutions. There were 20,000,000 shares designated as preferred stock and none were outstanding as of September 30,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of warrants for the nine months ended September 30, 2021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Legacy</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Humacyte</w:t>
            </w:r>
          </w:p>
        </w:tc>
        <w:tc>
          <w:tcPr>
            <w:tcW w:w="13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Private Placement</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Total Common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300" w:type="dxa"/>
            <w:vAlign w:val="bottom"/>
            <w:gridSpan w:val="2"/>
            <w:vMerge w:val="continue"/>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Public Warrants</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Warrants</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Warrants</w:t>
            </w:r>
          </w:p>
        </w:tc>
        <w:tc>
          <w:tcPr>
            <w:tcW w:w="1180" w:type="dxa"/>
            <w:vAlign w:val="bottom"/>
            <w:gridSpan w:val="2"/>
            <w:vMerge w:val="continue"/>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3"/>
              </w:rPr>
              <w:t>Stock Warrants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Common Stock Warrants issued to SVB</w:t>
            </w:r>
          </w:p>
        </w:tc>
        <w:tc>
          <w:tcPr>
            <w:tcW w:w="960" w:type="dxa"/>
            <w:vAlign w:val="bottom"/>
          </w:tcPr>
          <w:p>
            <w:pPr>
              <w:jc w:val="right"/>
              <w:spacing w:after="0"/>
              <w:rPr>
                <w:sz w:val="20"/>
                <w:szCs w:val="20"/>
                <w:color w:val="auto"/>
              </w:rPr>
            </w:pPr>
            <w:r>
              <w:rPr>
                <w:rFonts w:ascii="Arial" w:cs="Arial" w:eastAsia="Arial" w:hAnsi="Arial"/>
                <w:sz w:val="18"/>
                <w:szCs w:val="18"/>
                <w:color w:val="auto"/>
              </w:rPr>
              <w:t>287,704</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287,704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as Part of the Merger</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Warrants Exercised</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(32,961)</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(32,961)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Oustanding as of September 30,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conjunction with a long-term debt agreement entered into on March 15, 2006 and paid in full during 2011, the Company issued a warrant that gave the holder the right to purchase 32,961 shares of the Company’s common stock at an exercise price of $1.14 per share, which was outstanding as of December 31, 2020. The warrant was fully exercised on March 4, 2021. There was no activity for the warrant during the year ended December 31, 2020.</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7 – Debt for a discussion of warrants issued in conjunction with the Company’s Loan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Private Placement Warrants were initially recognized as a liability on the Closing Date, at a fair value of $0.6 million, and the Private Placement Warrant liability was remeasured to fair value as of September 30, 2021, resulting in a loss of less than $0.1 million for the three and nine months ended September 30, 2021, classified within change in fair value of common stock warrant liabilities in the condensed consolidated statements of operations and comprehensive loss.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Private Placement Warrants were valued using the following assumptions under the Monte Carlo simulation value model: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September 30,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August 26,</w:t>
            </w:r>
          </w:p>
        </w:tc>
      </w:tr>
      <w:tr>
        <w:trPr>
          <w:trHeight w:val="171"/>
        </w:trPr>
        <w:tc>
          <w:tcPr>
            <w:tcW w:w="484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Market price of public stock</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Exercise price</w:t>
            </w:r>
          </w:p>
        </w:tc>
        <w:tc>
          <w:tcPr>
            <w:tcW w:w="28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Expected share price volatility</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28.5 %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32.5 %</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0.96 %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0.68 %</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Estimated dividend yield</w:t>
            </w: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0 %</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Public Warrants may only be exercised for a whole number of shares and will expire five years after the completion of the Merger. The Public Warrants became exercisable 30 days after the completion of the Merger.</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Public Warrants were initially recognized as equity on the Closing Date at a fair value of $2.80 per share. There were no exercises of the Public Warrants during the three months ended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Earnout Liability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the Closing, former holders of Legacy Humacyte common and preferred shares may receive up to 15,000,000 additional shares of the Company’s common stock in the aggregate, in two equal tranches of 7,500,000 shares of common stock per tranche. The first and second tranches are issuable if the closing volume weighted average price (“VWAP”) per share of common stock quoted on the Nasdaq (or the exchange on which the shares of common stock are then listed) is greater or equal to $15.00 and $20.00, respectively, over any twenty trading days within any thirty-day trading period.</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Upon the Closing, the contingent obligation to issue Contingent Earnout Shares was accounted for as a liability because the triggering events that determine the number of Contingent Earnout Shares required to be issued include events that are not solely indexed to the common stock of Humacyte. The estimated fair value of the total Contingent Earnout Shares at the Closing on August 26, 2021, was $159.4 million based on a Monte Carlo simulation valuation model using a distribution of potential outcomes on a monthly basis over a ten-year period using the most reliable information available. The Contingent Earnout Liability was remeasured to fair value as of September 30, 2021, resulting in the recording of a non-cash loss of $9.8 million for the three and nine months ended September 30, 2021, classified within change in fair value of contingent earnout liability in the condensed consolidated statements of operations and comprehensive loss.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Assumptions used in the valuations are described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6"/>
              </w:rPr>
              <w:t>September 30,</w:t>
            </w:r>
          </w:p>
        </w:tc>
        <w:tc>
          <w:tcPr>
            <w:tcW w:w="14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August 26,</w:t>
            </w:r>
          </w:p>
        </w:tc>
      </w:tr>
      <w:tr>
        <w:trPr>
          <w:trHeight w:val="171"/>
        </w:trPr>
        <w:tc>
          <w:tcPr>
            <w:tcW w:w="74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r>
      <w:tr>
        <w:trPr>
          <w:trHeight w:val="209"/>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Current stock price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Expected share price volatility</w:t>
            </w: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78.9 %</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79.6 %</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1.55 %</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1.34 %</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Estimated dividend yield</w:t>
            </w: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0.0 %</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0 %</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Closing, the 2021 Long-Term Incentive Plan, or the 2021 Plan, and the 2021 Employee Stock Purchase Plan, or the ESPP, became effective. As of September 30, 2021, 7,730,503 and 1,030,033 shares of common stock were available under the 2021 Plan and ESPP, respectively. On January 1 of each year commencing January 1, 2022, the 2021 Plan and the ESPP reserve will automatically increase in an amount equal to the lesser of (a) 5% and 1%, respectively, of the number of shares of the Company’s common stock outstanding on December 31 of the preceding year and (b) a number of shares of common stock determined by the Company’s board of directors.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2021 Plan, the Company can grant non-statutory stock options, or NSOs, incentive stock options, or ISOs, stock appreciation rights, restricted stock, restricted stock units, unrestricted stock, performance awards and other forms of awards. Under the ESPP, eligible employees are permitted to purchase shares of the Company's common stock at the lower of 85% of the closing trading price per share of the Company's common stock on the first day of the offering or 85% of the closing trading price per share on the exercise date, which will occur on the last day of each offering.</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Prior to the Closing, Legacy Humacyte had two equity incentive plans, the 2015 Omnibus Incentive Plan, as amended, or the 2015 Plan, and the 2005 Stock Option Plan, or the 2005 Plan. As a result of the Merger, no further awards may be granted under either the 2015 plan or the 2005 Plan. All awards previously granted and outstanding as of the effective date of the Merger, which total 5,886,706 and 518,432 shares of common stock reserved for options issued under the 2015 Plan and 2005 Plan, respectively, were adjusted to reflect the impact of the Merger as set forth in the Merger Agreement, but otherwise remain in effect pursuant to their original terms. The shares underlying any award granted under the 2015 Plan that are forfeited, cancelled or reacquired by the Company prior to vesting, that expire or that are paid out in cash rather than shares will become available for grant and issuance under the 2021 Plan.</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stock option plans allow for the grant of awards that the Company believes aid in aligning the interests of these persons with those of its stockholders. The Company’s board of directors determines the specific terms of equity incentive grants, including the exercise price per share and vesting period for option awards. Option awards are granted with an exercise price equal to the fair market value of the Company’s common stock at the date of grant.</w:t>
      </w:r>
    </w:p>
    <w:p>
      <w:pPr>
        <w:spacing w:after="0" w:line="1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has granted options that include either a service-based or performance-based vesting conditions, or both, and a 10-year contractual term. The service-based vesting condition for the plans is generally satisfied over 36 to 48 months from the date of grant. The performance-based vesting conditions are satisfied upon the attainment of certain product development milestones. The Company recognizes stock-based compensation expense based on the grant date fair value of the awards measured using the Black-Scholes option pricing model. Compensation expense related to awards with service-based vesting conditions is recognized on a straight-line basis over the requisite service period.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Compensation expense related to awards with performance-based vesting conditions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Option awards under the Company’s option plans generally provide for accelerated vesting of the unvested portions of any option award in the event of an involuntary termination, as such term is defined in the relevant stock option agreement, of a grantee’s employment during the period that commences 30 days prior to the effective date of a corporate transaction and that ends 12 months following the effective date of such transaction. Additionally, the Company’s board of directors may, in its sole discretion, accelerate the vesting of any unvested stock options in the event of a corporate transaction.</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Under the terms of her employment agreement, the Company awarded the Company's President and Chief Executive Officer, Laura Niklason M.D., PhD., a stock option award in January 2021 entitling her to purchase 1,312,984 shares of the Company's common stock at an exercise price of $10.28 per share, none of which have vested as of September 30, 2021. This stock option vests in equal annual installments on each of the first three anniversaries of November 9, 2020, subject to acceleration upon a corporate transaction (as defined in the 2015 Plan). The vesting of this award did not accelerate upon finalization of the Merger.</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estimated the fair value of the stock options on the date of grant using the following assumptions in the Black-Scholes option-pricing model:</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4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 September 30,</w:t>
            </w:r>
          </w:p>
        </w:tc>
        <w:tc>
          <w:tcPr>
            <w:tcW w:w="220" w:type="dxa"/>
            <w:vAlign w:val="bottom"/>
          </w:tcPr>
          <w:p>
            <w:pPr>
              <w:spacing w:after="0"/>
              <w:rPr>
                <w:sz w:val="14"/>
                <w:szCs w:val="14"/>
                <w:color w:val="auto"/>
              </w:rPr>
            </w:pPr>
          </w:p>
        </w:tc>
        <w:tc>
          <w:tcPr>
            <w:tcW w:w="408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380" w:type="dxa"/>
            <w:vAlign w:val="bottom"/>
            <w:gridSpan w:val="2"/>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 (1)</w:t>
            </w:r>
          </w:p>
        </w:tc>
        <w:tc>
          <w:tcPr>
            <w:tcW w:w="1080" w:type="dxa"/>
            <w:vAlign w:val="bottom"/>
            <w:tcBorders>
              <w:top w:val="single" w:sz="8" w:color="auto"/>
            </w:tcBorders>
            <w:gridSpan w:val="3"/>
          </w:tcPr>
          <w:p>
            <w:pPr>
              <w:ind w:left="800"/>
              <w:spacing w:after="0" w:line="142" w:lineRule="exact"/>
              <w:rPr>
                <w:sz w:val="20"/>
                <w:szCs w:val="20"/>
                <w:color w:val="auto"/>
              </w:rPr>
            </w:pPr>
            <w:r>
              <w:rPr>
                <w:rFonts w:ascii="Arial" w:cs="Arial" w:eastAsia="Arial" w:hAnsi="Arial"/>
                <w:sz w:val="14"/>
                <w:szCs w:val="14"/>
                <w:b w:val="1"/>
                <w:bCs w:val="1"/>
                <w:color w:val="auto"/>
                <w:w w:val="83"/>
              </w:rPr>
              <w:t>2020</w:t>
            </w: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tcBorders>
              <w:top w:val="single" w:sz="8" w:color="auto"/>
            </w:tcBorders>
          </w:tcPr>
          <w:p>
            <w:pPr>
              <w:jc w:val="right"/>
              <w:ind w:right="71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dividend yield</w:t>
            </w:r>
          </w:p>
        </w:tc>
        <w:tc>
          <w:tcPr>
            <w:tcW w:w="1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0 %</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gridSpan w:val="2"/>
          </w:tcPr>
          <w:p>
            <w:pPr>
              <w:spacing w:after="0" w:line="201" w:lineRule="exact"/>
              <w:rPr>
                <w:sz w:val="20"/>
                <w:szCs w:val="20"/>
                <w:color w:val="auto"/>
              </w:rPr>
            </w:pPr>
            <w:r>
              <w:rPr>
                <w:rFonts w:ascii="Arial" w:cs="Arial" w:eastAsia="Arial" w:hAnsi="Arial"/>
                <w:sz w:val="18"/>
                <w:szCs w:val="18"/>
                <w:color w:val="auto"/>
              </w:rPr>
              <w:t>Expected share price volatility (weighted</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average and range, if applicable)</w:t>
            </w: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91.6</w:t>
            </w:r>
          </w:p>
        </w:tc>
        <w:tc>
          <w:tcPr>
            <w:tcW w:w="226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 91.4% (91.0% to 92.1%)</w:t>
            </w:r>
          </w:p>
        </w:tc>
        <w:tc>
          <w:tcPr>
            <w:tcW w:w="20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91.4% (89.4% to 91.6%)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Risk-free interest rate (weighted average</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and range, if applicable)</w:t>
            </w:r>
          </w:p>
        </w:tc>
        <w:tc>
          <w:tcPr>
            <w:tcW w:w="1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0.34</w:t>
            </w:r>
          </w:p>
        </w:tc>
        <w:tc>
          <w:tcPr>
            <w:tcW w:w="2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3"/>
              </w:rPr>
              <w:t>% 0.68% (0.62% to 1.02%)</w:t>
            </w:r>
          </w:p>
        </w:tc>
        <w:tc>
          <w:tcPr>
            <w:tcW w:w="20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0.40% (0.34% to 0.75%)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Expected term of options (in years)</w:t>
            </w: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6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did not grant any stock options during the three months ended September 30, 2021.</w:t>
      </w:r>
    </w:p>
    <w:p>
      <w:pPr>
        <w:spacing w:after="0" w:line="225" w:lineRule="exact"/>
        <w:rPr>
          <w:rFonts w:ascii="Arial" w:cs="Arial" w:eastAsia="Arial" w:hAnsi="Arial"/>
          <w:sz w:val="18"/>
          <w:szCs w:val="18"/>
          <w:color w:val="auto"/>
        </w:rPr>
      </w:pPr>
    </w:p>
    <w:p>
      <w:pPr>
        <w:jc w:val="both"/>
        <w:ind w:left="680" w:right="20" w:hanging="321"/>
        <w:spacing w:after="0" w:line="263" w:lineRule="auto"/>
        <w:tabs>
          <w:tab w:leader="none" w:pos="68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As the Company’s common stock was not publicly traded prior to the Merger,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shares of its common stock underlying the options has historically been determined by the Company’s board of directors with input from management, after considering independent third-party valuation reports.</w:t>
      </w:r>
    </w:p>
    <w:p>
      <w:pPr>
        <w:spacing w:after="0" w:line="183" w:lineRule="exact"/>
        <w:rPr>
          <w:rFonts w:ascii="Arial" w:cs="Arial" w:eastAsia="Arial" w:hAnsi="Arial"/>
          <w:sz w:val="18"/>
          <w:szCs w:val="18"/>
          <w:color w:val="auto"/>
        </w:rPr>
      </w:pPr>
    </w:p>
    <w:p>
      <w:pPr>
        <w:jc w:val="both"/>
        <w:ind w:left="680" w:hanging="321"/>
        <w:spacing w:after="0" w:line="254" w:lineRule="auto"/>
        <w:tabs>
          <w:tab w:leader="none" w:pos="68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stock options are expected to be outstanding.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calculated the expected term 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194" w:lineRule="exact"/>
        <w:rPr>
          <w:rFonts w:ascii="Arial" w:cs="Arial" w:eastAsia="Arial" w:hAnsi="Arial"/>
          <w:sz w:val="18"/>
          <w:szCs w:val="18"/>
          <w:color w:val="auto"/>
        </w:rPr>
      </w:pPr>
    </w:p>
    <w:p>
      <w:pPr>
        <w:jc w:val="both"/>
        <w:ind w:left="680" w:hanging="321"/>
        <w:spacing w:after="0" w:line="279" w:lineRule="auto"/>
        <w:tabs>
          <w:tab w:leader="none" w:pos="680" w:val="left"/>
        </w:tabs>
        <w:numPr>
          <w:ilvl w:val="1"/>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expected volatility was based on the historical share volatility of several publicly traded peer</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over a period of time equal to the expected term of the options, as the Company does not have any trading history to use the volatility of its common stock. For purposes of identifying these peer companies, the Company considered the industry, stage of development, size and financial leverage of potential comparable companies.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ind w:left="680" w:hanging="321"/>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was based on the yields of U.S. Treasury zero-coupon securities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similar in duration to the expected term of the options.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not paid dividends on its common stock nor does it expect to pay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Accordingly, the Company has estimated the dividend yield to be zero.</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September 30, 2021, there were 7,730,503 options remaining available for grant under the 2021 Plan. The Company has sufficient authorized and unissued shares to make all issuances currently available under the 2021 Plan.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tables show a summary of stock-based compensation expense included in the condensed consolidated statements of operations and comprehensive loss for the three and nine months ended September 30, 2021, and the three and nine months ended September 30, 2020, and remaining unrecognized cost as of September 30, 2021 and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14"/>
                <w:szCs w:val="14"/>
                <w:color w:val="auto"/>
              </w:rPr>
            </w:pPr>
          </w:p>
        </w:tc>
        <w:tc>
          <w:tcPr>
            <w:tcW w:w="2380" w:type="dxa"/>
            <w:vAlign w:val="bottom"/>
            <w:gridSpan w:val="8"/>
          </w:tcPr>
          <w:p>
            <w:pPr>
              <w:jc w:val="right"/>
              <w:ind w:right="100"/>
              <w:spacing w:after="0"/>
              <w:rPr>
                <w:sz w:val="20"/>
                <w:szCs w:val="20"/>
                <w:color w:val="auto"/>
              </w:rPr>
            </w:pPr>
            <w:r>
              <w:rPr>
                <w:rFonts w:ascii="Arial" w:cs="Arial" w:eastAsia="Arial" w:hAnsi="Arial"/>
                <w:sz w:val="14"/>
                <w:szCs w:val="14"/>
                <w:b w:val="1"/>
                <w:bCs w:val="1"/>
                <w:color w:val="auto"/>
                <w:w w:val="94"/>
              </w:rPr>
              <w:t>Three Months Ended 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right"/>
              <w:ind w:right="15"/>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862</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5,498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1,170</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7,335</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4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Unrecognized share-based compensation cost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12,480</w:t>
            </w:r>
          </w:p>
        </w:tc>
        <w:tc>
          <w:tcPr>
            <w:tcW w:w="1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w w:val="95"/>
              </w:rPr>
              <w:t>Expected weighted average period compensation costs to be recognized (years)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summary of option activity under the Company’s stock option plans during the nine months ended September 30, 2021 is presented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Weighted</w:t>
            </w: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Average</w:t>
            </w:r>
          </w:p>
        </w:tc>
        <w:tc>
          <w:tcPr>
            <w:tcW w:w="140" w:type="dxa"/>
            <w:vAlign w:val="bottom"/>
          </w:tcPr>
          <w:p>
            <w:pPr>
              <w:spacing w:after="0"/>
              <w:rPr>
                <w:sz w:val="12"/>
                <w:szCs w:val="12"/>
                <w:color w:val="auto"/>
              </w:rPr>
            </w:pP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Number of Shares</w:t>
            </w:r>
          </w:p>
        </w:tc>
        <w:tc>
          <w:tcPr>
            <w:tcW w:w="8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Exercise</w:t>
            </w: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Price Per Share</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(years)</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2020</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4,813,262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20,422</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1,838,029</w:t>
            </w:r>
          </w:p>
        </w:tc>
        <w:tc>
          <w:tcPr>
            <w:tcW w:w="6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(188,006)</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(63,397)</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7.87</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2021</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6,399,888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26,705</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Vested and exercisable, September 30, 2021</w:t>
            </w: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vMerge w:val="continue"/>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4,092,342</w:t>
            </w:r>
          </w:p>
        </w:tc>
        <w:tc>
          <w:tcPr>
            <w:tcW w:w="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5.74</w:t>
            </w:r>
          </w:p>
        </w:tc>
        <w:tc>
          <w:tcPr>
            <w:tcW w:w="140" w:type="dxa"/>
            <w:vAlign w:val="bottom"/>
            <w:vMerge w:val="continue"/>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14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23,345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September 30, 2021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6,399,888</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did not grant any stock options during the three months ended September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No adjustment was made as of September 30, 2021. The Company’s effective federal tax rate for the three and nine months ended September 30, 2021 and 2020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was 0%, primarily as a result of estimated tax losses for the fiscal year to date offset by the increase in the valuation allowance in the net operating loss carryforwards.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did not record any income tax expense or benefit during the three and nine months ended September 30, 2021 and 2020. The Company has a net operating loss and has provided a valuation allowance against net deferred tax assets due to uncertainties regarding the Company’s ability to realize these assets. All losses before income taxes arose in the United States.</w:t>
      </w:r>
    </w:p>
    <w:p>
      <w:pPr>
        <w:spacing w:after="0" w:line="16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On March 27, 2020, the Coronavirus Aid, Relief, and Economic Security (“CARES”) Act was passed by the U.S. Congress and signed into United States law. The CARES Act, among other things, includes certain provisions for individuals and corporations; however, these benefits did not materially impact the Company’s income tax provision in the periods presented.</w:t>
      </w:r>
    </w:p>
    <w:p>
      <w:pPr>
        <w:spacing w:after="0" w:line="161" w:lineRule="exact"/>
        <w:rPr>
          <w:sz w:val="20"/>
          <w:szCs w:val="20"/>
          <w:color w:val="auto"/>
        </w:rPr>
      </w:pPr>
    </w:p>
    <w:p>
      <w:pPr>
        <w:ind w:right="7100" w:firstLine="8"/>
        <w:spacing w:after="0" w:line="566" w:lineRule="auto"/>
        <w:tabs>
          <w:tab w:leader="none" w:pos="2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Patent License Agreements</w:t>
      </w:r>
    </w:p>
    <w:p>
      <w:pPr>
        <w:spacing w:after="0"/>
        <w:rPr>
          <w:sz w:val="20"/>
          <w:szCs w:val="20"/>
          <w:color w:val="auto"/>
        </w:rPr>
      </w:pPr>
      <w:r>
        <w:rPr>
          <w:rFonts w:ascii="Arial" w:cs="Arial" w:eastAsia="Arial" w:hAnsi="Arial"/>
          <w:sz w:val="18"/>
          <w:szCs w:val="18"/>
          <w:i w:val="1"/>
          <w:iCs w:val="1"/>
          <w:color w:val="auto"/>
        </w:rPr>
        <w:t>Duke University</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March 2006, the Company entered into a license agreement with Duke University, or Duke, which was subsequently amended in 2011, 2014, 2015, 2018 and 2019. Under this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will expire in 2021. The Company has agreed to use commercially reasonable efforts to develop, register, market and sell products utilizing the patent rights, referred to as the licensed products. Any services provided to a third party utilizing licensed products are referred to as licensed services. The Company has also agreed to meet certain benchmarks in its development efforts, including as to development events, clinical trials, regulatory submissions and marketing approval, within specified timeframes. Under the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spacing w:after="0" w:line="16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connection with the Company’s entry into the license agreement, the Company granted equity consideration to Duke in the form of 52,693 shares of the Company’s common stock. Under the license agreement, the Company also agreed to pay Duke:</w:t>
      </w:r>
    </w:p>
    <w:p>
      <w:pPr>
        <w:spacing w:after="0" w:line="146" w:lineRule="exact"/>
        <w:rPr>
          <w:sz w:val="20"/>
          <w:szCs w:val="20"/>
          <w:color w:val="auto"/>
        </w:rPr>
      </w:pPr>
    </w:p>
    <w:p>
      <w:pPr>
        <w:ind w:left="680" w:right="2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low single-digit percentage royalty on eligible sales of licensed products and licensed services, plus a low double-digit percentage of any sublicensing revenue;</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annual minimum royalty beginning in 2012, which increases in the calendar year immediately following the first commercial sale of licensed products or licensed services (whichever occurs first);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additional amount in license fees, as certain milestones are met.</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license agreement remains effective until the last of the patent rights expires or four years after the Company’s first commercial sale, unless earlier terminated.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 prior notice to Duke. The Company agrees to indemnify Duke against certain third-party claims. Payments to Duke under the license agreement were immaterial during the periods presented.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Yale University</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February 2014, the Company entered into a license agreement with Yale University, or Yale, that granted the Company a worldwide license to the patents related to coatings for small-diameter vessels to inhibit clotting. The license granted under the agreement is exclusive in the field of engineered vascular tissues and tissues and extracellular matrix-based implants used for vascular repair, reconstruction and replacement (provided that all uses are vascular tissues within the range of 1-12mm in diameter),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agreement up to a maximum of less than $0.1 million per year for this license.</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August 2019, the Company entered into a license agreement with Yale, that granted the Company a worldwide license to the patents related to Bioartificial Vascular Pancreas (BVP). The license granted under the agreement is exclusive in the field of engineered vascular tissues that deliver pancreatic islet cells to patients,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agreement up to a maximum of less than $0.1 million per year for this license.</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2019, the Company entered into a license agreement with Yale that granted the Company a worldwide license to the patents related to tubular prostheses. The license granted under the agreement is exclusive in the field of engineered urinary conduits, engineered tracheas/airways, and engineered esophagi,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agreement up to a maximum of less than $0.1 million per year for this license.</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 which must indicate progress of its development and commercialization. The Company may also sublicense the Company’s rights without Yale’s prior written consent, but such sublicense is subject to certain conditions.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connection with its entry into the license agreement, the Company paid Yale upfront cash fees. The Company has also agreed to pay Yale:</w:t>
      </w:r>
    </w:p>
    <w:p>
      <w:pPr>
        <w:spacing w:after="0" w:line="170" w:lineRule="exact"/>
        <w:rPr>
          <w:sz w:val="20"/>
          <w:szCs w:val="20"/>
          <w:color w:val="auto"/>
        </w:rPr>
      </w:pPr>
    </w:p>
    <w:p>
      <w:pPr>
        <w:jc w:val="both"/>
        <w:ind w:left="680" w:hanging="321"/>
        <w:spacing w:after="0" w:line="263"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maintenance fees, increasing between the first anniversary of the agreement until the fifth anniversary for the coating and BVP licenses and until the fourth anniversary for the tubular prostheses license up to a maximum of less than $0.1 million per year;</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milestone payments upon achievement of certain regulatory and commercial milestones of $0.2 million and $0.6 million;</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low single-digit percentage royalty on worldwide net sales, subject to reductions for third-party license fees;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low double-digit percentage of sublicensing income.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the Company or any of its future sublicensees bring a patent challenge against Yale or assists another party in bringing a patent challenge against Yale, the license fees described above will be subject to certain increases and penalties.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agreements expire on a country-by-country basis on the date on which the last of the patents in such country expires, lapses or is declared invalid. Yale may terminate the agreements if the Company fails to (i) provide written diligence reports, (ii) provide commercially reasonable diligence plans, (iii) implement the plans in accordance with the obligations under the agreements, or (iv) reach certain research and development milestones within the scheduled timeframe set forth in the agreements; however, any such termination right would be limited in scope to the country to which such failure relates. Yale may also terminate for the Company’s non-payment, uncured material breach, failure to obtain adequate insurance, bringing or assisting in bringing of a patent challenge against Yale, abandonment of the research and development of the Company’s products or insolvency. The Company may terminate the license agreements (i) on 90 days’ prior written notice to Yale, provided the Company is not in breach of the license agreements and has made all required payments to Yale thereunder and (ii) on written notice to Yale following an uncured material breach. With respect to the license agreements related to small-diameter vessels and BVP, the Company’s rights under the license agreements will also terminate automatically with respect to a patent application or patent within the licensed patents in a specified country if, upon receipt of written notice from Yale, the Company does not agree to pay the patent filing, prosecution and maintenance fees incurred by Yale for such patent applications or patents in the specified country. Under certain circumstances, Yale 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license agreement were immaterial during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currently is not aware of any legal proceedings or claims that management believes will have, individually or in the aggregate, a material adverse effect on the Company’s business, financial condition,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potential future amounts the Company could be required to make. To date, the Company has not incurred any costs as a result of such obligations and has not accrued any liabilities related to such obligations in the condensed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Fresenius Medical Care investments and distribution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2018, the Company completed a $150 million financing transaction pursuant to which Fresenius Medical Care purchased shares of series D redeemable convertible preferred stock that at the Closing of the Merger converted into 15,812,735 shares of the Company’s common stock. In August 2021, Fresenius Medical Care invested $25 million as part of the PIPE Financing and received 2.5 million shares of the Company’s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addition, the Company entered into a distribution agreement with Fresenius Medical Care in June 2018 which, as amended as of February 16, 2021, granted Fresenius Medical Care and its affiliates exclusive rights to develop outside the United States and EU and commercialize outside of the United States the Company’s 6 millimeter x 42cm HAV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arterial disease,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the Company in its commercialization of the product in the field, including adoption of the distribution product as a standard of care in patients for which such use is supported by clinical results and health economic analyses.</w:t>
      </w:r>
    </w:p>
    <w:p>
      <w:pPr>
        <w:spacing w:after="0" w:line="16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Company is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the Company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the Company agreed to use commercially reasonable efforts to support Fresenius Medical Care in its efforts.</w:t>
      </w:r>
    </w:p>
    <w:p>
      <w:pPr>
        <w:spacing w:after="0" w:line="16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the distribution agreement, the Company grants an exclusive, sublicensable license to Fresenius Medical Care under the patents, know-how and regulatory materials controlled by the Company during the term to commercialize the distribution product in the field outside the United States, subject to the Company’s retained rights to carry out its obligations under the distribution agreement. The Company also grants a non-exclusive, sublicensable license to Fresenius Medical Care under the patents, know-how and regulatory materials controlled by the Company during the term to develop the distribution product in accordance with the terms of the distribution agreement. In addition, the Company grants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distribution agreement provides that the Company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spacing w:after="0" w:line="18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Company is obligated to make payments to Fresenius Medical Care based on a share of aggregate net sales by or on behalf of the Company of the distribution product in the United States in the field. Such revenue-share payments will be a percentage of net sales in the low double digits, without regard to the calendar year in which such net sales are attributable, until such time that the Company has paid to Fresenius Medical Care a certain total amount, at which time the revenue-share will decrease to a percentage of net sales in the mid-single digits. The amounts that Fresenius Medical Care will be obligated to pay the Company under the distribution agreement for sales of the distribution product in the field outside of the United States will vary. Fresenius Medical Care agreed to pay the Company initially, on a country-by-country basis for sales outside of the United States, the amount equal to the average cost of manufacturing the Company’s distribution product plus a fixed dollar amount per unit. Following a specified period, on a country-by-country basis outside of the United States, Fresenius Medical Care will pay the Company a fixed percentage of net sales for each unit sold in such country, such that the Company will receive more than half of such net sales.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distribution agreement will generally continue on a country-by-country basis until the later of (a)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 (i) for certain withdrawals of regulatory approval or (ii) for termination or expiration of any of our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the Company, although Fresenius Medical Care is not permitted to give such notice prior to the end of the second year following launch of the distribution product in such country. Each party is required to indemnify one another for certain third-party claims.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Dr. Niklason and Yale University</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September 2016, the Company entered into a Memorandum of Understanding Regarding Scientific and Operational Leadership, or MOU, with Dr. Niklason in connection with her performance of various consulting activities for the Company.</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MOU provided for the Company to make a payment each year through 2023 to the academic institution with which Dr. Niklason was then affiliated, up to an aggregate amount of $2.5 million for 2018 through 2023, and to pay Dr. Niklason reasonable consulting fees in consideration of the services she performed for the Company. For the three and nine months ended September 30, 2020, the company made payments under the MOU of $0.1 million and $0.4 million, respectively, to, or on behalf of, Yale University, where Dr. Niklason, currently the Company’s President, CEO and a member of the Company’s board of directors, serves as a Professor Adjunct, Division Chief and Vice Chair, Research in Anesthesia. The MOU was terminated effective November 9, 2020.</w:t>
      </w:r>
    </w:p>
    <w:p>
      <w:pPr>
        <w:spacing w:after="0" w:line="1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a summary of related party expenses included in the statements of operations and comprehensive loss for the three and nine months ended September 30, 2021 and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40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71"/>
        </w:trPr>
        <w:tc>
          <w:tcPr>
            <w:tcW w:w="53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0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r>
      <w:tr>
        <w:trPr>
          <w:trHeight w:val="209"/>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Expenses under MOU</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License expenses</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4"/>
        </w:trPr>
        <w:tc>
          <w:tcPr>
            <w:tcW w:w="5340" w:type="dxa"/>
            <w:vAlign w:val="bottom"/>
          </w:tcPr>
          <w:p>
            <w:pPr>
              <w:ind w:left="120"/>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w:t>
            </w:r>
          </w:p>
        </w:tc>
      </w:tr>
    </w:tbl>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2021 and December 31, 2020, the Company was a party to license agreements with Yale University, as described in Note 11 — Commitments and Contingencies,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preparing the condensed consolidated financial statements as of September 30, 2021 and for the three and nine months ended September 30, 2021, the Company evaluated the effect subsequent events would have on the financial statements through the date the financial statements were issued.</w:t>
      </w:r>
    </w:p>
    <w:p>
      <w:pPr>
        <w:spacing w:after="0" w:line="18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On October 13, 2021, the Company borrowed an additional $10.0 million under the Loan Agreement, and the warrants to purchase an additional 123,302 shares of the Company’s common stock at an exercise price of $10.28 per share became exercisable. See Note 7 – Debt and Note 8 – Stockholders’ Equity (Deficit)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the related notes included under Part I, Item 1 of this Quarterly Report on Form 10-Q (this “Quarterly Report”). In addition, you should refer to our audited consolidated financial statements and the related notes for the year ended December 31, 2020 and the section entitled “Management’s Discussion and Analysis of Financial Conditions and Results of Operations” included in the Company’s Registration Statement on Form S-1, filed with the SEC on September 17, 2021 and amended on October 22, 2021.</w:t>
      </w:r>
    </w:p>
    <w:p>
      <w:pPr>
        <w:spacing w:after="0" w:line="1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Unless the context indicates otherwise, references in this Quarterly Report to the “Company,” “Humacyte,” “we,” “us,” “our” and similar terms refer to Humacyte, Inc. (formerly known as Alpha Healthcare Acquisition Corp.) and its consolidated subsidiaries (including Humacyte Global, Inc.) following the Company’s business combination with Alpha Healthcare Acquisition Corp (the “Business Combination”); references to “Legacy Humacyte” refer to Humacyte, Inc. prior to the Business Combination; and references to “AHAC” refer to Alpha Healthcare Acquisition Corp. prior to the Business Combination.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historical information, some of the information contained in this discussion and analysis or set forth elsewhere in this Quarterly Report, including information with respect to our plans and strategy for our business, future financial performance, expense levels and liquidity sources, includes forward-looking statements that involve risks and uncertainties. You should read the sections of this Quarterly Report entitled “Forward-Looking Statements” and “Risk Factors” for a discussion of important factors that could cause actual results to differ materially from the results described in or implied by the forward-looking statements contained in the following discussion and analysis.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pioneering the development and manufacture of off-the-shelf, universally implantable, bioengineered human tissues designed to improve the lives of patients and transform the practice of medicine. We believe our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Our goal is to develop and manufacture these tissues for the treatment of diseases and conditions across a range of anatomic locations in multiple therapeutic areas.</w:t>
      </w:r>
    </w:p>
    <w:p>
      <w:pPr>
        <w:spacing w:after="0" w:line="19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initially using our proprietary scientific technology platform to engineer and manufacture our bioengineered human, acellular tissue-based vessels (“HAVs”). Our HAVs are designed to be easily implanted into any patient without inducing a foreign body response or leading to immune rejection. We are developing our “cabinet” of HAVs of varying diameters and lengths. The HAV cabinet would initially target the vascular repair, reconstruction and replacement market, including use in AVs access for hemodialysis, trauma, peripheral arterial disease and coronary artery bypass graft. In addition, we are developing our HAVs as conduits for pediatric heart surgery and the delivery of cellular therapies, including pancreatic islet cell transplantation for the treatment of Type 1 diabetes (our biovascular pancreas). We intend to continue to explore the application of our technology across a broad range of markets and indications, including the development of urinary conduit, trachea, esophagus and other novel cell delivery systems.</w:t>
      </w:r>
    </w:p>
    <w:p>
      <w:pPr>
        <w:spacing w:after="0" w:line="16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use autologous vessels and synthetic grafts and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amputation and infection. Synthetic grafts are often contraindicated in the setting of vascular trauma due to higher infection risk that can lead to prolonged hospitalization and limb loss. Given the competitive advantages HAVs may have over existing vascular substitutes, we believe that HAVs have the potential to become the standard of care and lead to improved patient outcomes and lower healthcare costs.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generated no product revenue and incurred losses and negative cash flows from operations in each year since our inception in 2004. As of September 30, 2021 and December 31, 2020, we had an accumulated deficit of $457.2 and $388.1 million, respectively, and working capital of $222.9 million and $30.2 million, respectively. Our net losses were approximately $31.6 million and $69.1 million for the three and nine months ended September 30, 2021, respectively, and $17.8 million and $50.3 million for the three and nine months ended September 30, 2020, respectively. Substantially all of our net losses resulted from costs incurred in connection with our research and development programs and from general and administrative costs associated with our operations. We expect to incur substantial operating losses and negative cash flows from operations for the foreseeable future as the Company advances its product candidates.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30, 2021 and December 31, 2020, we had cash and cash equivalents of $240.4 million and $39.9 million, respectively. We believe our cash and cash equivalents will be sufficient to fund operations, including clinical trial expenses and capital expenditure requirements, for at least 12 months from the date of this Quarterly Report. See Note 1, “Organization and Description of Business,” in the notes to our condensed consolidated financial statements included elsewhere in this Quarterly Report for additional information regarding this assessment.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Merger</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August 26, 2021 (the “Closing Date”), Legacy Humacyte and AHAC consummated the Business Combination pursuant to the Business Combination Agreement (the “Merger Agreement”), by and among Legacy Humacyte, AHAC and Hunter Merger Sub, Inc. (“Merger Sub”). As contemplated by the Business Combination Agreement, Merger Sub merged with and into Legacy Humacyte, with Legacy Humacyte surviving the Merger as a wholly owned subsidiary of AHAC (such transactions, the “Merger”). As a result of the Merger, AHAC was renamed Humacyte, Inc. and Legacy Humacyte was renamed Humacyte Global, Inc.</w:t>
      </w:r>
    </w:p>
    <w:p>
      <w:pPr>
        <w:spacing w:after="0" w:line="1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Pursuant to the terms of the Merger Agreement, at the effective time of the Merger (the “Effective Time”), (1) each outstanding share of common stock of Legacy Humacyte (“Legacy Humacyte common stock”) was cancelled and converted into the right to receive approximately 0.26260 shares of the Company’s common stock, par value $0.0001 per share (“Common Stock”), and (2) each outstanding share of preferred stock of Legacy Humacyte (“Legacy Humacyte preferred stock”) was cancelled and converted into the aggregate number of shares of Common Stock that would be issued upon conversion of the shares of Legacy Humacyte preferred stock based on the applicable conversion ratio immediately prior to the Effective Time, multiplied by approximately 0.26260, resulting in the issuance of a total of 75,656,935 shares of Common Stock. Prior holders of shares of Legacy Humacyte common stock and Legacy Humacyte preferred stock also received the contingent right to receive certain Earnout Shares (as defined below), for each share owned by each such Legacy Humacyte stockholder that was outstanding immediately prior to the closing of the Merger (the “Closing”). In addition, certain investors purchased an aggregate of 17,500,000 shares of Common Stock (such investors, the “PIPE Investors”) in a private placement that closed concurrently with the Closing for an aggregate purchase price of $175 million (the “PIPE Financing”). Additionally, at the Closing, 2,500,000 shares of AHAC’s Class B common stock (“Founder Shares”) automatically converted into shares of Common Stock on a one-for-one basis.</w:t>
      </w:r>
    </w:p>
    <w:p>
      <w:pPr>
        <w:spacing w:after="0" w:line="18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terms of the Merger Agreement, at the Effective Time of the Merger, (1) warrants to purchase shares of Legacy Humacyte common stock were converted into warrants to purchase an aggregate of 287,704 shares of Common Stock, and (2) options to purchase shares of Legacy Humacyte common stock were converted into options to purchase an aggregate of 6,405,138 shares of Common Stock.</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Following the Closing Date, former holders of Legacy Humacyte common stock and Legacy Humacyte preferred stock may receive up to 15,000,000 additional shares of Common Stock (“Earnout Shares”) in the aggregate in two equal tranches if the volume-weighted average closing sale price of our Common Stock is greater than or equal to $15.00 and $20.00, respectively, for any 20 trading days within any 30 consecutive trading day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COVID-19 pandemic, which began in December 2019 and has spread worldwide, has caused many governments to implement measures to slow the spread of the outbreak, including shelter-in-place orders and the mandatory shutdown of certain businesses. The outbreak and government measures taken in response have had a significant impact, both direct and indirect, on our business, as supply chains have been disrupted, and facilities and production have been suspended. The future progression of the pandemic and its effects on our business and operations are uncertain. The COVID-19 pandemic may affect our ability to initiate and complete preclinical studies, delay our clinical trials or future clinical trials, disrupt regulatory activities, or have other adverse effects on our business and operations. The pandemic has already caused significant disruptions in the financial markets, and may continue to cause such disruptions, which could impact our ability to raise additional funds to support our operations. Moreover, the pandemic has significantly impacted economies worldwide and could result in adverse effects on our business and operations.</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To date, the COVID-19 pandemic has not resulted in material financial impacts or impairment losses in the carrying values of our assets as a result of the pandemic and we are not aware of any specific related event or circumstance that would require us to revise the estimates reflected in our financial statements. The extent to which the COVID-19 pandemic will directly or indirectly impact our business, results of operations and financial condition, including current and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economic impact of the pandemic.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To date, we have not generated revenue from the sale of any products. All of our revenue has been derived from government and other grants. Since inception we have been awarded grants from the California Institute of Regenerative Medicine (“CIRM”), the National Institutes of Health (“NIH”), and the Department of Defense (“DoD”), to support our development, production scaling and clinical trials of our product candidates. We recognized $30.8 million in revenue from inception to September 30, 2021 from these sources, including $11.2 million from CIRM under a program that ended in 2020. We may generate revenue in the future from government and other grants, payments from future license or collaboration agreements and, if any of our product candidates receive marketing approval, from product sales.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Since our inception, we have focused our resources on our research and development activities, including conducting preclinical studies and clinical trials, developing our manufacturing process and activities related to regulatory filings for our product candidates. We recognize research and development expenses as they are incurred. Our research and development expenses consist primarily of:</w:t>
      </w:r>
    </w:p>
    <w:p>
      <w:pPr>
        <w:spacing w:after="0" w:line="149" w:lineRule="exact"/>
        <w:rPr>
          <w:sz w:val="20"/>
          <w:szCs w:val="20"/>
          <w:color w:val="auto"/>
        </w:rPr>
      </w:pPr>
    </w:p>
    <w:p>
      <w:pPr>
        <w:ind w:left="680" w:right="20" w:hanging="321"/>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salaries and related overhead expenses for personnel in research and development functions, including stock-based compensation and benefits;</w:t>
      </w:r>
    </w:p>
    <w:p>
      <w:pPr>
        <w:spacing w:after="0" w:line="170"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paid to consultants and clinical research organizations (“CROs”), including in connection with our clinical trials, and other related clinical trial fees, such as for investigator grants, patient screening, laboratory work and statistical compilation and analysis;</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allocation of facility lease and maintenance costs;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depreciation of leasehold improvements, laboratory equipment and computers;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related to purchasing raw materials for and producing our product candidates for clinical trials;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related to our manufacturing development and expanded-capabilities initiatives;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license fees related to in-licensed technologies.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majority of our research and development resources are currently focused on our Phase III clinical trials for our 6 millimeter HAV and other work needed to obtain marketing approval for our 6 millimeter HAV for use for vascular repair, reconstruction and replacement, including trauma and arteriovenous (“AV”) access in hemodialysis in the United States and Europe.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II and Phase III clinical trials. We do not allocate our costs by each research and development program for which we are developing our cabinet of HAVs, as a significant amount of our development activities broadly support multiple programs that use our technology platform. We plan to further increase our research and development expenses for the foreseeable future as we continue the development of our proprietary scientific technology platform and our novel manufacturing paradigm.</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successful development of our preclinical and clinical product candidates is highly uncertain. At this time, we cannot estimate with any reasonable certainty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spacing w:after="0" w:line="188" w:lineRule="exact"/>
        <w:rPr>
          <w:sz w:val="20"/>
          <w:szCs w:val="20"/>
          <w:color w:val="auto"/>
        </w:rPr>
      </w:pPr>
    </w:p>
    <w:p>
      <w:pPr>
        <w:ind w:left="68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rate of progress, expense and results of our preclinical development activities, our ongoing clinical trials and any additional clinical trials that we may conduct, and other research and development activities;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 including the U.S. Food and Drug Administration (“FDA”) and non-U.S. regulators;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225" w:lineRule="exact"/>
        <w:rPr>
          <w:rFonts w:ascii="Arial" w:cs="Arial" w:eastAsia="Arial" w:hAnsi="Arial"/>
          <w:sz w:val="18"/>
          <w:szCs w:val="18"/>
          <w:color w:val="auto"/>
        </w:rPr>
      </w:pPr>
    </w:p>
    <w:p>
      <w:pPr>
        <w:ind w:left="680" w:right="20" w:hanging="321"/>
        <w:spacing w:after="0" w:line="308" w:lineRule="auto"/>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development of clinical and commercial manufacturing capabilities or making arrangements with third-party manufacturers in order to ensure that it or its third-party manufacturers are able to successfully manufacture our product;</w:t>
      </w:r>
    </w:p>
    <w:p>
      <w:pPr>
        <w:spacing w:after="0" w:line="146" w:lineRule="exact"/>
        <w:rPr>
          <w:rFonts w:ascii="Arial" w:cs="Arial" w:eastAsia="Arial" w:hAnsi="Arial"/>
          <w:sz w:val="17"/>
          <w:szCs w:val="17"/>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and changing government regulations;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approved, whether alone or in collaboration with others;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degree of market acceptance of any product candidates that obtain marketing approval;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following approval, if any, of our product candidates.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spacing w:after="0" w:line="1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expect our general and administrative expenses will increase for the foreseeable future to support our expanded infrastructure and increased costs of operating as a public company. These increases are expected to include increased employee-related expenses and increased director and officer insurance premiums, audit and legal fees, investor relations fees and expenses for compliance with public company reporting requirements under the Securities Exchange Act of 1934, as amended (the “Exchange Act”) and rules implemented by the Securities and Exchange Commission (the “SEC”), as well as the rules of the Nasdaq Global Select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Expenses, Net</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Total other expenses, net consists of (i) the change in fair value of the contingent earnout liability that was accounted for as a liability as of the date of the Merger, and is remeasured to fair value at each reporting period, resulting in a non-cash gain or loss, (ii) a gain on Paycheck Protection Program (“PPP”) loan forgiveness, (iii) interest income earned on our cash and cash equivalents, (iv) interest expense incurred on our term loan agreement with Silicon Valley Bank and SVB Innovation Credit Fund VIII, L.P. (the “Loan Agreement”), finance leases, and our PPP loan during the periods each were outstanding, (v) a change in fair value of private placement common stock warrant liabilities related to private placement warrants originally issued in a private placement to AHAC Sponsor LLC (“Private Placement Warrants”), which we assumed in connection with the Merger, and which are subject to remeasurement to fair value at each balance sheet date resulting in a non-cash gain or loss, and (vi) legal, accounting, and underwriting fees and other costs directly related to the consummation of the Merger that were associated with the aforementioned warrant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Comparison of the Three Months Ended September 30, 2021 and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2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4"/>
                <w:szCs w:val="14"/>
                <w:color w:val="auto"/>
              </w:rPr>
            </w:pPr>
          </w:p>
        </w:tc>
        <w:tc>
          <w:tcPr>
            <w:tcW w:w="1120" w:type="dxa"/>
            <w:vAlign w:val="bottom"/>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18,127</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expenses, net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contingent earnout liability</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(9,768)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(549)</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(expenses) income, net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(10,473)</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(31,563)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(17,760)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(13,803)</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 Revenue</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the three months ended September 30, 2021 and 2020, revenue totaled $0.2 million and $0.9 million, respectively, a decrease of $0.7 million, or 74%. The decrease relates to $0.3 million of revenue recognized during the three months ended September 30, 2020 related to our grant from NIH before the program ended in 2020, and $0.4 million related to the timing of reimbursement of certain allowable costs related to our grant from DoD in the third quarter of 2020 as compared to the current year period.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breakdown of research and development expenses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120" w:type="dxa"/>
            <w:vAlign w:val="bottom"/>
          </w:tcPr>
          <w:p>
            <w:pPr>
              <w:spacing w:after="0"/>
              <w:rPr>
                <w:sz w:val="14"/>
                <w:szCs w:val="14"/>
                <w:color w:val="auto"/>
              </w:rPr>
            </w:pPr>
          </w:p>
        </w:tc>
        <w:tc>
          <w:tcPr>
            <w:tcW w:w="2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Borders>
              <w:bottom w:val="single" w:sz="8" w:color="CCEEFF"/>
            </w:tcBorders>
            <w:vMerge w:val="continue"/>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External services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Lab supplies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Payroll and personnel expenses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Research and development expenses increased from $14.7 million for the three months ended September 30, 2020 to $15.4 million for the three months ended September 30, 2021. The increase of $0.7 million, or 5%, was primarily driven by an increase in payroll and personnel expenses to support our research and development initiatives, including a $0.8 million increase in salaries and benefits and a $0.2 million increase in non-cash stock compensation expense, partially offset by a $0.3 million decrease in the purchase of lab supplies.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expenses were $5.4 million and $3.4 million for the three months ended September 30, 2021 and 2020, respectively. The increase in general and administrative expenses of $2.0 million, or 57%, was primarily driven by increases in professional fees of $0.6 million, including those related to preparations for commercial launch, non-cash stock compensation expense of $0.5 million, $0.3 million in insurance costs and $0.2 million in salaries and benefits.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Total Other Expenses,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other expense, net was $11.0 million and $0.5 million for the three months ended September 30, 2021 and 2020, respectively. The increase of $10.5 million resulted from a $9.8 million non-cash expense related to the remeasurement of the contingent earnout liability as of September 30, 2021 and a $0.7 million increase in interest expense related to our loan facility with Silicon Valley Bank, which commenced in March 2021.</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Comparison of the Nine Months Ended September 30, 2021 and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620" w:type="dxa"/>
            <w:vAlign w:val="bottom"/>
          </w:tcPr>
          <w:p>
            <w:pPr>
              <w:spacing w:after="0"/>
              <w:rPr>
                <w:sz w:val="14"/>
                <w:szCs w:val="14"/>
                <w:color w:val="auto"/>
              </w:rPr>
            </w:pPr>
          </w:p>
        </w:tc>
        <w:tc>
          <w:tcPr>
            <w:tcW w:w="2220" w:type="dxa"/>
            <w:vAlign w:val="bottom"/>
            <w:gridSpan w:val="7"/>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c>
          <w:tcPr>
            <w:tcW w:w="60" w:type="dxa"/>
            <w:vAlign w:val="bottom"/>
          </w:tcPr>
          <w:p>
            <w:pPr>
              <w:spacing w:after="0"/>
              <w:rPr>
                <w:sz w:val="14"/>
                <w:szCs w:val="14"/>
                <w:color w:val="auto"/>
              </w:rPr>
            </w:pPr>
          </w:p>
        </w:tc>
        <w:tc>
          <w:tcPr>
            <w:tcW w:w="1060" w:type="dxa"/>
            <w:vAlign w:val="bottom"/>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40,879</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4,212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6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60,667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50,295</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(48,928)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expenses, net:</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Gain on PPP loan forgiveness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Change in fair value of contingent earnout liability</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(9,768)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(9,768)</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(1,661)</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(1,291)</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Other (expenses) income, net</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1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Net loss</w:t>
            </w:r>
          </w:p>
        </w:tc>
        <w:tc>
          <w:tcPr>
            <w:tcW w:w="16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(50,312)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(18,750)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20" w:type="dxa"/>
            <w:vAlign w:val="bottom"/>
            <w:vMerge w:val="restart"/>
          </w:tcPr>
          <w:p>
            <w:pPr>
              <w:jc w:val="right"/>
              <w:ind w:right="790"/>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 Revenue</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the nine months ended September 30, 2021 and 2020, revenue totaled $1.1 million and $1.4 million, respectively, a decrease of $0.3 million, or 21%. The decrease relates to $0.3 million of revenue recognized during the nine months ended September 30, 2020 related to our grant from NIH before the program ended in 2020.</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breakdown of research and development expenses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Nine Months Ended September 30,</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External services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Lab supplies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8,141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6,815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Payroll and personnel expenses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8,819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45,091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40,879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Research and development expenses increased from $40.9 million for the nine months ended September 30, 2020 to $45.1 million for the nine months ended September 30, 2021. The increase of $4.2 million, or 10%, was primarily driven by an increase in payroll and personnel expenses, including a $1.4 million increase in salaries and benefits and a $1.1 million increase in non-cash stock compensation expense, and the purchase of lab supplies used to in the development of our commercial manufacturing process and in our research and development initiatives, including the preparation of clinical studies.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General and administrative expenses were $15.6 million and $9.4 million for the nine months ended September 30, 2021 and 2020, respectively. The increase in general and administrative expenses of $6.2 million, or 65%, was driven by increases in non-cash stock compensation expense of $2.8 million, external services and professional fees of $1.7 million, including those related to preparations for commercial launch and corporate initiatives, $0.6 million in salaries and benefits, and $0.4 million in insurance costs.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Total Other Expenses, net</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Total other expense, net was $9.5 million and $1.4 million for the nine months ended September 30, 2021 and 2020, respectively. The increase of $8.1 million resulted from a $9.8 million non-cash expense related to the remeasurement of the contingent earnout liability as of September 30, 2021, a $1.3 million increase in interest expense related to our loan facility with Silicon Valley Bank, which commenced in March 2021, and a $0.3 million decrease in interest income earned on our cash equivalents due to lower interest rates and lower average cash balances during the year, partially offset by a $3.3 million gain on PPP loan forgiveness.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date, we have financed our operations primarily through the sale of equity securities and convertible debt and, to a lesser extent, through grants from governmental and other agencies. Since our inception, we have incurred significant operating losses and negative cash flows. As of September 30, 2021 and December 31, 2020, we had an accumulated deficit of $457.2 and $388.1 million, respectively.</w:t>
      </w:r>
    </w:p>
    <w:p>
      <w:pPr>
        <w:spacing w:after="0" w:line="1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of September 30, 2021, we had cash and cash equivalents of $240.4 million. We believe our cash and cash equivalents will be sufficient to fund operations, including clinical trial expenses and capital expenditure requirements, for at least the next 12 months from the date of this Quarterly Report. See Note 1, “Organization and Description of Business,” in the notes to our condensed consolidated financial statements included elsewhere in this Quarterly Report for additional information regarding this assessment.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2020, we received loan proceeds in the amount of approximately $3.3 million under the PPP. The loan and accrued interest were forgivable after a 24-week period as long as we used the loan proceeds for eligible purposes, including payroll, benefits, rent and utilities, and maintained its payroll levels. On May 25, 2021, the Small Business Administration approved the forgiveness of the outstanding amount of the PPP loan and we recognized a gain from loan extinguishment in the amount of $3.3 million during the nine months ended September 30, 2021.</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March 2021, we entered into the Loan Agreement with Silicon Valley Bank and SVB Innovation Credit Fund VIII, L.P., which provides a term loan facility of up to $50.0 million, with a maturity date of March 1, 2025, of which $20.0 million was funded upon the closing of the Loan Agreement, and the additional $30.0 million is accessible in three tranches of $10.0 million each contingent on the achievement of certain business and clinical development milestones. Our obligations under the Loan Agreement are secured by substantially all of our assets, except for our intellectual property. The Loan Agreement contains certain customary covenants, including, but not limited to, those relating to additional indebtedness, liens, asset divestitures, and affiliate transactions. We may use the proceeds of borrowings under the Loan Agreement as working capital and to fund our general business requirements.</w:t>
      </w:r>
    </w:p>
    <w:p>
      <w:pPr>
        <w:spacing w:after="0" w:line="17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Borrowings under the Loan Agreement bear interest at a rate of 7.5% or the sum of the Wall Street Journal Prime Rate plus 4.25%, whichever is greater. In addition, the lenders were granted warrants to purchase Common Stock.</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2021, principal of $20.0 million was outstanding under the Loan Agreement and we were in compliance with all covenants in all material respects. On October 13, 2021, the Company borrowed an additional $10.0 million under the Loan Agreement, and principal of $30.0 million is outstanding as of the date of this Quarterly Report. As a result of the additional borrowing, the commencement of repayment of principal was deferred to no earlier than July 2023.</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Including the additional $10.0 million borrowed, our contractual obligations under the Loan Agreement as of September 30, 2021, include cash payments related to principal and interest of $2.2 million within one year, $25.0 million within one to three years, and $10.3 million within three to five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Funding Requirements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Until such time, if ever, as we are able to successfully develop and commercialize one or more of our product candidates, we expect to continue financing our operations through the sale of equity, debt, borrowings under credit facilities or through potential collaborations with other companies, other strategic transactions or government or other grants. Adequate capital may not be available to us when needed or on acceptable terms. We do not currently have any committed external source of funds beyond the Loan Agreement.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additional funds through equity or debt financings or other strategic arrangements when needed, we may be required to delay, reduce, suspend or cease our research and development programs or any future commercialization efforts, which would have a negative impact on our business, prospects, operating results and financial condition.</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Humacyte’s principal use of cash in recent periods has been funding its operations. Humacyte’s future capital requirements, both short-term and long-term, will depend on many factors, including the progress and results of our clinical trials and preclinical development, timing and extent of spending to support development efforts, cost and timing of future commercialization activities, and the amount and timing of revenues, if any, that we receive from commercial sales.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the section of this Quarterly Report entitled “Risk Factors” for additional risks associated with our substantial capital requirements.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a summary of our cash flows for each of the periods shown below:</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0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80" w:type="dxa"/>
            <w:vAlign w:val="bottom"/>
          </w:tcPr>
          <w:p>
            <w:pPr>
              <w:spacing w:after="0"/>
              <w:rPr>
                <w:sz w:val="14"/>
                <w:szCs w:val="14"/>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09"/>
        </w:trPr>
        <w:tc>
          <w:tcPr>
            <w:tcW w:w="4060" w:type="dxa"/>
            <w:vAlign w:val="bottom"/>
            <w:tcBorders>
              <w:bottom w:val="single" w:sz="8" w:color="CCEEFF"/>
            </w:tcBorders>
            <w:vMerge w:val="continue"/>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flows data:</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Total cash (used in)/provided by:</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activities</w:t>
            </w:r>
          </w:p>
        </w:tc>
        <w:tc>
          <w:tcPr>
            <w:tcW w:w="18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(40,373)</w:t>
            </w:r>
          </w:p>
        </w:tc>
        <w:tc>
          <w:tcPr>
            <w:tcW w:w="0" w:type="dxa"/>
            <w:vAlign w:val="bottom"/>
          </w:tcPr>
          <w:p>
            <w:pPr>
              <w:spacing w:after="0"/>
              <w:rPr>
                <w:sz w:val="1"/>
                <w:szCs w:val="1"/>
                <w:color w:val="auto"/>
              </w:rPr>
            </w:pPr>
          </w:p>
        </w:tc>
      </w:tr>
      <w:tr>
        <w:trPr>
          <w:trHeight w:val="216"/>
        </w:trPr>
        <w:tc>
          <w:tcPr>
            <w:tcW w:w="4060" w:type="dxa"/>
            <w:vAlign w:val="bottom"/>
          </w:tcPr>
          <w:p>
            <w:pPr>
              <w:ind w:left="100"/>
              <w:spacing w:after="0"/>
              <w:rPr>
                <w:sz w:val="20"/>
                <w:szCs w:val="20"/>
                <w:color w:val="auto"/>
              </w:rPr>
            </w:pPr>
            <w:r>
              <w:rPr>
                <w:rFonts w:ascii="Arial" w:cs="Arial" w:eastAsia="Arial" w:hAnsi="Arial"/>
                <w:sz w:val="18"/>
                <w:szCs w:val="18"/>
                <w:color w:val="auto"/>
              </w:rPr>
              <w:t>Investing activities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Financing activities</w:t>
            </w:r>
          </w:p>
        </w:tc>
        <w:tc>
          <w:tcPr>
            <w:tcW w:w="1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200,520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(38,249)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Net cash used in operating activities of $59.7 million during the nine months ended September 30, 2021 was primarily the result of our net loss of $69.1 million to support our research and development, including clinical trial, manufacturing and regulatory costs, and general and administrative costs, $12.4 million related to payments of liabilities acquired in the Merger, and adjustments for non-cash expenses related primarily to a $9.8 million loss related to the change in the fair value of our contingent earnout liability, $7.4 million of stock-based compensation, $4.7 million of depreciation expense, $1.5 million for amortization of finance lease right-of-use assets, and $0.6 million amortization of Silicon Valley Bank debt discount, partially offset by a $3.3 million non-cash gain on PPP loan forgiveness. We also experienced a $1.0 million net favorable change in cash related to operating assets and liabilities primarily related to an increase in accrued expenses of $2.4 million, an increase in accounts payable of $0.8 million, partially offset by an increase in prepaid expenses of $2.0 million.</w:t>
      </w:r>
    </w:p>
    <w:p>
      <w:pPr>
        <w:spacing w:after="0" w:line="19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cash used in operating activities of $40.4 million during the nine months ended September 30, 2020 was primarily the result of our net loss of $50.3 million to support our research and development, including clinical trial, manufacturing and regulatory costs, and general and administrative costs, with adjustments for non-cash expenses related primarily to $4.7 million of depreciation expense, $3.5 million of stock-based compensation and $1.5 million for amortization of finance lease right-of-use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during the nine months ended September 30, 2021 was $0.2 million, primarily consisting of the purchases of laboratory equipment.</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during the nine months ended September 30, 2020 was $0.3 million, primarily consisting of the purchases of laboratory and manufacturing equipment.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during the nine months ended September 30, 2021 was $260.4 million, consisting of $242.4 million of proceeds from the Merger and the PIPE Financing, $19.7 million of net proceeds from our loan facility with Silicon Valley Bank and $0.6 million from the exercise of stock options, partially offset by $0.9 million of transaction costs paid and principal payments of $1.3 million in connection with a finance lease obligations.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during the nine months ended September 30, 2020 was $2.4 million, consisting of $3.3 million of the proceeds from our PPP loan and proceeds of $0.2 million from the exercise of stock options, partially offset by principal payments of $1.1 million in connection with a finance lease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as of September 30,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Less than 1</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1 - 3 years</w:t>
            </w:r>
          </w:p>
        </w:tc>
        <w:tc>
          <w:tcPr>
            <w:tcW w:w="160" w:type="dxa"/>
            <w:vAlign w:val="bottom"/>
          </w:tcPr>
          <w:p>
            <w:pPr>
              <w:spacing w:after="0"/>
              <w:rPr>
                <w:sz w:val="14"/>
                <w:szCs w:val="14"/>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3 - 5 years</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More than 5</w:t>
            </w:r>
          </w:p>
        </w:tc>
        <w:tc>
          <w:tcPr>
            <w:tcW w:w="0" w:type="dxa"/>
            <w:vAlign w:val="bottom"/>
          </w:tcPr>
          <w:p>
            <w:pPr>
              <w:spacing w:after="0"/>
              <w:rPr>
                <w:sz w:val="1"/>
                <w:szCs w:val="1"/>
                <w:color w:val="auto"/>
              </w:rPr>
            </w:pPr>
          </w:p>
        </w:tc>
      </w:tr>
      <w:tr>
        <w:trPr>
          <w:trHeight w:val="171"/>
        </w:trPr>
        <w:tc>
          <w:tcPr>
            <w:tcW w:w="5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w:t>
            </w: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120"/>
              <w:spacing w:after="0"/>
              <w:rPr>
                <w:sz w:val="20"/>
                <w:szCs w:val="20"/>
                <w:color w:val="auto"/>
              </w:rPr>
            </w:pPr>
            <w:r>
              <w:rPr>
                <w:rFonts w:ascii="Arial" w:cs="Arial" w:eastAsia="Arial" w:hAnsi="Arial"/>
                <w:sz w:val="18"/>
                <w:szCs w:val="18"/>
                <w:color w:val="auto"/>
              </w:rPr>
              <w:t>Finance leases</w:t>
            </w:r>
          </w:p>
        </w:tc>
        <w:tc>
          <w:tcPr>
            <w:tcW w:w="680" w:type="dxa"/>
            <w:vAlign w:val="bottom"/>
          </w:tcPr>
          <w:p>
            <w:pPr>
              <w:jc w:val="right"/>
              <w:spacing w:after="0"/>
              <w:rPr>
                <w:sz w:val="20"/>
                <w:szCs w:val="20"/>
                <w:color w:val="auto"/>
              </w:rPr>
            </w:pPr>
            <w:r>
              <w:rPr>
                <w:rFonts w:ascii="Arial" w:cs="Arial" w:eastAsia="Arial" w:hAnsi="Arial"/>
                <w:sz w:val="18"/>
                <w:szCs w:val="18"/>
                <w:color w:val="auto"/>
                <w:w w:val="85"/>
              </w:rPr>
              <w:t>$ 33,952</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8,232</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16,937</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5780" w:type="dxa"/>
            <w:vAlign w:val="bottom"/>
            <w:gridSpan w:val="2"/>
          </w:tcPr>
          <w:p>
            <w:pPr>
              <w:ind w:left="120"/>
              <w:spacing w:after="0"/>
              <w:rPr>
                <w:sz w:val="20"/>
                <w:szCs w:val="20"/>
                <w:color w:val="auto"/>
              </w:rPr>
            </w:pPr>
            <w:r>
              <w:rPr>
                <w:rFonts w:ascii="Arial" w:cs="Arial" w:eastAsia="Arial" w:hAnsi="Arial"/>
                <w:sz w:val="18"/>
                <w:szCs w:val="18"/>
                <w:color w:val="auto"/>
              </w:rPr>
              <w:t>SVB loan payable</w:t>
            </w:r>
          </w:p>
        </w:tc>
        <w:tc>
          <w:tcPr>
            <w:tcW w:w="680" w:type="dxa"/>
            <w:vAlign w:val="bottom"/>
          </w:tcPr>
          <w:p>
            <w:pPr>
              <w:jc w:val="right"/>
              <w:spacing w:after="0"/>
              <w:rPr>
                <w:sz w:val="20"/>
                <w:szCs w:val="20"/>
                <w:color w:val="auto"/>
              </w:rPr>
            </w:pPr>
            <w:r>
              <w:rPr>
                <w:rFonts w:ascii="Arial" w:cs="Arial" w:eastAsia="Arial" w:hAnsi="Arial"/>
                <w:sz w:val="18"/>
                <w:szCs w:val="18"/>
                <w:color w:val="auto"/>
              </w:rPr>
              <w:t>23,980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14,813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Noncancelable purchase commitments (1)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12,411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Total contractual obligations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$ 71,469</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18,723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22,856</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12,273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17,617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420" w:hanging="412"/>
        <w:spacing w:after="0" w:line="259"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September 30, 2021, we had non-cancellable purchase commitments of $12.4 million for supplies and services that are primarily for research and development. We have also entered into contracts with CROs primarily for clinical trials. These contracts generally provide for termination upon limited notice, and therefore we believe that our non-cancellable obligations under these agreements are not material.</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The table above does not include potential milestone payments, license fee payments, royalties and other payments that we may be required to make under our license agreements with Duke University and Yale University and our distribution agreement with Fresenius Medical Care Holdings, Inc. These payments are not included in the preceding table as the amount and timing of such payments are unknown or uncertain at September 30, 2021. For additional information regarding these agreements and the nature of payments that could become due thereunder, see “— </w:t>
      </w:r>
      <w:r>
        <w:rPr>
          <w:rFonts w:ascii="Arial" w:cs="Arial" w:eastAsia="Arial" w:hAnsi="Arial"/>
          <w:sz w:val="17"/>
          <w:szCs w:val="17"/>
          <w:i w:val="1"/>
          <w:iCs w:val="1"/>
          <w:color w:val="auto"/>
        </w:rPr>
        <w:t>Business — Distribution</w:t>
      </w:r>
      <w:r>
        <w:rPr>
          <w:rFonts w:ascii="Arial" w:cs="Arial" w:eastAsia="Arial" w:hAnsi="Arial"/>
          <w:sz w:val="17"/>
          <w:szCs w:val="17"/>
          <w:color w:val="auto"/>
        </w:rPr>
        <w:t xml:space="preserve">,” and “— </w:t>
      </w:r>
      <w:r>
        <w:rPr>
          <w:rFonts w:ascii="Arial" w:cs="Arial" w:eastAsia="Arial" w:hAnsi="Arial"/>
          <w:sz w:val="17"/>
          <w:szCs w:val="17"/>
          <w:i w:val="1"/>
          <w:iCs w:val="1"/>
          <w:color w:val="auto"/>
        </w:rPr>
        <w:t>Business — Intellectual Property</w:t>
      </w:r>
      <w:r>
        <w:rPr>
          <w:rFonts w:ascii="Arial" w:cs="Arial" w:eastAsia="Arial" w:hAnsi="Arial"/>
          <w:sz w:val="17"/>
          <w:szCs w:val="17"/>
          <w:color w:val="auto"/>
        </w:rPr>
        <w:t>” included in the Company’s Registration Statement on Form S-1, filed with the SEC on September 17, 2021 and amended on October 22, 2021. Our contractual obligations increased materially from December 31, 2020 as a result of entering into the Loan Agreement with Silicon Valley Bank and SVB Innovation Credit Fund VIII, L.P., which provides a term loan facility of up to $50.0 million with a maturity date of March 1, 2025, of which $20.0 million was outstanding as of September 30, 2021.</w:t>
      </w:r>
    </w:p>
    <w:p>
      <w:pPr>
        <w:spacing w:after="0" w:line="18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October 13, 2021, we borrowed an additional $10.0 million under the term loan facility. Including the additional $10.0 million borrowed, our contractual obligations under the Loan Agreement as of September 30, 2021 include cash payments related to principal and interest of $2.2 million within one year, $25.0 million within one to three years, and $10.3 million within three to five years.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SEC rules and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condensed consolidated financial statements, which have been prepared in accordance with U.S. generally accepted accounting principles. The preparation of our financial statements requires us to make estimates, assumptions and judgments that affect the reported amounts of assets, liabilities, costs and expenses. We base our estimates and assumptions on historical experience and other factors that we believe to be reasonable under the circumstances. We evaluate our estimates and assumptions on an ongoing basis. Our actual results may differ from these estimates.</w:t>
      </w:r>
    </w:p>
    <w:p>
      <w:pPr>
        <w:spacing w:after="0" w:line="1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than the policies noted in Part I, Item 1, Note 2, “Summary of Significant Accounting Policies,” in our notes to the condensed consolidated financial statements in this Quarterly Report on Form 10-Q, there have been no material changes to our critical accounting policies and estimates as compared to those disclosed in our audited consolidated financial statements as of and for the years ended December 31, 2020 and 2019, included in the Company’s Registration Statement on Form S-1, filed with the SEC on September 17, 2021 and amended on October 22, 2021.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See Note 2, “Summary of Significant Accounting Policies,” in our notes to our condensed consolidated financial statements included elsewhere in this Quarterly Report for a description of recent accounting pronouncements applicable to our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and Smaller Reporting Company Status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(the “JOBS Act”), and may take advantage of certain exemptions from various reporting requirements that are applicable to other public companies that are not emerging growth companies until it is no longer an emerging growth company. Section 107 of the JOBS Act provides that an emerging growth company can take advantage of the extended transition period afforded by the JOBS Act for the implementation of new or revised accounting standards. We expect the Company to avail itself of the extended transition period and, therefore, while the Company is an emerging growth company it will not be subject to new or revised accounting standards at the same time that they become applicable to other public companies that are not emerging growth companies, unless it chooses to early adopt a new or revised accounting standard.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6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the Company is a “smaller reporting company” as defined in Item 10(f)(1) of Regulation S-K. Smaller reporting companies may take advantage of certain reduced disclosure obligations, including, among other things, providing only two years of audited financial statements. The Company will remain a smaller reporting company if (1) the market value of Common Stock held by non-affiliates is less than $250 million as of the last business day of the second fiscal quarter, or (2) the Company’s annual revenues in its most recent fiscal year completed before the last business day of its second fiscal quarter are less than $100 million and the market value of Common Stock held by non-affiliates is less than $700 million as of the last business day of the second fiscal quarter.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exposed to market risk in the ordinary course of business. As of September 30, 2021 and December 31, 2020, we were not subject to any material market, currency, or interest rate risk.</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primary exposure to market risk is associated with changes in interest rates related to the interest income from our cash and cash equivalents of $240.4 million and $39.9 million as of September 30, 2021 and December 31, 2020, respectively, which we invest in money market funds invested only in obligations of the U.S. government and its agencies. Due to the short-term maturities and low risk profile of our cash and cash equivalents, an immediate 10.0% change in interest rates would not have a material effect on our financial position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Prior to the Merger, AHAC made the determination that it was required to restate certain previously issued financial statements and related disclosures for the periods disclosed in its Annual Report on Form 10-K for the year ended December 31, 2020 in order to correct the accounting treatment for the Company’s warrants. The determination by AHAC was made following the publication by the SEC on April 12, 2021 of a statement regarding the accounting and reporting considerations for warrants issued by special purpose acquisition companies entitled “</w:t>
      </w:r>
      <w:r>
        <w:rPr>
          <w:rFonts w:ascii="Arial" w:cs="Arial" w:eastAsia="Arial" w:hAnsi="Arial"/>
          <w:sz w:val="17"/>
          <w:szCs w:val="17"/>
          <w:i w:val="1"/>
          <w:iCs w:val="1"/>
          <w:color w:val="auto"/>
        </w:rPr>
        <w:t>Staff Statement on Accounting and Reporting Considerations for Warrants Issued by Special Purpose Acquisition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Companies </w:t>
      </w:r>
      <w:r>
        <w:rPr>
          <w:rFonts w:ascii="Arial" w:cs="Arial" w:eastAsia="Arial" w:hAnsi="Arial"/>
          <w:sz w:val="17"/>
          <w:szCs w:val="17"/>
          <w:color w:val="auto"/>
        </w:rPr>
        <w:t>(“SPACs”).” In addition, AHAC's management concluded that its disclosure controls and procedures and internal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over financial reporting were not effective as of December 31, 2020, solely as a result of a material weakness in controls related to the accounting for the warrants.</w:t>
      </w:r>
    </w:p>
    <w:p>
      <w:pPr>
        <w:spacing w:after="0" w:line="17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Effective as of the closing of the Merger, the management of Legacy Humacyte is responsible for internal control over financial reporting and the former management of AHAC no longer participates in financial reporting. Our assessment is that, post merger, we have a sufficiently staffed and technically experienced finance and accounting team to address the financial reporting requirements of a public company. At that point, because the conditions causing the material weakness no longer existed, and are not expected to exist, we determined the material weakness did not exist in internal control over financial reporting as of September 30, 2021.</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 13a-15(f) and 15d-15(f) under the Exchange Act) during the three months ended September 30, 2021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evaluated the effectiveness of our disclosure controls and procedures (as defined in Rules 13a-15(e) and 15d-15(e) under the Exchange Act) as of September 30, 2021. Based on that evaluation, our Chief Executive Officer and Chief Financial Officer concluded that our disclosure controls and procedures were effective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currently is not aware of any legal proceedings or claims that management believes will have, individually or in the aggregate, a material adverse effect on the Company’s business, financial condition,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75" w:lineRule="auto"/>
        <w:rPr>
          <w:rFonts w:ascii="Arial" w:cs="Arial" w:eastAsia="Arial" w:hAnsi="Arial"/>
          <w:sz w:val="17"/>
          <w:szCs w:val="17"/>
          <w:color w:val="auto"/>
        </w:rPr>
      </w:pPr>
      <w:r>
        <w:rPr>
          <w:rFonts w:ascii="Arial" w:cs="Arial" w:eastAsia="Arial" w:hAnsi="Arial"/>
          <w:sz w:val="17"/>
          <w:szCs w:val="17"/>
          <w:color w:val="auto"/>
        </w:rPr>
        <w:t>Our business is subject to substantial risks and uncertainties. As a result of the closing of the Merger, the risk factors previously disclosed in Part I, Item 1A of our Annual Report on Form 10-K for the fiscal year ended December 31, 2020 no longer apply. Following the Merger, factors that could cause our actual results to differ materially from those in this Quarterly Report include the risks described in the section entitled “</w:t>
      </w:r>
      <w:hyperlink r:id="rId57">
        <w:r>
          <w:rPr>
            <w:rFonts w:ascii="Arial" w:cs="Arial" w:eastAsia="Arial" w:hAnsi="Arial"/>
            <w:sz w:val="17"/>
            <w:szCs w:val="17"/>
            <w:u w:val="single" w:color="auto"/>
            <w:color w:val="0000EE"/>
          </w:rPr>
          <w:t>Risk Factors</w:t>
        </w:r>
      </w:hyperlink>
      <w:r>
        <w:rPr>
          <w:rFonts w:ascii="Arial" w:cs="Arial" w:eastAsia="Arial" w:hAnsi="Arial"/>
          <w:sz w:val="17"/>
          <w:szCs w:val="17"/>
          <w:color w:val="auto"/>
        </w:rPr>
        <w:t>” of our Registration Statement on Form S-1, filed with the SEC on September 17, 2021 and amended on October 22, 2021. There have been no material changes to our previously disclosed risk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list sets forth information regarding all unregistered securities sold by us during the quarter ended September 30, 2021:</w:t>
      </w:r>
    </w:p>
    <w:p>
      <w:pPr>
        <w:spacing w:after="0" w:line="170" w:lineRule="exact"/>
        <w:rPr>
          <w:sz w:val="20"/>
          <w:szCs w:val="20"/>
          <w:color w:val="auto"/>
        </w:rPr>
      </w:pPr>
    </w:p>
    <w:p>
      <w:pPr>
        <w:jc w:val="both"/>
        <w:ind w:left="680" w:hanging="321"/>
        <w:spacing w:after="0" w:line="263"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August 26, 2021, concurrently with the closing of the Business Combination, we issued 17,500,000 shares of Common Stock for an aggregate purchase price of $175.0 million to certain qualified institutional buyers and accredited investors, at a price of $10.00 per share.</w:t>
      </w:r>
    </w:p>
    <w:p>
      <w:pPr>
        <w:spacing w:after="0" w:line="183" w:lineRule="exact"/>
        <w:rPr>
          <w:rFonts w:ascii="Arial" w:cs="Arial" w:eastAsia="Arial" w:hAnsi="Arial"/>
          <w:sz w:val="18"/>
          <w:szCs w:val="18"/>
          <w:color w:val="auto"/>
        </w:rPr>
      </w:pPr>
    </w:p>
    <w:p>
      <w:pPr>
        <w:jc w:val="both"/>
        <w:ind w:left="680" w:hanging="321"/>
        <w:spacing w:after="0" w:line="25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the closing of the Business Combination, unvested options to purchase an aggregate of 8,949,680 shares of Legacy Humacyte common stock at exercise prices of $2.226 to $2.699 per share under Humacyte’s 2015 Omnibus Incentive Plan, as amended, and Humacyte’s 2005 Stock Option Plan, as amended, were automatically and without any required action on the part of any holder or beneficiary thereof, assumed by us and converted into options to purchase an aggregate of 2,350,003 shares of Common Stock at exercise prices of $8.48 to $10.28.</w:t>
      </w:r>
    </w:p>
    <w:p>
      <w:pPr>
        <w:spacing w:after="0" w:line="187"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October 13, 2021, we issued warrants to purchase an aggregate of up to 123,302 shares of Common Stock to Silicon Valley Bank and SVB Innovation Credit Fund VIII, L.P. at an exercise price of $10.28 per share.</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We believe each of these transactions was exempt from registration under the Securities Act of 1933, as amended (the “Securities Act”) in reliance on Section 4(a)(2) of the Securities Act (and Regulation D promulgated thereunder) as transactions by an issuer not involving any public offering or Rule 701 promulgated under Section 3(b) of the Securities Act as transactions by an issuer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1"/>
        </w:trPr>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8820" w:type="dxa"/>
            <w:vAlign w:val="bottom"/>
            <w:gridSpan w:val="12"/>
          </w:tcPr>
          <w:p>
            <w:pPr>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900" w:type="dxa"/>
            <w:vAlign w:val="bottom"/>
            <w:tcBorders>
              <w:top w:val="single" w:sz="8" w:color="auto"/>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3.1</w:t>
            </w:r>
          </w:p>
        </w:tc>
        <w:tc>
          <w:tcPr>
            <w:tcW w:w="2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8820" w:type="dxa"/>
            <w:vAlign w:val="bottom"/>
            <w:tcBorders>
              <w:top w:val="single" w:sz="8" w:color="auto"/>
              <w:bottom w:val="single" w:sz="8" w:color="0000EE"/>
              <w:right w:val="single" w:sz="8" w:color="CCEEFF"/>
            </w:tcBorders>
            <w:gridSpan w:val="12"/>
            <w:shd w:val="clear" w:color="auto" w:fill="CCEEFF"/>
          </w:tcPr>
          <w:p>
            <w:pPr>
              <w:spacing w:after="0" w:line="17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Second Amended and Restated Certificate of Incorporation of Humacyte, Inc. (incorporated by reference to Exhibit 3.1 to</w:t>
              </w:r>
            </w:hyperlink>
          </w:p>
        </w:tc>
      </w:tr>
      <w:tr>
        <w:trPr>
          <w:trHeight w:val="217"/>
        </w:trPr>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820" w:type="dxa"/>
            <w:vAlign w:val="bottom"/>
            <w:tcBorders>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Humacyte, Inc.’s Current Report on Form 8-K, filed with the SEC on August 27, 2021).</w:t>
              </w:r>
            </w:hyperlink>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r>
      <w:tr>
        <w:trPr>
          <w:trHeight w:val="176"/>
        </w:trPr>
        <w:tc>
          <w:tcPr>
            <w:tcW w:w="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3.2</w:t>
            </w:r>
          </w:p>
        </w:tc>
        <w:tc>
          <w:tcPr>
            <w:tcW w:w="200" w:type="dxa"/>
            <w:vAlign w:val="bottom"/>
            <w:tcBorders>
              <w:right w:val="single" w:sz="8" w:color="CCEEFF"/>
            </w:tcBorders>
            <w:shd w:val="clear" w:color="auto" w:fill="CCEEFF"/>
          </w:tcPr>
          <w:p>
            <w:pPr>
              <w:spacing w:after="0"/>
              <w:rPr>
                <w:sz w:val="15"/>
                <w:szCs w:val="15"/>
                <w:color w:val="auto"/>
              </w:rPr>
            </w:pPr>
          </w:p>
        </w:tc>
        <w:tc>
          <w:tcPr>
            <w:tcW w:w="8820" w:type="dxa"/>
            <w:vAlign w:val="bottom"/>
            <w:tcBorders>
              <w:right w:val="single" w:sz="8" w:color="CCEEFF"/>
            </w:tcBorders>
            <w:gridSpan w:val="12"/>
            <w:shd w:val="clear" w:color="auto" w:fill="CCEEFF"/>
          </w:tcPr>
          <w:p>
            <w:pPr>
              <w:spacing w:after="0" w:line="176" w:lineRule="exact"/>
              <w:rPr>
                <w:rFonts w:ascii="Arial" w:cs="Arial" w:eastAsia="Arial" w:hAnsi="Arial"/>
                <w:sz w:val="18"/>
                <w:szCs w:val="18"/>
                <w:color w:val="0000EE"/>
                <w:w w:val="94"/>
              </w:rPr>
            </w:pPr>
            <w:hyperlink r:id="rId60">
              <w:r>
                <w:rPr>
                  <w:rFonts w:ascii="Arial" w:cs="Arial" w:eastAsia="Arial" w:hAnsi="Arial"/>
                  <w:sz w:val="18"/>
                  <w:szCs w:val="18"/>
                  <w:color w:val="0000EE"/>
                  <w:w w:val="94"/>
                </w:rPr>
                <w:t>By Laws of Humacyte, Inc. (incorporated by reference to Exhibit 3.2 to Humacyte, Inc.’s Current Report on Form 8-K,</w:t>
              </w:r>
            </w:hyperlink>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820" w:type="dxa"/>
            <w:vAlign w:val="bottom"/>
            <w:tcBorders>
              <w:top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filed with the SEC on August 27, 2021).</w:t>
              </w:r>
            </w:hyperlink>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r>
      <w:tr>
        <w:trPr>
          <w:trHeight w:val="175"/>
        </w:trPr>
        <w:tc>
          <w:tcPr>
            <w:tcW w:w="90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right w:val="single" w:sz="8" w:color="CCEEFF"/>
            </w:tcBorders>
            <w:shd w:val="clear" w:color="auto" w:fill="CCEEFF"/>
          </w:tcPr>
          <w:p>
            <w:pPr>
              <w:spacing w:after="0"/>
              <w:rPr>
                <w:sz w:val="15"/>
                <w:szCs w:val="15"/>
                <w:color w:val="auto"/>
              </w:rPr>
            </w:pPr>
          </w:p>
        </w:tc>
        <w:tc>
          <w:tcPr>
            <w:tcW w:w="8820" w:type="dxa"/>
            <w:vAlign w:val="bottom"/>
            <w:tcBorders>
              <w:bottom w:val="single" w:sz="8" w:color="0000EE"/>
              <w:right w:val="single" w:sz="8" w:color="CCEEFF"/>
            </w:tcBorders>
            <w:gridSpan w:val="12"/>
            <w:shd w:val="clear" w:color="auto" w:fill="CCEEFF"/>
          </w:tcPr>
          <w:p>
            <w:pPr>
              <w:spacing w:after="0" w:line="176" w:lineRule="exact"/>
              <w:rPr>
                <w:rFonts w:ascii="Arial" w:cs="Arial" w:eastAsia="Arial" w:hAnsi="Arial"/>
                <w:sz w:val="18"/>
                <w:szCs w:val="18"/>
                <w:color w:val="0000EE"/>
                <w:w w:val="93"/>
              </w:rPr>
            </w:pPr>
            <w:hyperlink r:id="rId61">
              <w:r>
                <w:rPr>
                  <w:rFonts w:ascii="Arial" w:cs="Arial" w:eastAsia="Arial" w:hAnsi="Arial"/>
                  <w:sz w:val="18"/>
                  <w:szCs w:val="18"/>
                  <w:color w:val="0000EE"/>
                  <w:w w:val="93"/>
                </w:rPr>
                <w:t>Form of Subscription Agreement (incorporated by reference to Exhibit 10.3 to Humacyte, Inc.’s Registration Statement</w:t>
              </w:r>
            </w:hyperlink>
          </w:p>
        </w:tc>
      </w:tr>
      <w:tr>
        <w:trPr>
          <w:trHeight w:val="217"/>
        </w:trPr>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820" w:type="dxa"/>
            <w:vAlign w:val="bottom"/>
            <w:tcBorders>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on S-4/A, filed with the SEC on August 2, 2021).</w:t>
              </w:r>
            </w:hyperlink>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r>
      <w:tr>
        <w:trPr>
          <w:trHeight w:val="176"/>
        </w:trPr>
        <w:tc>
          <w:tcPr>
            <w:tcW w:w="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4.2</w:t>
            </w:r>
          </w:p>
        </w:tc>
        <w:tc>
          <w:tcPr>
            <w:tcW w:w="200" w:type="dxa"/>
            <w:vAlign w:val="bottom"/>
            <w:tcBorders>
              <w:right w:val="single" w:sz="8" w:color="CCEEFF"/>
            </w:tcBorders>
            <w:shd w:val="clear" w:color="auto" w:fill="CCEEFF"/>
          </w:tcPr>
          <w:p>
            <w:pPr>
              <w:spacing w:after="0"/>
              <w:rPr>
                <w:sz w:val="15"/>
                <w:szCs w:val="15"/>
                <w:color w:val="auto"/>
              </w:rPr>
            </w:pPr>
          </w:p>
        </w:tc>
        <w:tc>
          <w:tcPr>
            <w:tcW w:w="8820" w:type="dxa"/>
            <w:vAlign w:val="bottom"/>
            <w:tcBorders>
              <w:right w:val="single" w:sz="8" w:color="CCEEFF"/>
            </w:tcBorders>
            <w:gridSpan w:val="12"/>
            <w:shd w:val="clear" w:color="auto" w:fill="CCEEFF"/>
          </w:tcPr>
          <w:p>
            <w:pPr>
              <w:spacing w:after="0" w:line="176" w:lineRule="exact"/>
              <w:rPr>
                <w:rFonts w:ascii="Arial" w:cs="Arial" w:eastAsia="Arial" w:hAnsi="Arial"/>
                <w:sz w:val="18"/>
                <w:szCs w:val="18"/>
                <w:color w:val="0000EE"/>
                <w:w w:val="94"/>
              </w:rPr>
            </w:pPr>
            <w:hyperlink r:id="rId62">
              <w:r>
                <w:rPr>
                  <w:rFonts w:ascii="Arial" w:cs="Arial" w:eastAsia="Arial" w:hAnsi="Arial"/>
                  <w:sz w:val="18"/>
                  <w:szCs w:val="18"/>
                  <w:color w:val="0000EE"/>
                  <w:w w:val="94"/>
                </w:rPr>
                <w:t>Form of Investor Rights and Lock-up Agreement (incorporated by reference to Exhibit 4.3 to Humacyte, Inc.’s Current</w:t>
              </w:r>
            </w:hyperlink>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820" w:type="dxa"/>
            <w:vAlign w:val="bottom"/>
            <w:tcBorders>
              <w:top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Report on Form 8-K, filed with the SEC on August 27, 2021).</w:t>
              </w:r>
            </w:hyperlink>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r>
      <w:tr>
        <w:trPr>
          <w:trHeight w:val="176"/>
        </w:trPr>
        <w:tc>
          <w:tcPr>
            <w:tcW w:w="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4.3</w:t>
            </w:r>
          </w:p>
        </w:tc>
        <w:tc>
          <w:tcPr>
            <w:tcW w:w="200" w:type="dxa"/>
            <w:vAlign w:val="bottom"/>
            <w:tcBorders>
              <w:right w:val="single" w:sz="8" w:color="CCEEFF"/>
            </w:tcBorders>
            <w:shd w:val="clear" w:color="auto" w:fill="CCEEFF"/>
          </w:tcPr>
          <w:p>
            <w:pPr>
              <w:spacing w:after="0"/>
              <w:rPr>
                <w:sz w:val="15"/>
                <w:szCs w:val="15"/>
                <w:color w:val="auto"/>
              </w:rPr>
            </w:pPr>
          </w:p>
        </w:tc>
        <w:tc>
          <w:tcPr>
            <w:tcW w:w="8820" w:type="dxa"/>
            <w:vAlign w:val="bottom"/>
            <w:tcBorders>
              <w:right w:val="single" w:sz="8" w:color="CCEEFF"/>
            </w:tcBorders>
            <w:gridSpan w:val="12"/>
            <w:shd w:val="clear" w:color="auto" w:fill="CCEEFF"/>
          </w:tcPr>
          <w:p>
            <w:pPr>
              <w:spacing w:after="0" w:line="176"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Form of Lock-up Agreement (incorporated by reference to Exhibit 10.1 to Humacyte, Inc.’s Registration Statement on S-</w:t>
              </w:r>
            </w:hyperlink>
          </w:p>
        </w:tc>
      </w:tr>
      <w:tr>
        <w:trPr>
          <w:trHeight w:val="216"/>
        </w:trPr>
        <w:tc>
          <w:tcPr>
            <w:tcW w:w="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820" w:type="dxa"/>
            <w:vAlign w:val="bottom"/>
            <w:tcBorders>
              <w:top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4/A, filed with the SEC on August 2, 2021).</w:t>
              </w:r>
            </w:hyperlink>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r>
      <w:tr>
        <w:trPr>
          <w:trHeight w:val="175"/>
        </w:trPr>
        <w:tc>
          <w:tcPr>
            <w:tcW w:w="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w:t>
            </w:r>
          </w:p>
        </w:tc>
        <w:tc>
          <w:tcPr>
            <w:tcW w:w="200" w:type="dxa"/>
            <w:vAlign w:val="bottom"/>
            <w:tcBorders>
              <w:right w:val="single" w:sz="8" w:color="CCEEFF"/>
            </w:tcBorders>
            <w:shd w:val="clear" w:color="auto" w:fill="CCEEFF"/>
          </w:tcPr>
          <w:p>
            <w:pPr>
              <w:spacing w:after="0"/>
              <w:rPr>
                <w:sz w:val="15"/>
                <w:szCs w:val="15"/>
                <w:color w:val="auto"/>
              </w:rPr>
            </w:pPr>
          </w:p>
        </w:tc>
        <w:tc>
          <w:tcPr>
            <w:tcW w:w="8820" w:type="dxa"/>
            <w:vAlign w:val="bottom"/>
            <w:tcBorders>
              <w:right w:val="single" w:sz="8" w:color="CCEEFF"/>
            </w:tcBorders>
            <w:gridSpan w:val="12"/>
            <w:shd w:val="clear" w:color="auto" w:fill="CCEEFF"/>
          </w:tcPr>
          <w:p>
            <w:pPr>
              <w:spacing w:after="0" w:line="176" w:lineRule="exact"/>
              <w:rPr>
                <w:rFonts w:ascii="Arial" w:cs="Arial" w:eastAsia="Arial" w:hAnsi="Arial"/>
                <w:sz w:val="18"/>
                <w:szCs w:val="18"/>
                <w:color w:val="0000EE"/>
                <w:w w:val="93"/>
              </w:rPr>
            </w:pPr>
            <w:hyperlink r:id="rId64">
              <w:r>
                <w:rPr>
                  <w:rFonts w:ascii="Arial" w:cs="Arial" w:eastAsia="Arial" w:hAnsi="Arial"/>
                  <w:sz w:val="18"/>
                  <w:szCs w:val="18"/>
                  <w:color w:val="0000EE"/>
                  <w:w w:val="93"/>
                </w:rPr>
                <w:t>Humacyte, Inc. 2021 Long-Term Incentive Plan (incorporated by reference to Exhibit 10.4 to Humacyte, Inc.’s Current</w:t>
              </w:r>
            </w:hyperlink>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820" w:type="dxa"/>
            <w:vAlign w:val="bottom"/>
            <w:tcBorders>
              <w:top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Report on Form 8-K, filed with the SEC on August 27, 2021).</w:t>
              </w:r>
            </w:hyperlink>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r>
      <w:tr>
        <w:trPr>
          <w:trHeight w:val="175"/>
        </w:trPr>
        <w:tc>
          <w:tcPr>
            <w:tcW w:w="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10.1.1</w:t>
            </w:r>
          </w:p>
        </w:tc>
        <w:tc>
          <w:tcPr>
            <w:tcW w:w="200" w:type="dxa"/>
            <w:vAlign w:val="bottom"/>
            <w:tcBorders>
              <w:right w:val="single" w:sz="8" w:color="CCEEFF"/>
            </w:tcBorders>
            <w:shd w:val="clear" w:color="auto" w:fill="CCEEFF"/>
          </w:tcPr>
          <w:p>
            <w:pPr>
              <w:spacing w:after="0"/>
              <w:rPr>
                <w:sz w:val="15"/>
                <w:szCs w:val="15"/>
                <w:color w:val="auto"/>
              </w:rPr>
            </w:pPr>
          </w:p>
        </w:tc>
        <w:tc>
          <w:tcPr>
            <w:tcW w:w="8820" w:type="dxa"/>
            <w:vAlign w:val="bottom"/>
            <w:tcBorders>
              <w:right w:val="single" w:sz="8" w:color="CCEEFF"/>
            </w:tcBorders>
            <w:gridSpan w:val="12"/>
            <w:shd w:val="clear" w:color="auto" w:fill="CCEEFF"/>
          </w:tcPr>
          <w:p>
            <w:pPr>
              <w:spacing w:after="0" w:line="176" w:lineRule="exact"/>
              <w:rPr>
                <w:rFonts w:ascii="Arial" w:cs="Arial" w:eastAsia="Arial" w:hAnsi="Arial"/>
                <w:sz w:val="18"/>
                <w:szCs w:val="18"/>
                <w:color w:val="0000EE"/>
                <w:w w:val="94"/>
              </w:rPr>
            </w:pPr>
            <w:hyperlink r:id="rId65">
              <w:r>
                <w:rPr>
                  <w:rFonts w:ascii="Arial" w:cs="Arial" w:eastAsia="Arial" w:hAnsi="Arial"/>
                  <w:sz w:val="18"/>
                  <w:szCs w:val="18"/>
                  <w:color w:val="0000EE"/>
                  <w:w w:val="94"/>
                </w:rPr>
                <w:t>Form of Stock Option Agreement under Humacyte, Inc. 2021 Long-Term Incentive Plan (incorporated by reference to</w:t>
              </w:r>
            </w:hyperlink>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820" w:type="dxa"/>
            <w:vAlign w:val="bottom"/>
            <w:tcBorders>
              <w:top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Exhibit 10.4.1 to Humacyte, Inc.’s Current Report on Form 8-K, filed with the SEC on August 27, 2021).</w:t>
              </w:r>
            </w:hyperlink>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r>
      <w:tr>
        <w:trPr>
          <w:trHeight w:val="175"/>
        </w:trPr>
        <w:tc>
          <w:tcPr>
            <w:tcW w:w="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10.2</w:t>
            </w:r>
          </w:p>
        </w:tc>
        <w:tc>
          <w:tcPr>
            <w:tcW w:w="200" w:type="dxa"/>
            <w:vAlign w:val="bottom"/>
            <w:tcBorders>
              <w:right w:val="single" w:sz="8" w:color="CCEEFF"/>
            </w:tcBorders>
            <w:shd w:val="clear" w:color="auto" w:fill="CCEEFF"/>
          </w:tcPr>
          <w:p>
            <w:pPr>
              <w:spacing w:after="0"/>
              <w:rPr>
                <w:sz w:val="15"/>
                <w:szCs w:val="15"/>
                <w:color w:val="auto"/>
              </w:rPr>
            </w:pPr>
          </w:p>
        </w:tc>
        <w:tc>
          <w:tcPr>
            <w:tcW w:w="8820" w:type="dxa"/>
            <w:vAlign w:val="bottom"/>
            <w:tcBorders>
              <w:right w:val="single" w:sz="8" w:color="CCEEFF"/>
            </w:tcBorders>
            <w:gridSpan w:val="12"/>
            <w:shd w:val="clear" w:color="auto" w:fill="CCEEFF"/>
          </w:tcPr>
          <w:p>
            <w:pPr>
              <w:spacing w:after="0" w:line="176" w:lineRule="exact"/>
              <w:rPr>
                <w:rFonts w:ascii="Arial" w:cs="Arial" w:eastAsia="Arial" w:hAnsi="Arial"/>
                <w:sz w:val="18"/>
                <w:szCs w:val="18"/>
                <w:color w:val="0000EE"/>
                <w:w w:val="95"/>
              </w:rPr>
            </w:pPr>
            <w:hyperlink r:id="rId66">
              <w:r>
                <w:rPr>
                  <w:rFonts w:ascii="Arial" w:cs="Arial" w:eastAsia="Arial" w:hAnsi="Arial"/>
                  <w:sz w:val="18"/>
                  <w:szCs w:val="18"/>
                  <w:color w:val="0000EE"/>
                  <w:w w:val="95"/>
                </w:rPr>
                <w:t>Humacyte, Inc. 2021 Employee Stock Purchase Plan (incorporated by reference to Exhibit 10.5 to Humacyte, Inc.’s</w:t>
              </w:r>
            </w:hyperlink>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820" w:type="dxa"/>
            <w:vAlign w:val="bottom"/>
            <w:tcBorders>
              <w:top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Current Report on Form 8-K, filed with the SEC on August 27, 2021).</w:t>
              </w:r>
            </w:hyperlink>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r>
      <w:tr>
        <w:trPr>
          <w:trHeight w:val="175"/>
        </w:trPr>
        <w:tc>
          <w:tcPr>
            <w:tcW w:w="90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right w:val="single" w:sz="8" w:color="CCEEFF"/>
            </w:tcBorders>
            <w:shd w:val="clear" w:color="auto" w:fill="CCEEFF"/>
          </w:tcPr>
          <w:p>
            <w:pPr>
              <w:spacing w:after="0"/>
              <w:rPr>
                <w:sz w:val="15"/>
                <w:szCs w:val="15"/>
                <w:color w:val="auto"/>
              </w:rPr>
            </w:pPr>
          </w:p>
        </w:tc>
        <w:tc>
          <w:tcPr>
            <w:tcW w:w="8820" w:type="dxa"/>
            <w:vAlign w:val="bottom"/>
            <w:tcBorders>
              <w:bottom w:val="single" w:sz="8" w:color="0000EE"/>
              <w:right w:val="single" w:sz="8" w:color="CCEEFF"/>
            </w:tcBorders>
            <w:gridSpan w:val="12"/>
            <w:shd w:val="clear" w:color="auto" w:fill="CCEEFF"/>
          </w:tcPr>
          <w:p>
            <w:pPr>
              <w:spacing w:after="0" w:line="176" w:lineRule="exact"/>
              <w:rPr>
                <w:rFonts w:ascii="Arial" w:cs="Arial" w:eastAsia="Arial" w:hAnsi="Arial"/>
                <w:sz w:val="18"/>
                <w:szCs w:val="18"/>
                <w:color w:val="0000EE"/>
                <w:w w:val="95"/>
              </w:rPr>
            </w:pPr>
            <w:hyperlink r:id="rId67">
              <w:r>
                <w:rPr>
                  <w:rFonts w:ascii="Arial" w:cs="Arial" w:eastAsia="Arial" w:hAnsi="Arial"/>
                  <w:sz w:val="18"/>
                  <w:szCs w:val="18"/>
                  <w:color w:val="0000EE"/>
                  <w:w w:val="95"/>
                </w:rPr>
                <w:t>Humacyte, Inc. Annual Bonus Plan (incorporated by reference to Exhibit 10.8 to Humacyte, Inc.’s Current Report on</w:t>
              </w:r>
            </w:hyperlink>
          </w:p>
        </w:tc>
      </w:tr>
      <w:tr>
        <w:trPr>
          <w:trHeight w:val="217"/>
        </w:trPr>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820" w:type="dxa"/>
            <w:vAlign w:val="bottom"/>
            <w:tcBorders>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Form 8-K, filed with the SEC on August 27, 2021).</w:t>
              </w:r>
            </w:hyperlink>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r>
      <w:tr>
        <w:trPr>
          <w:trHeight w:val="175"/>
        </w:trPr>
        <w:tc>
          <w:tcPr>
            <w:tcW w:w="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10.4</w:t>
            </w:r>
          </w:p>
        </w:tc>
        <w:tc>
          <w:tcPr>
            <w:tcW w:w="200" w:type="dxa"/>
            <w:vAlign w:val="bottom"/>
            <w:tcBorders>
              <w:right w:val="single" w:sz="8" w:color="CCEEFF"/>
            </w:tcBorders>
            <w:shd w:val="clear" w:color="auto" w:fill="CCEEFF"/>
          </w:tcPr>
          <w:p>
            <w:pPr>
              <w:spacing w:after="0"/>
              <w:rPr>
                <w:sz w:val="15"/>
                <w:szCs w:val="15"/>
                <w:color w:val="auto"/>
              </w:rPr>
            </w:pPr>
          </w:p>
        </w:tc>
        <w:tc>
          <w:tcPr>
            <w:tcW w:w="8820" w:type="dxa"/>
            <w:vAlign w:val="bottom"/>
            <w:tcBorders>
              <w:right w:val="single" w:sz="8" w:color="CCEEFF"/>
            </w:tcBorders>
            <w:gridSpan w:val="12"/>
            <w:shd w:val="clear" w:color="auto" w:fill="CCEEFF"/>
          </w:tcPr>
          <w:p>
            <w:pPr>
              <w:spacing w:after="0" w:line="176" w:lineRule="exact"/>
              <w:rPr>
                <w:rFonts w:ascii="Arial" w:cs="Arial" w:eastAsia="Arial" w:hAnsi="Arial"/>
                <w:sz w:val="18"/>
                <w:szCs w:val="18"/>
                <w:color w:val="0000EE"/>
              </w:rPr>
            </w:pPr>
            <w:hyperlink r:id="rId68">
              <w:r>
                <w:rPr>
                  <w:rFonts w:ascii="Arial" w:cs="Arial" w:eastAsia="Arial" w:hAnsi="Arial"/>
                  <w:sz w:val="18"/>
                  <w:szCs w:val="18"/>
                  <w:color w:val="0000EE"/>
                </w:rPr>
                <w:t>Form of Indemnity Agreement by and between Humacyte, Inc. and each of its directors and executive officers</w:t>
              </w:r>
            </w:hyperlink>
          </w:p>
        </w:tc>
      </w:tr>
      <w:tr>
        <w:trPr>
          <w:trHeight w:val="20"/>
        </w:trPr>
        <w:tc>
          <w:tcPr>
            <w:tcW w:w="9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60" w:type="dxa"/>
            <w:vAlign w:val="bottom"/>
            <w:gridSpan w:val="7"/>
            <w:shd w:val="clear" w:color="auto" w:fill="0000EE"/>
          </w:tcPr>
          <w:p>
            <w:pPr>
              <w:spacing w:after="0" w:line="20" w:lineRule="exact"/>
              <w:rPr>
                <w:sz w:val="1"/>
                <w:szCs w:val="1"/>
                <w:color w:val="auto"/>
              </w:rPr>
            </w:pPr>
          </w:p>
        </w:tc>
        <w:tc>
          <w:tcPr>
            <w:tcW w:w="3260" w:type="dxa"/>
            <w:vAlign w:val="bottom"/>
            <w:tcBorders>
              <w:right w:val="single" w:sz="8" w:color="CCEEFF"/>
            </w:tcBorders>
            <w:gridSpan w:val="3"/>
            <w:shd w:val="clear" w:color="auto" w:fill="0000EE"/>
          </w:tcPr>
          <w:p>
            <w:pPr>
              <w:spacing w:after="0" w:line="20" w:lineRule="exact"/>
              <w:rPr>
                <w:sz w:val="1"/>
                <w:szCs w:val="1"/>
                <w:color w:val="auto"/>
              </w:rPr>
            </w:pPr>
          </w:p>
        </w:tc>
      </w:tr>
      <w:tr>
        <w:trPr>
          <w:trHeight w:val="196"/>
        </w:trPr>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820" w:type="dxa"/>
            <w:vAlign w:val="bottom"/>
            <w:tcBorders>
              <w:right w:val="single" w:sz="8" w:color="CCEEFF"/>
            </w:tcBorders>
            <w:gridSpan w:val="12"/>
            <w:shd w:val="clear" w:color="auto" w:fill="CCEEFF"/>
          </w:tcPr>
          <w:p>
            <w:pPr>
              <w:spacing w:after="0" w:line="196" w:lineRule="exact"/>
              <w:rPr>
                <w:rFonts w:ascii="Arial" w:cs="Arial" w:eastAsia="Arial" w:hAnsi="Arial"/>
                <w:sz w:val="18"/>
                <w:szCs w:val="18"/>
                <w:color w:val="0000EE"/>
                <w:w w:val="93"/>
              </w:rPr>
            </w:pPr>
            <w:hyperlink r:id="rId68">
              <w:r>
                <w:rPr>
                  <w:rFonts w:ascii="Arial" w:cs="Arial" w:eastAsia="Arial" w:hAnsi="Arial"/>
                  <w:sz w:val="18"/>
                  <w:szCs w:val="18"/>
                  <w:color w:val="0000EE"/>
                  <w:w w:val="93"/>
                </w:rPr>
                <w:t>(incorporated by reference to Exhibit 10.23 to Humacyte, Inc.’s Registration Statement on S-4/A, filed with the SEC on</w:t>
              </w:r>
            </w:hyperlink>
          </w:p>
        </w:tc>
      </w:tr>
      <w:tr>
        <w:trPr>
          <w:trHeight w:val="216"/>
        </w:trPr>
        <w:tc>
          <w:tcPr>
            <w:tcW w:w="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820" w:type="dxa"/>
            <w:vAlign w:val="bottom"/>
            <w:tcBorders>
              <w:top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July 1, 2021).</w:t>
              </w:r>
            </w:hyperlink>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r>
      <w:tr>
        <w:trPr>
          <w:trHeight w:val="175"/>
        </w:trPr>
        <w:tc>
          <w:tcPr>
            <w:tcW w:w="90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31.1*</w:t>
            </w:r>
          </w:p>
        </w:tc>
        <w:tc>
          <w:tcPr>
            <w:tcW w:w="200" w:type="dxa"/>
            <w:vAlign w:val="bottom"/>
            <w:tcBorders>
              <w:bottom w:val="single" w:sz="8" w:color="CCEEFF"/>
              <w:right w:val="single" w:sz="8" w:color="CCEEFF"/>
            </w:tcBorders>
            <w:shd w:val="clear" w:color="auto" w:fill="CCEEFF"/>
          </w:tcPr>
          <w:p>
            <w:pPr>
              <w:spacing w:after="0"/>
              <w:rPr>
                <w:sz w:val="15"/>
                <w:szCs w:val="15"/>
                <w:color w:val="auto"/>
              </w:rPr>
            </w:pPr>
          </w:p>
        </w:tc>
        <w:tc>
          <w:tcPr>
            <w:tcW w:w="8820" w:type="dxa"/>
            <w:vAlign w:val="bottom"/>
            <w:tcBorders>
              <w:bottom w:val="single" w:sz="8" w:color="0000EE"/>
              <w:right w:val="single" w:sz="8" w:color="CCEEFF"/>
            </w:tcBorders>
            <w:gridSpan w:val="12"/>
            <w:shd w:val="clear" w:color="auto" w:fill="CCEEFF"/>
          </w:tcPr>
          <w:p>
            <w:pPr>
              <w:spacing w:after="0" w:line="17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Certification of Chief Executive Officer pursuant to Rules 13a-14(a) and 15d-14(a) under the Securities Exchange Act of</w:t>
              </w:r>
            </w:hyperlink>
          </w:p>
        </w:tc>
      </w:tr>
      <w:tr>
        <w:trPr>
          <w:trHeight w:val="216"/>
        </w:trPr>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820" w:type="dxa"/>
            <w:vAlign w:val="bottom"/>
            <w:tcBorders>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1934, as adopted pursuant to Section 302 of the Sarbanes-Oxley Act of 2002.</w:t>
              </w:r>
            </w:hyperlink>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r>
      <w:tr>
        <w:trPr>
          <w:trHeight w:val="175"/>
        </w:trPr>
        <w:tc>
          <w:tcPr>
            <w:tcW w:w="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31.2*</w:t>
            </w:r>
          </w:p>
        </w:tc>
        <w:tc>
          <w:tcPr>
            <w:tcW w:w="200" w:type="dxa"/>
            <w:vAlign w:val="bottom"/>
            <w:tcBorders>
              <w:right w:val="single" w:sz="8" w:color="CCEEFF"/>
            </w:tcBorders>
            <w:shd w:val="clear" w:color="auto" w:fill="CCEEFF"/>
          </w:tcPr>
          <w:p>
            <w:pPr>
              <w:spacing w:after="0"/>
              <w:rPr>
                <w:sz w:val="15"/>
                <w:szCs w:val="15"/>
                <w:color w:val="auto"/>
              </w:rPr>
            </w:pPr>
          </w:p>
        </w:tc>
        <w:tc>
          <w:tcPr>
            <w:tcW w:w="8820" w:type="dxa"/>
            <w:vAlign w:val="bottom"/>
            <w:tcBorders>
              <w:right w:val="single" w:sz="8" w:color="CCEEFF"/>
            </w:tcBorders>
            <w:gridSpan w:val="12"/>
            <w:shd w:val="clear" w:color="auto" w:fill="CCEEFF"/>
          </w:tcPr>
          <w:p>
            <w:pPr>
              <w:spacing w:after="0" w:line="17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Certification of Chief Financial Officer pursuant to Rules 13a-14(a) and 15d-14(a) under the Securities Exchange Act of</w:t>
              </w:r>
            </w:hyperlink>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820" w:type="dxa"/>
            <w:vAlign w:val="bottom"/>
            <w:tcBorders>
              <w:top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1934, as adopted pursuant to Section 302 of the Sarbanes-Oxley Act of 2002.</w:t>
              </w:r>
            </w:hyperlink>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r>
      <w:tr>
        <w:trPr>
          <w:trHeight w:val="175"/>
        </w:trPr>
        <w:tc>
          <w:tcPr>
            <w:tcW w:w="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32.1**</w:t>
            </w:r>
          </w:p>
        </w:tc>
        <w:tc>
          <w:tcPr>
            <w:tcW w:w="200" w:type="dxa"/>
            <w:vAlign w:val="bottom"/>
            <w:tcBorders>
              <w:right w:val="single" w:sz="8" w:color="CCEEFF"/>
            </w:tcBorders>
            <w:shd w:val="clear" w:color="auto" w:fill="CCEEFF"/>
          </w:tcPr>
          <w:p>
            <w:pPr>
              <w:spacing w:after="0"/>
              <w:rPr>
                <w:sz w:val="15"/>
                <w:szCs w:val="15"/>
                <w:color w:val="auto"/>
              </w:rPr>
            </w:pPr>
          </w:p>
        </w:tc>
        <w:tc>
          <w:tcPr>
            <w:tcW w:w="8820" w:type="dxa"/>
            <w:vAlign w:val="bottom"/>
            <w:tcBorders>
              <w:right w:val="single" w:sz="8" w:color="CCEEFF"/>
            </w:tcBorders>
            <w:gridSpan w:val="12"/>
            <w:shd w:val="clear" w:color="auto" w:fill="CCEEFF"/>
          </w:tcPr>
          <w:p>
            <w:pPr>
              <w:spacing w:after="0" w:line="176" w:lineRule="exact"/>
              <w:rPr>
                <w:rFonts w:ascii="Arial" w:cs="Arial" w:eastAsia="Arial" w:hAnsi="Arial"/>
                <w:sz w:val="18"/>
                <w:szCs w:val="18"/>
                <w:color w:val="0000EE"/>
                <w:w w:val="93"/>
              </w:rPr>
            </w:pPr>
            <w:hyperlink w:anchor="page48">
              <w:r>
                <w:rPr>
                  <w:rFonts w:ascii="Arial" w:cs="Arial" w:eastAsia="Arial" w:hAnsi="Arial"/>
                  <w:sz w:val="18"/>
                  <w:szCs w:val="18"/>
                  <w:color w:val="0000EE"/>
                  <w:w w:val="93"/>
                </w:rPr>
                <w:t>Certification of Chief Executive Officer pursuant to 18 U.S.C. Section 1350, as adopted pursuant to Section 906 of the</w:t>
              </w:r>
            </w:hyperlink>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820" w:type="dxa"/>
            <w:vAlign w:val="bottom"/>
            <w:tcBorders>
              <w:top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Sarbanes-Oxley Act of 2002.</w:t>
              </w:r>
            </w:hyperlink>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r>
      <w:tr>
        <w:trPr>
          <w:trHeight w:val="175"/>
        </w:trPr>
        <w:tc>
          <w:tcPr>
            <w:tcW w:w="90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32.2**</w:t>
            </w:r>
          </w:p>
        </w:tc>
        <w:tc>
          <w:tcPr>
            <w:tcW w:w="200" w:type="dxa"/>
            <w:vAlign w:val="bottom"/>
            <w:tcBorders>
              <w:bottom w:val="single" w:sz="8" w:color="CCEEFF"/>
              <w:right w:val="single" w:sz="8" w:color="CCEEFF"/>
            </w:tcBorders>
            <w:shd w:val="clear" w:color="auto" w:fill="CCEEFF"/>
          </w:tcPr>
          <w:p>
            <w:pPr>
              <w:spacing w:after="0"/>
              <w:rPr>
                <w:sz w:val="15"/>
                <w:szCs w:val="15"/>
                <w:color w:val="auto"/>
              </w:rPr>
            </w:pPr>
          </w:p>
        </w:tc>
        <w:tc>
          <w:tcPr>
            <w:tcW w:w="8820" w:type="dxa"/>
            <w:vAlign w:val="bottom"/>
            <w:tcBorders>
              <w:bottom w:val="single" w:sz="8" w:color="0000EE"/>
              <w:right w:val="single" w:sz="8" w:color="CCEEFF"/>
            </w:tcBorders>
            <w:gridSpan w:val="12"/>
            <w:shd w:val="clear" w:color="auto" w:fill="CCEEFF"/>
          </w:tcPr>
          <w:p>
            <w:pPr>
              <w:spacing w:after="0" w:line="17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Certification of Chief Financial Officer pursuant to 18 U.S.C. Section 1350, as adopted pursuant to Section 906 of the</w:t>
              </w:r>
            </w:hyperlink>
          </w:p>
        </w:tc>
      </w:tr>
      <w:tr>
        <w:trPr>
          <w:trHeight w:val="216"/>
        </w:trPr>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10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Sarbanes-Oxley Act of 2002.</w:t>
              </w:r>
            </w:hyperlink>
          </w:p>
        </w:tc>
        <w:tc>
          <w:tcPr>
            <w:tcW w:w="6720" w:type="dxa"/>
            <w:vAlign w:val="bottom"/>
            <w:tcBorders>
              <w:bottom w:val="single" w:sz="8" w:color="CCEEFF"/>
              <w:right w:val="single" w:sz="8" w:color="CCEEFF"/>
            </w:tcBorders>
            <w:gridSpan w:val="10"/>
            <w:shd w:val="clear" w:color="auto" w:fill="CCEEFF"/>
          </w:tcPr>
          <w:p>
            <w:pPr>
              <w:spacing w:after="0"/>
              <w:rPr>
                <w:sz w:val="18"/>
                <w:szCs w:val="18"/>
                <w:color w:val="auto"/>
              </w:rPr>
            </w:pPr>
          </w:p>
        </w:tc>
      </w:tr>
      <w:tr>
        <w:trPr>
          <w:trHeight w:val="864"/>
        </w:trPr>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60" w:type="dxa"/>
            <w:vAlign w:val="bottom"/>
            <w:gridSpan w:val="7"/>
          </w:tcPr>
          <w:p>
            <w:pPr>
              <w:ind w:left="3780"/>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61"/>
        </w:trPr>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7"/>
              </w:rPr>
              <w:t>101*</w:t>
            </w:r>
          </w:p>
        </w:tc>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The following materials from Humacyte, Inc.’s Quarterly Report on Form 10-Q for the quarter ended September 30, 2021,</w:t>
            </w:r>
          </w:p>
        </w:tc>
      </w:tr>
      <w:tr>
        <w:trPr>
          <w:trHeight w:val="216"/>
        </w:trPr>
        <w:tc>
          <w:tcPr>
            <w:tcW w:w="740" w:type="dxa"/>
            <w:vAlign w:val="bottom"/>
            <w:shd w:val="clear" w:color="auto" w:fill="CCEEFF"/>
          </w:tcPr>
          <w:p>
            <w:pPr>
              <w:spacing w:after="0"/>
              <w:rPr>
                <w:sz w:val="18"/>
                <w:szCs w:val="18"/>
                <w:color w:val="auto"/>
              </w:rPr>
            </w:pPr>
          </w:p>
        </w:tc>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formatted in Inline XBRL (Inline eXtensible Business Reporting Language): (i) Condensed Consolidated Balance Sheets</w:t>
            </w:r>
          </w:p>
        </w:tc>
      </w:tr>
      <w:tr>
        <w:trPr>
          <w:trHeight w:val="216"/>
        </w:trPr>
        <w:tc>
          <w:tcPr>
            <w:tcW w:w="740" w:type="dxa"/>
            <w:vAlign w:val="bottom"/>
            <w:shd w:val="clear" w:color="auto" w:fill="CCEEFF"/>
          </w:tcPr>
          <w:p>
            <w:pPr>
              <w:spacing w:after="0"/>
              <w:rPr>
                <w:sz w:val="18"/>
                <w:szCs w:val="18"/>
                <w:color w:val="auto"/>
              </w:rPr>
            </w:pPr>
          </w:p>
        </w:tc>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(unaudited),  (ii)  Condensed  Consolidated  Statements  of  Operations  and  Comprehensive  Loss,  (iii)  Condensed</w:t>
            </w:r>
          </w:p>
        </w:tc>
      </w:tr>
      <w:tr>
        <w:trPr>
          <w:trHeight w:val="216"/>
        </w:trPr>
        <w:tc>
          <w:tcPr>
            <w:tcW w:w="740" w:type="dxa"/>
            <w:vAlign w:val="bottom"/>
            <w:shd w:val="clear" w:color="auto" w:fill="CCEEFF"/>
          </w:tcPr>
          <w:p>
            <w:pPr>
              <w:spacing w:after="0"/>
              <w:rPr>
                <w:sz w:val="18"/>
                <w:szCs w:val="18"/>
                <w:color w:val="auto"/>
              </w:rPr>
            </w:pPr>
          </w:p>
        </w:tc>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Consolidated Statements of Changes in Redeemable Convertible Preferred Stock and Stockholders’ Equity (Deficit)</w:t>
            </w:r>
          </w:p>
        </w:tc>
      </w:tr>
      <w:tr>
        <w:trPr>
          <w:trHeight w:val="216"/>
        </w:trPr>
        <w:tc>
          <w:tcPr>
            <w:tcW w:w="740" w:type="dxa"/>
            <w:vAlign w:val="bottom"/>
            <w:shd w:val="clear" w:color="auto" w:fill="CCEEFF"/>
          </w:tcPr>
          <w:p>
            <w:pPr>
              <w:spacing w:after="0"/>
              <w:rPr>
                <w:sz w:val="18"/>
                <w:szCs w:val="18"/>
                <w:color w:val="auto"/>
              </w:rPr>
            </w:pPr>
          </w:p>
        </w:tc>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(unaudited), (iv) Condensed Consolidated Statements of Cash Flows (unaudited), (v) Notes to Condensed Consolidated</w:t>
            </w:r>
          </w:p>
        </w:tc>
      </w:tr>
      <w:tr>
        <w:trPr>
          <w:trHeight w:val="230"/>
        </w:trPr>
        <w:tc>
          <w:tcPr>
            <w:tcW w:w="740" w:type="dxa"/>
            <w:vAlign w:val="bottom"/>
            <w:shd w:val="clear" w:color="auto" w:fill="CCEEFF"/>
          </w:tcPr>
          <w:p>
            <w:pPr>
              <w:spacing w:after="0"/>
              <w:rPr>
                <w:sz w:val="20"/>
                <w:szCs w:val="20"/>
                <w:color w:val="auto"/>
              </w:rPr>
            </w:pPr>
          </w:p>
        </w:tc>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Financial Statements, and (vi) Cover Page.</w:t>
            </w:r>
          </w:p>
        </w:tc>
      </w:tr>
    </w:tbl>
    <w:p>
      <w:pPr>
        <w:spacing w:after="0" w:line="202" w:lineRule="exact"/>
        <w:rPr>
          <w:sz w:val="20"/>
          <w:szCs w:val="20"/>
          <w:color w:val="auto"/>
        </w:rPr>
      </w:pPr>
    </w:p>
    <w:p>
      <w:pPr>
        <w:ind w:right="2260" w:firstLine="4"/>
        <w:spacing w:after="0" w:line="383" w:lineRule="auto"/>
        <w:rPr>
          <w:sz w:val="20"/>
          <w:szCs w:val="20"/>
          <w:color w:val="auto"/>
        </w:rPr>
      </w:pPr>
      <w:r>
        <w:rPr>
          <w:rFonts w:ascii="Arial" w:cs="Arial" w:eastAsia="Arial" w:hAnsi="Arial"/>
          <w:sz w:val="18"/>
          <w:szCs w:val="18"/>
          <w:color w:val="auto"/>
        </w:rPr>
        <w:t>104 Cover Page Interactive Data File (formatted as Inline XBRL and contained in Exhibit 101). * Filed herewith.</w:t>
      </w:r>
    </w:p>
    <w:p>
      <w:pPr>
        <w:spacing w:after="0" w:line="1" w:lineRule="exact"/>
        <w:rPr>
          <w:sz w:val="20"/>
          <w:szCs w:val="20"/>
          <w:color w:val="auto"/>
        </w:rPr>
      </w:pPr>
    </w:p>
    <w:p>
      <w:pPr>
        <w:ind w:firstLine="8"/>
        <w:spacing w:after="0" w:line="260" w:lineRule="auto"/>
        <w:tabs>
          <w:tab w:leader="none" w:pos="22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-695325</wp:posOffset>
            </wp:positionV>
            <wp:extent cx="629221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 on this 12th day of November, 2021.</w:t>
      </w:r>
    </w:p>
    <w:p>
      <w:pPr>
        <w:spacing w:after="0" w:line="175" w:lineRule="exact"/>
        <w:rPr>
          <w:sz w:val="20"/>
          <w:szCs w:val="20"/>
          <w:color w:val="auto"/>
        </w:rPr>
      </w:pPr>
    </w:p>
    <w:p>
      <w:pPr>
        <w:ind w:left="5940"/>
        <w:spacing w:after="0"/>
        <w:rPr>
          <w:sz w:val="20"/>
          <w:szCs w:val="20"/>
          <w:color w:val="auto"/>
        </w:rPr>
      </w:pPr>
      <w:r>
        <w:rPr>
          <w:rFonts w:ascii="Arial" w:cs="Arial" w:eastAsia="Arial" w:hAnsi="Arial"/>
          <w:sz w:val="20"/>
          <w:szCs w:val="20"/>
          <w:b w:val="1"/>
          <w:bCs w:val="1"/>
          <w:color w:val="auto"/>
        </w:rPr>
        <w:t>HUMACYTE, INC.</w:t>
      </w:r>
    </w:p>
    <w:p>
      <w:pPr>
        <w:spacing w:after="0" w:line="22" w:lineRule="exact"/>
        <w:rPr>
          <w:sz w:val="20"/>
          <w:szCs w:val="20"/>
          <w:color w:val="auto"/>
        </w:rPr>
      </w:pPr>
    </w:p>
    <w:p>
      <w:pPr>
        <w:ind w:left="20"/>
        <w:spacing w:after="0"/>
        <w:tabs>
          <w:tab w:leader="none" w:pos="5920" w:val="left"/>
        </w:tabs>
        <w:rPr>
          <w:sz w:val="20"/>
          <w:szCs w:val="20"/>
          <w:color w:val="auto"/>
        </w:rPr>
      </w:pPr>
      <w:r>
        <w:rPr>
          <w:rFonts w:ascii="Arial" w:cs="Arial" w:eastAsia="Arial" w:hAnsi="Arial"/>
          <w:sz w:val="20"/>
          <w:szCs w:val="20"/>
          <w:color w:val="auto"/>
        </w:rPr>
        <w:t>Date: November 12, 2021</w:t>
      </w:r>
      <w:r>
        <w:rPr>
          <w:sz w:val="20"/>
          <w:szCs w:val="20"/>
          <w:color w:val="auto"/>
        </w:rPr>
        <w:tab/>
      </w:r>
      <w:r>
        <w:rPr>
          <w:rFonts w:ascii="Arial" w:cs="Arial" w:eastAsia="Arial" w:hAnsi="Arial"/>
          <w:sz w:val="18"/>
          <w:szCs w:val="18"/>
          <w:color w:val="auto"/>
        </w:rPr>
        <w:t>By:  /s/ Laura E. Niklason, M.D., Ph.D.</w:t>
      </w:r>
    </w:p>
    <w:p>
      <w:pPr>
        <w:spacing w:after="0" w:line="11" w:lineRule="exact"/>
        <w:rPr>
          <w:sz w:val="20"/>
          <w:szCs w:val="20"/>
          <w:color w:val="auto"/>
        </w:rPr>
      </w:pPr>
    </w:p>
    <w:p>
      <w:pPr>
        <w:ind w:left="6300"/>
        <w:spacing w:after="0"/>
        <w:rPr>
          <w:sz w:val="20"/>
          <w:szCs w:val="20"/>
          <w:color w:val="auto"/>
        </w:rPr>
      </w:pPr>
      <w:r>
        <w:rPr>
          <w:rFonts w:ascii="Arial" w:cs="Arial" w:eastAsia="Arial" w:hAnsi="Arial"/>
          <w:sz w:val="20"/>
          <w:szCs w:val="20"/>
          <w:color w:val="auto"/>
        </w:rPr>
        <w:t>Name: Laura E. Niklason,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4000500</wp:posOffset>
            </wp:positionH>
            <wp:positionV relativeFrom="paragraph">
              <wp:posOffset>-143510</wp:posOffset>
            </wp:positionV>
            <wp:extent cx="22974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8"/>
          <w:szCs w:val="18"/>
          <w:color w:val="auto"/>
        </w:rPr>
        <w:t>Title:  President and Chief Executive Officer</w:t>
      </w:r>
    </w:p>
    <w:p>
      <w:pPr>
        <w:spacing w:after="0" w:line="236"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By:  /s/ Dale A. Sander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4000500</wp:posOffset>
            </wp:positionH>
            <wp:positionV relativeFrom="paragraph">
              <wp:posOffset>10160</wp:posOffset>
            </wp:positionV>
            <wp:extent cx="22974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ind w:left="6300"/>
        <w:spacing w:after="0"/>
        <w:rPr>
          <w:sz w:val="20"/>
          <w:szCs w:val="20"/>
          <w:color w:val="auto"/>
        </w:rPr>
      </w:pPr>
      <w:r>
        <w:rPr>
          <w:rFonts w:ascii="Arial" w:cs="Arial" w:eastAsia="Arial" w:hAnsi="Arial"/>
          <w:sz w:val="20"/>
          <w:szCs w:val="20"/>
          <w:color w:val="auto"/>
        </w:rPr>
        <w:t>Name: Dale A. Sander</w:t>
      </w:r>
    </w:p>
    <w:p>
      <w:pPr>
        <w:spacing w:after="0" w:line="8" w:lineRule="exact"/>
        <w:rPr>
          <w:sz w:val="20"/>
          <w:szCs w:val="20"/>
          <w:color w:val="auto"/>
        </w:rPr>
      </w:pPr>
    </w:p>
    <w:p>
      <w:pPr>
        <w:ind w:left="6300"/>
        <w:spacing w:after="0"/>
        <w:rPr>
          <w:sz w:val="20"/>
          <w:szCs w:val="20"/>
          <w:color w:val="auto"/>
        </w:rPr>
      </w:pPr>
      <w:r>
        <w:rPr>
          <w:rFonts w:ascii="Arial" w:cs="Arial" w:eastAsia="Arial" w:hAnsi="Arial"/>
          <w:sz w:val="20"/>
          <w:szCs w:val="20"/>
          <w:color w:val="auto"/>
        </w:rPr>
        <w:t>Title:  Chief Financial Officer, Chief</w:t>
      </w:r>
    </w:p>
    <w:p>
      <w:pPr>
        <w:ind w:left="6880"/>
        <w:spacing w:after="0"/>
        <w:rPr>
          <w:sz w:val="20"/>
          <w:szCs w:val="20"/>
          <w:color w:val="auto"/>
        </w:rPr>
      </w:pPr>
      <w:r>
        <w:rPr>
          <w:rFonts w:ascii="Arial" w:cs="Arial" w:eastAsia="Arial" w:hAnsi="Arial"/>
          <w:sz w:val="19"/>
          <w:szCs w:val="19"/>
          <w:color w:val="auto"/>
        </w:rPr>
        <w:t>Corporate Development Officer and</w:t>
      </w:r>
    </w:p>
    <w:p>
      <w:pPr>
        <w:spacing w:after="0" w:line="11" w:lineRule="exact"/>
        <w:rPr>
          <w:sz w:val="20"/>
          <w:szCs w:val="20"/>
          <w:color w:val="auto"/>
        </w:rPr>
      </w:pPr>
    </w:p>
    <w:p>
      <w:pPr>
        <w:ind w:left="6880"/>
        <w:spacing w:after="0"/>
        <w:rPr>
          <w:sz w:val="20"/>
          <w:szCs w:val="20"/>
          <w:color w:val="auto"/>
        </w:rPr>
      </w:pPr>
      <w:r>
        <w:rPr>
          <w:rFonts w:ascii="Arial" w:cs="Arial" w:eastAsia="Arial" w:hAnsi="Arial"/>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auto"/>
        </w:rPr>
        <w:t>EXHIBIT 31.1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Laura E. Niklason, certify that:</w:t>
      </w:r>
    </w:p>
    <w:p>
      <w:pPr>
        <w:spacing w:after="0" w:line="22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Humacyte, Inc. for the quarter ended September 30, 2021;</w:t>
      </w:r>
    </w:p>
    <w:p>
      <w:pPr>
        <w:spacing w:after="0" w:line="25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660" w:hanging="328"/>
        <w:spacing w:after="0" w:line="29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8"/>
          <w:szCs w:val="18"/>
          <w:color w:val="auto"/>
        </w:rPr>
      </w:pPr>
    </w:p>
    <w:p>
      <w:pPr>
        <w:jc w:val="both"/>
        <w:ind w:left="1300" w:hanging="320"/>
        <w:spacing w:after="0" w:line="246" w:lineRule="auto"/>
        <w:tabs>
          <w:tab w:leader="none" w:pos="13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1300" w:hanging="320"/>
        <w:spacing w:after="0" w:line="246" w:lineRule="auto"/>
        <w:tabs>
          <w:tab w:leader="none" w:pos="13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1300" w:hanging="320"/>
        <w:spacing w:after="0" w:line="250" w:lineRule="auto"/>
        <w:tabs>
          <w:tab w:leader="none" w:pos="13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300" w:hanging="320"/>
        <w:spacing w:after="0" w:line="246" w:lineRule="auto"/>
        <w:tabs>
          <w:tab w:leader="none" w:pos="13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20"/>
          <w:szCs w:val="20"/>
          <w:color w:val="auto"/>
        </w:rPr>
      </w:pPr>
    </w:p>
    <w:p>
      <w:pPr>
        <w:jc w:val="both"/>
        <w:ind w:left="660" w:right="20" w:hanging="328"/>
        <w:spacing w:after="0" w:line="250"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1300" w:right="20" w:hanging="320"/>
        <w:spacing w:after="0" w:line="250" w:lineRule="auto"/>
        <w:tabs>
          <w:tab w:leader="none" w:pos="13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300" w:right="20" w:hanging="320"/>
        <w:spacing w:after="0" w:line="260" w:lineRule="auto"/>
        <w:tabs>
          <w:tab w:leader="none" w:pos="13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ind w:left="20"/>
        <w:spacing w:after="0"/>
        <w:tabs>
          <w:tab w:leader="none" w:pos="5040" w:val="left"/>
          <w:tab w:leader="none" w:pos="5500" w:val="left"/>
        </w:tabs>
        <w:rPr>
          <w:sz w:val="20"/>
          <w:szCs w:val="20"/>
          <w:color w:val="auto"/>
        </w:rPr>
      </w:pPr>
      <w:r>
        <w:rPr>
          <w:rFonts w:ascii="Arial" w:cs="Arial" w:eastAsia="Arial" w:hAnsi="Arial"/>
          <w:sz w:val="20"/>
          <w:szCs w:val="20"/>
          <w:color w:val="auto"/>
        </w:rPr>
        <w:t>Date: November 12, 2021</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Laura E. Niklason</w:t>
      </w:r>
    </w:p>
    <w:p>
      <w:pPr>
        <w:spacing w:after="0" w:line="27"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Name: Laura E. Niklason,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-143510</wp:posOffset>
            </wp:positionV>
            <wp:extent cx="28289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20"/>
          <w:szCs w:val="20"/>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auto"/>
        </w:rPr>
        <w:t>EXHIBIT 31.2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Dale A. Sander, certify that:</w:t>
      </w:r>
    </w:p>
    <w:p>
      <w:pPr>
        <w:spacing w:after="0" w:line="22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Humacyte, Inc. for the quarter ended September 30, 2021;</w:t>
      </w:r>
    </w:p>
    <w:p>
      <w:pPr>
        <w:spacing w:after="0" w:line="25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660" w:hanging="328"/>
        <w:spacing w:after="0" w:line="29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8"/>
          <w:szCs w:val="18"/>
          <w:color w:val="auto"/>
        </w:rPr>
      </w:pPr>
    </w:p>
    <w:p>
      <w:pPr>
        <w:jc w:val="both"/>
        <w:ind w:left="1300" w:hanging="320"/>
        <w:spacing w:after="0" w:line="246"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1300" w:hanging="320"/>
        <w:spacing w:after="0" w:line="246"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1300" w:hanging="320"/>
        <w:spacing w:after="0" w:line="250"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300" w:hanging="320"/>
        <w:spacing w:after="0" w:line="246"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20"/>
          <w:szCs w:val="20"/>
          <w:color w:val="auto"/>
        </w:rPr>
      </w:pPr>
    </w:p>
    <w:p>
      <w:pPr>
        <w:jc w:val="both"/>
        <w:ind w:left="660" w:right="20" w:hanging="328"/>
        <w:spacing w:after="0" w:line="250"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1300" w:right="20" w:hanging="320"/>
        <w:spacing w:after="0" w:line="250"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300" w:right="20" w:hanging="320"/>
        <w:spacing w:after="0" w:line="260"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20"/>
          <w:szCs w:val="20"/>
          <w:color w:val="auto"/>
        </w:rPr>
        <w:t>Date: November 12, 2021</w:t>
      </w:r>
      <w:r>
        <w:rPr>
          <w:sz w:val="20"/>
          <w:szCs w:val="20"/>
          <w:color w:val="auto"/>
        </w:rPr>
        <w:tab/>
      </w:r>
      <w:r>
        <w:rPr>
          <w:rFonts w:ascii="Arial" w:cs="Arial" w:eastAsia="Arial" w:hAnsi="Arial"/>
          <w:sz w:val="18"/>
          <w:szCs w:val="18"/>
          <w:color w:val="auto"/>
        </w:rPr>
        <w:t>By:  /s/ Dale A. Sander</w:t>
      </w:r>
    </w:p>
    <w:p>
      <w:pPr>
        <w:spacing w:after="0" w:line="27" w:lineRule="exact"/>
        <w:rPr>
          <w:sz w:val="20"/>
          <w:szCs w:val="20"/>
          <w:color w:val="auto"/>
        </w:rPr>
      </w:pPr>
    </w:p>
    <w:p>
      <w:pPr>
        <w:ind w:left="6120"/>
        <w:spacing w:after="0"/>
        <w:tabs>
          <w:tab w:leader="none" w:pos="68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Dale A. Sander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-143510</wp:posOffset>
            </wp:positionV>
            <wp:extent cx="24174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ind w:left="6120"/>
        <w:spacing w:after="0"/>
        <w:tabs>
          <w:tab w:leader="none" w:pos="6760" w:val="left"/>
        </w:tabs>
        <w:rPr>
          <w:sz w:val="20"/>
          <w:szCs w:val="20"/>
          <w:color w:val="auto"/>
        </w:rPr>
      </w:pPr>
      <w:r>
        <w:rPr>
          <w:rFonts w:ascii="Arial" w:cs="Arial" w:eastAsia="Arial" w:hAnsi="Arial"/>
          <w:sz w:val="20"/>
          <w:szCs w:val="20"/>
          <w:color w:val="auto"/>
        </w:rPr>
        <w:t>Title:</w:t>
        <w:tab/>
        <w:t>Chief Financial Officer, Chief</w:t>
      </w:r>
    </w:p>
    <w:p>
      <w:pPr>
        <w:ind w:left="6780"/>
        <w:spacing w:after="0"/>
        <w:rPr>
          <w:sz w:val="20"/>
          <w:szCs w:val="20"/>
          <w:color w:val="auto"/>
        </w:rPr>
      </w:pPr>
      <w:r>
        <w:rPr>
          <w:rFonts w:ascii="Arial" w:cs="Arial" w:eastAsia="Arial" w:hAnsi="Arial"/>
          <w:sz w:val="19"/>
          <w:szCs w:val="19"/>
          <w:color w:val="auto"/>
        </w:rPr>
        <w:t>Corporate Development Officer and</w:t>
      </w:r>
    </w:p>
    <w:p>
      <w:pPr>
        <w:spacing w:after="0" w:line="11"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7" w:name="page48"/>
    <w:bookmarkEnd w:id="47"/>
    <w:p>
      <w:pPr>
        <w:ind w:left="8900"/>
        <w:spacing w:after="0"/>
        <w:rPr>
          <w:sz w:val="20"/>
          <w:szCs w:val="20"/>
          <w:color w:val="auto"/>
        </w:rPr>
      </w:pPr>
      <w:r>
        <w:rPr>
          <w:rFonts w:ascii="Arial" w:cs="Arial" w:eastAsia="Arial" w:hAnsi="Arial"/>
          <w:sz w:val="19"/>
          <w:szCs w:val="19"/>
          <w:b w:val="1"/>
          <w:bCs w:val="1"/>
          <w:color w:val="auto"/>
        </w:rPr>
        <w:t>Exhibit 32.1</w:t>
      </w: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CERTIFICATION</w:t>
      </w:r>
    </w:p>
    <w:p>
      <w:pPr>
        <w:spacing w:after="0" w:line="235"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on Form 10-Q of Humacyte, Inc. (the “Company”) for the quarter ended September 30, 2021 (the “Report”), as filed with the Securities and Exchange Commission on the date hereof, I, Laura E. Niklason, President and Chief Executive Officer of the Company, certify, pursuant to 18 U.S.C. Section 1350, as adopted pursuant to Section 906 of the Sarbanes-Oxley Act of 2002, that to the best of my knowledge:</w:t>
      </w:r>
    </w:p>
    <w:p>
      <w:pPr>
        <w:spacing w:after="0" w:line="205" w:lineRule="exact"/>
        <w:rPr>
          <w:sz w:val="20"/>
          <w:szCs w:val="20"/>
          <w:color w:val="auto"/>
        </w:rPr>
      </w:pPr>
    </w:p>
    <w:p>
      <w:pPr>
        <w:ind w:left="660" w:right="40" w:hanging="328"/>
        <w:spacing w:after="0" w:line="260"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40" w:hanging="328"/>
        <w:spacing w:after="0" w:line="260"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p>
      <w:pPr>
        <w:ind w:left="20"/>
        <w:spacing w:after="0"/>
        <w:tabs>
          <w:tab w:leader="none" w:pos="5880" w:val="left"/>
        </w:tabs>
        <w:rPr>
          <w:sz w:val="20"/>
          <w:szCs w:val="20"/>
          <w:color w:val="auto"/>
        </w:rPr>
      </w:pPr>
      <w:r>
        <w:rPr>
          <w:rFonts w:ascii="Arial" w:cs="Arial" w:eastAsia="Arial" w:hAnsi="Arial"/>
          <w:sz w:val="20"/>
          <w:szCs w:val="20"/>
          <w:color w:val="auto"/>
        </w:rPr>
        <w:t>Date: November 12, 2021</w:t>
      </w:r>
      <w:r>
        <w:rPr>
          <w:sz w:val="20"/>
          <w:szCs w:val="20"/>
          <w:color w:val="auto"/>
        </w:rPr>
        <w:tab/>
      </w:r>
      <w:r>
        <w:rPr>
          <w:rFonts w:ascii="Arial" w:cs="Arial" w:eastAsia="Arial" w:hAnsi="Arial"/>
          <w:sz w:val="18"/>
          <w:szCs w:val="18"/>
          <w:color w:val="auto"/>
        </w:rPr>
        <w:t>By:  /s/ Laura E. Niklason</w:t>
      </w:r>
    </w:p>
    <w:p>
      <w:pPr>
        <w:spacing w:after="0" w:line="27" w:lineRule="exact"/>
        <w:rPr>
          <w:sz w:val="20"/>
          <w:szCs w:val="20"/>
          <w:color w:val="auto"/>
        </w:rPr>
      </w:pPr>
    </w:p>
    <w:p>
      <w:pPr>
        <w:ind w:left="6260"/>
        <w:spacing w:after="0"/>
        <w:tabs>
          <w:tab w:leader="none" w:pos="6980" w:val="left"/>
        </w:tabs>
        <w:rPr>
          <w:sz w:val="20"/>
          <w:szCs w:val="20"/>
          <w:color w:val="auto"/>
        </w:rPr>
      </w:pPr>
      <w:r>
        <w:rPr>
          <w:rFonts w:ascii="Arial" w:cs="Arial" w:eastAsia="Arial" w:hAnsi="Arial"/>
          <w:sz w:val="20"/>
          <w:szCs w:val="20"/>
          <w:color w:val="auto"/>
        </w:rPr>
        <w:t>Name:</w:t>
        <w:tab/>
        <w:t>Laura E. Niklason,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-143510</wp:posOffset>
            </wp:positionV>
            <wp:extent cx="25031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ind w:left="6260"/>
        <w:spacing w:after="0"/>
        <w:tabs>
          <w:tab w:leader="none" w:pos="6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118" w:right="959" w:bottom="1440" w:gutter="0" w:footer="0" w:header="0"/>
        </w:sectPr>
      </w:pPr>
    </w:p>
    <w:bookmarkStart w:id="48" w:name="page49"/>
    <w:bookmarkEnd w:id="48"/>
    <w:p>
      <w:pPr>
        <w:ind w:left="8900"/>
        <w:spacing w:after="0"/>
        <w:rPr>
          <w:sz w:val="20"/>
          <w:szCs w:val="20"/>
          <w:color w:val="auto"/>
        </w:rPr>
      </w:pPr>
      <w:r>
        <w:rPr>
          <w:rFonts w:ascii="Arial" w:cs="Arial" w:eastAsia="Arial" w:hAnsi="Arial"/>
          <w:sz w:val="20"/>
          <w:szCs w:val="20"/>
          <w:b w:val="1"/>
          <w:bCs w:val="1"/>
          <w:color w:val="auto"/>
        </w:rPr>
        <w:t>Exhibit 32.2</w:t>
      </w:r>
    </w:p>
    <w:p>
      <w:pPr>
        <w:spacing w:after="0" w:line="228"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auto"/>
        </w:rPr>
        <w:t>CERTIFICATION</w:t>
      </w:r>
    </w:p>
    <w:p>
      <w:pPr>
        <w:spacing w:after="0" w:line="235" w:lineRule="exact"/>
        <w:rPr>
          <w:sz w:val="20"/>
          <w:szCs w:val="20"/>
          <w:color w:val="auto"/>
        </w:rPr>
      </w:pPr>
    </w:p>
    <w:p>
      <w:pPr>
        <w:jc w:val="both"/>
        <w:ind w:right="240"/>
        <w:spacing w:after="0" w:line="246" w:lineRule="auto"/>
        <w:rPr>
          <w:sz w:val="20"/>
          <w:szCs w:val="20"/>
          <w:color w:val="auto"/>
        </w:rPr>
      </w:pPr>
      <w:r>
        <w:rPr>
          <w:rFonts w:ascii="Arial" w:cs="Arial" w:eastAsia="Arial" w:hAnsi="Arial"/>
          <w:sz w:val="20"/>
          <w:szCs w:val="20"/>
          <w:color w:val="auto"/>
        </w:rPr>
        <w:t>In connection with the Quarterly Report on Form 10-Q of Humacyte, Inc. (the “Company”) for the quarter ended September 30, 2021 (the “Report”), as filed with the Securities and Exchange Commission on the date hereof, I, Dale A. Sander, Chief Financial Officer of the Company, certify, pursuant to 18 U.S.C. Section 1350, as adopted pursuant to Section 906 of the Sarbanes-Oxley Act of 2002, that to the best of my knowledge:</w:t>
      </w:r>
    </w:p>
    <w:p>
      <w:pPr>
        <w:spacing w:after="0" w:line="205" w:lineRule="exact"/>
        <w:rPr>
          <w:sz w:val="20"/>
          <w:szCs w:val="20"/>
          <w:color w:val="auto"/>
        </w:rPr>
      </w:pPr>
    </w:p>
    <w:p>
      <w:pPr>
        <w:ind w:left="740" w:right="240" w:hanging="327"/>
        <w:spacing w:after="0" w:line="260" w:lineRule="auto"/>
        <w:tabs>
          <w:tab w:leader="none" w:pos="7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740" w:right="260" w:hanging="327"/>
        <w:spacing w:after="0" w:line="260" w:lineRule="auto"/>
        <w:tabs>
          <w:tab w:leader="none" w:pos="7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p>
      <w:pPr>
        <w:ind w:left="20"/>
        <w:spacing w:after="0"/>
        <w:tabs>
          <w:tab w:leader="none" w:pos="5880" w:val="left"/>
        </w:tabs>
        <w:rPr>
          <w:sz w:val="20"/>
          <w:szCs w:val="20"/>
          <w:color w:val="auto"/>
        </w:rPr>
      </w:pPr>
      <w:r>
        <w:rPr>
          <w:rFonts w:ascii="Arial" w:cs="Arial" w:eastAsia="Arial" w:hAnsi="Arial"/>
          <w:sz w:val="20"/>
          <w:szCs w:val="20"/>
          <w:color w:val="auto"/>
        </w:rPr>
        <w:t>Date: November 12, 2021</w:t>
      </w:r>
      <w:r>
        <w:rPr>
          <w:sz w:val="20"/>
          <w:szCs w:val="20"/>
          <w:color w:val="auto"/>
        </w:rPr>
        <w:tab/>
      </w:r>
      <w:r>
        <w:rPr>
          <w:rFonts w:ascii="Arial" w:cs="Arial" w:eastAsia="Arial" w:hAnsi="Arial"/>
          <w:sz w:val="18"/>
          <w:szCs w:val="18"/>
          <w:color w:val="auto"/>
        </w:rPr>
        <w:t>By:  /s/ Dale A. Sander</w:t>
      </w:r>
    </w:p>
    <w:p>
      <w:pPr>
        <w:spacing w:after="0" w:line="27" w:lineRule="exact"/>
        <w:rPr>
          <w:sz w:val="20"/>
          <w:szCs w:val="20"/>
          <w:color w:val="auto"/>
        </w:rPr>
      </w:pPr>
    </w:p>
    <w:p>
      <w:pPr>
        <w:ind w:left="6260"/>
        <w:spacing w:after="0"/>
        <w:tabs>
          <w:tab w:leader="none" w:pos="6980" w:val="left"/>
        </w:tabs>
        <w:rPr>
          <w:sz w:val="20"/>
          <w:szCs w:val="20"/>
          <w:color w:val="auto"/>
        </w:rPr>
      </w:pPr>
      <w:r>
        <w:rPr>
          <w:rFonts w:ascii="Arial" w:cs="Arial" w:eastAsia="Arial" w:hAnsi="Arial"/>
          <w:sz w:val="20"/>
          <w:szCs w:val="20"/>
          <w:color w:val="auto"/>
        </w:rPr>
        <w:t>Name:</w:t>
        <w:tab/>
        <w:t>Dale A. Sander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-143510</wp:posOffset>
            </wp:positionV>
            <wp:extent cx="25031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jc w:val="both"/>
        <w:ind w:left="6260"/>
        <w:spacing w:after="0"/>
        <w:tabs>
          <w:tab w:leader="none" w:pos="6940" w:val="left"/>
        </w:tabs>
        <w:rPr>
          <w:sz w:val="20"/>
          <w:szCs w:val="20"/>
          <w:color w:val="auto"/>
        </w:rPr>
      </w:pPr>
      <w:r>
        <w:rPr>
          <w:rFonts w:ascii="Arial" w:cs="Arial" w:eastAsia="Arial" w:hAnsi="Arial"/>
          <w:sz w:val="20"/>
          <w:szCs w:val="20"/>
          <w:color w:val="auto"/>
        </w:rPr>
        <w:t>Title:</w:t>
        <w:tab/>
        <w:t>Chief Financial Officer, Chief Corporate</w:t>
      </w:r>
    </w:p>
    <w:p>
      <w:pPr>
        <w:ind w:left="6960"/>
        <w:spacing w:after="0"/>
        <w:rPr>
          <w:sz w:val="20"/>
          <w:szCs w:val="20"/>
          <w:color w:val="auto"/>
        </w:rPr>
      </w:pPr>
      <w:r>
        <w:rPr>
          <w:rFonts w:ascii="Arial" w:cs="Arial" w:eastAsia="Arial" w:hAnsi="Arial"/>
          <w:sz w:val="20"/>
          <w:szCs w:val="20"/>
          <w:color w:val="auto"/>
        </w:rPr>
        <w:t>Development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10160"/>
      </w:cols>
      <w:pgMar w:left="980" w:top="118"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lowerRoman"/>
      <w:start w:val="1"/>
    </w:lvl>
  </w:abstractNum>
  <w:abstractNum w:abstractNumId="5">
    <w:nsid w:val="41A7C4C9"/>
    <w:multiLevelType w:val="hybridMultilevel"/>
    <w:lvl w:ilvl="0">
      <w:lvlJc w:val="left"/>
      <w:lvlText w:val="(%1)"/>
      <w:numFmt w:val="lowerRoman"/>
      <w:start w:val="4"/>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8"/>
    </w:lvl>
  </w:abstractNum>
  <w:abstractNum w:abstractNumId="9">
    <w:nsid w:val="519B500D"/>
    <w:multiLevelType w:val="hybridMultilevel"/>
    <w:lvl w:ilvl="0">
      <w:lvlJc w:val="left"/>
      <w:lvlText w:val="(%1)"/>
      <w:numFmt w:val="decimal"/>
      <w:start w:val="1"/>
    </w:lvl>
    <w:lvl w:ilvl="1">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57" Type="http://schemas.openxmlformats.org/officeDocument/2006/relationships/hyperlink" Target="https://www.sec.gov/Archives/edgar/data/0001818382/000110465921128615/tm2127058-3_s1a.htm#tRIFA" TargetMode="External"/><Relationship Id="rId59" Type="http://schemas.openxmlformats.org/officeDocument/2006/relationships/hyperlink" Target="https://www.sec.gov/Archives/edgar/data/1818382/000110465921110678/tm2126013d1_ex3-1.htm" TargetMode="External"/><Relationship Id="rId60" Type="http://schemas.openxmlformats.org/officeDocument/2006/relationships/hyperlink" Target="https://www.sec.gov/Archives/edgar/data/1818382/000110465921110678/tm2126013d1_ex3-2.htm" TargetMode="External"/><Relationship Id="rId61" Type="http://schemas.openxmlformats.org/officeDocument/2006/relationships/hyperlink" Target="https://www.sec.gov/Archives/edgar/data/1818382/000121390021017053/fs42021ex10-3_alphahealth.htm" TargetMode="External"/><Relationship Id="rId62" Type="http://schemas.openxmlformats.org/officeDocument/2006/relationships/hyperlink" Target="https://www.sec.gov/Archives/edgar/data/1818382/000121390021039798/fs42021a4_alphahealthcare.htm" TargetMode="External"/><Relationship Id="rId63" Type="http://schemas.openxmlformats.org/officeDocument/2006/relationships/hyperlink" Target="https://www.sec.gov/Archives/edgar/data/1818382/000121390021032196/fs42021a1ex10-1_alphahealt.htm" TargetMode="External"/><Relationship Id="rId64" Type="http://schemas.openxmlformats.org/officeDocument/2006/relationships/hyperlink" Target="https://www.sec.gov/Archives/edgar/data/1818382/000110465921110678/tm2126013d1_ex10-4.htm" TargetMode="External"/><Relationship Id="rId65" Type="http://schemas.openxmlformats.org/officeDocument/2006/relationships/hyperlink" Target="https://www.sec.gov/Archives/edgar/data/1818382/000110465921110678/tm2126013d1_ex10-4d1.htm" TargetMode="External"/><Relationship Id="rId66" Type="http://schemas.openxmlformats.org/officeDocument/2006/relationships/hyperlink" Target="https://www.sec.gov/Archives/edgar/data/1818382/000110465921110678/tm2126013d1_ex10-5.htm" TargetMode="External"/><Relationship Id="rId67" Type="http://schemas.openxmlformats.org/officeDocument/2006/relationships/hyperlink" Target="https://www.sec.gov/Archives/edgar/data/1818382/000110465921110678/tm2126013d1_ex10-8.htm" TargetMode="External"/><Relationship Id="rId68" Type="http://schemas.openxmlformats.org/officeDocument/2006/relationships/hyperlink" Target="https://www.sec.gov/Archives/edgar/data/1818382/000121390021035153/fs42021a2ex10-23_alph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2021-11-15T05:52:00Z</dcterms:created>
  <dcterms:modified xsi:type="dcterms:W3CDTF">2021-11-15T05:52:00Z</dcterms:modified>
</cp:coreProperties>
</file>