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001-39532</w:t>
      </w:r>
    </w:p>
    <w:p>
      <w:pPr>
        <w:spacing w:after="0" w:line="7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Humacyte,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156" w:lineRule="exact"/>
        <w:rPr>
          <w:sz w:val="24"/>
          <w:szCs w:val="24"/>
          <w:color w:val="auto"/>
        </w:rPr>
      </w:pPr>
    </w:p>
    <w:tbl>
      <w:tblPr>
        <w:tblLayout w:type="fixed"/>
        <w:tblInd w:w="1600" w:type="dxa"/>
        <w:tblCellMar>
          <w:top w:w="0" w:type="dxa"/>
          <w:left w:w="0" w:type="dxa"/>
          <w:bottom w:w="0" w:type="dxa"/>
          <w:right w:w="0" w:type="dxa"/>
        </w:tblCellMar>
      </w:tblPr>
      <w:tr>
        <w:trPr>
          <w:trHeight w:val="190"/>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85-1763759</w:t>
            </w:r>
          </w:p>
        </w:tc>
      </w:tr>
      <w:tr>
        <w:trPr>
          <w:trHeight w:val="203"/>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00" w:type="dxa"/>
            <w:vAlign w:val="bottom"/>
          </w:tcPr>
          <w:p>
            <w:pPr>
              <w:spacing w:after="0"/>
              <w:rPr>
                <w:sz w:val="16"/>
                <w:szCs w:val="16"/>
                <w:color w:val="auto"/>
              </w:rPr>
            </w:pPr>
          </w:p>
        </w:tc>
      </w:tr>
      <w:tr>
        <w:trPr>
          <w:trHeight w:val="675"/>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2525 East North Carolina Highway 54</w:t>
            </w:r>
          </w:p>
        </w:tc>
        <w:tc>
          <w:tcPr>
            <w:tcW w:w="5300" w:type="dxa"/>
            <w:vAlign w:val="bottom"/>
          </w:tcPr>
          <w:p>
            <w:pPr>
              <w:spacing w:after="0"/>
              <w:rPr>
                <w:sz w:val="24"/>
                <w:szCs w:val="24"/>
                <w:color w:val="auto"/>
              </w:rPr>
            </w:pPr>
          </w:p>
        </w:tc>
      </w:tr>
      <w:tr>
        <w:trPr>
          <w:trHeight w:val="216"/>
        </w:trPr>
        <w:tc>
          <w:tcPr>
            <w:tcW w:w="2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Durham, NC</w:t>
            </w:r>
          </w:p>
        </w:tc>
        <w:tc>
          <w:tcPr>
            <w:tcW w:w="530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27713</w:t>
            </w:r>
          </w:p>
        </w:tc>
      </w:tr>
      <w:tr>
        <w:trPr>
          <w:trHeight w:val="203"/>
        </w:trPr>
        <w:tc>
          <w:tcPr>
            <w:tcW w:w="2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(Zip code)</w:t>
            </w:r>
          </w:p>
        </w:tc>
      </w:tr>
      <w:tr>
        <w:trPr>
          <w:trHeight w:val="370"/>
        </w:trPr>
        <w:tc>
          <w:tcPr>
            <w:tcW w:w="2520" w:type="dxa"/>
            <w:vAlign w:val="bottom"/>
          </w:tcPr>
          <w:p>
            <w:pPr>
              <w:spacing w:after="0"/>
              <w:rPr>
                <w:sz w:val="24"/>
                <w:szCs w:val="24"/>
                <w:color w:val="auto"/>
              </w:rPr>
            </w:pPr>
          </w:p>
        </w:tc>
        <w:tc>
          <w:tcPr>
            <w:tcW w:w="5300" w:type="dxa"/>
            <w:vAlign w:val="bottom"/>
          </w:tcPr>
          <w:p>
            <w:pPr>
              <w:jc w:val="right"/>
              <w:ind w:right="3270"/>
              <w:spacing w:after="0"/>
              <w:rPr>
                <w:sz w:val="20"/>
                <w:szCs w:val="20"/>
                <w:color w:val="auto"/>
              </w:rPr>
            </w:pPr>
            <w:r>
              <w:rPr>
                <w:rFonts w:ascii="Times New Roman" w:cs="Times New Roman" w:eastAsia="Times New Roman" w:hAnsi="Times New Roman"/>
                <w:sz w:val="14"/>
                <w:szCs w:val="14"/>
                <w:b w:val="1"/>
                <w:bCs w:val="1"/>
                <w:color w:val="auto"/>
              </w:rPr>
              <w:t>(919) 313-9633</w:t>
            </w:r>
          </w:p>
        </w:tc>
      </w:tr>
      <w:tr>
        <w:trPr>
          <w:trHeight w:val="164"/>
        </w:trPr>
        <w:tc>
          <w:tcPr>
            <w:tcW w:w="2520" w:type="dxa"/>
            <w:vAlign w:val="bottom"/>
          </w:tcPr>
          <w:p>
            <w:pPr>
              <w:spacing w:after="0"/>
              <w:rPr>
                <w:sz w:val="14"/>
                <w:szCs w:val="14"/>
                <w:color w:val="auto"/>
              </w:rPr>
            </w:pPr>
          </w:p>
        </w:tc>
        <w:tc>
          <w:tcPr>
            <w:tcW w:w="5300" w:type="dxa"/>
            <w:vAlign w:val="bottom"/>
          </w:tcPr>
          <w:p>
            <w:pPr>
              <w:jc w:val="center"/>
              <w:ind w:right="221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HUMA</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 one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HUMAW</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Common Stock at an exercise price of $11.50</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r>
    </w:tbl>
    <w:p>
      <w:pPr>
        <w:spacing w:after="0" w:line="203"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o</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x</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19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8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November 1, 2024, 125,859,496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Humacyte, Inc.</w:t>
            </w: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34</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53</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55</w:t>
            </w:r>
          </w:p>
        </w:tc>
      </w:tr>
      <w:tr>
        <w:trPr>
          <w:trHeight w:val="89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9"/>
          </w:tcPr>
          <w:p>
            <w:pPr>
              <w:jc w:val="center"/>
              <w:ind w:left="395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17" w:lineRule="exact"/>
        <w:rPr>
          <w:sz w:val="20"/>
          <w:szCs w:val="20"/>
          <w:color w:val="auto"/>
        </w:rPr>
      </w:pPr>
    </w:p>
    <w:p>
      <w:pPr>
        <w:ind w:left="660" w:right="80" w:hanging="328"/>
        <w:spacing w:after="0" w:line="239"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United States (“U.S.”) Food and Drug Administration (“FDA”) review of our Biologics License Application (“BLA”) seeking approval of our bioengineered human acellular vessels (Acellular Tissue Engineered Vessel or “ATEV</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formerly referred to as the “Human Acellular Vessel” or “HAV”) in urgent arterial repair following extremity vascular trauma when synthetic graft is not indicated and autologous vein graft is not feasible;</w:t>
      </w:r>
    </w:p>
    <w:p>
      <w:pPr>
        <w:spacing w:after="0" w:line="90"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anticipated timeline and ability to file applications for, and obtain marketing approvals from, the U.S. FDA and other regulatory authorities, including the European Medicines Agency, for our ATEV and other product candidates;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our BLA for vascular trauma and the design of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and performance of our ATEVs;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commercialize our ATEVs and other product candidates, if approved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ATEVs, if approved by regulatory authorities, and the availability of third-party coverage and reimbursement;</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ATEVs and other product candidates in sufficient quantities to satisfy our clinical trial and commercial needs, if approved by regulatory authorities;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strategic partnership with Fresenius Medical Care Holdings, Inc. (“Fresenius Medical Care”) to sell, market and distribute our 6 millimeter ATEV for certain specified indications and in specified markets, if approved by regulatory authorities;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size of the target populations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ATEVs relative to existing alternatives;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how long our existing cash and cash equivalents will be sufficient to fund our anticipated operating expenses, capital expenditures and debt service obligations;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statements are based on information current as of the date of this Quarterly Report and speak only as of the date on which such statements are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2023, which we filed with the SEC on March 28, 2024.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80,448</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83,278</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right-of-use assets,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17,313</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114,764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128,223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obligation, current portion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obligation, current portion</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18,443</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37,916</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interest liability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 net of current portion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16,293</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derivative liability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178,485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114,677</w:t>
            </w:r>
          </w:p>
        </w:tc>
        <w:tc>
          <w:tcPr>
            <w:tcW w:w="0" w:type="dxa"/>
            <w:vAlign w:val="bottom"/>
          </w:tcPr>
          <w:p>
            <w:pPr>
              <w:spacing w:after="0"/>
              <w:rPr>
                <w:sz w:val="1"/>
                <w:szCs w:val="1"/>
                <w:color w:val="auto"/>
              </w:rPr>
            </w:pPr>
          </w:p>
        </w:tc>
      </w:tr>
      <w:tr>
        <w:trPr>
          <w:trHeight w:val="148"/>
        </w:trPr>
        <w:tc>
          <w:tcPr>
            <w:tcW w:w="8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Preferred stock, $0.0001 par value; 20,000,000 shares designated as of September 30, 2024 and December 31, 2023; 0 shares issued and</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outstanding as of September 30, 2024 and December 31, 2023</w:t>
            </w:r>
          </w:p>
        </w:tc>
        <w:tc>
          <w:tcPr>
            <w:tcW w:w="2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Common stock, $0.0001 par value; 250,000,000 shares authorized as of September 30, 2024 and December 31, 2023; 119,842,940 and</w:t>
            </w: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103,673,728 shares issued and outstanding as of September 30, 2024 and December 31, 2023, respectively</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550,850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(665,075)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(537,314)</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114,764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128,223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3"/>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7"/>
                <w:szCs w:val="17"/>
                <w:color w:val="auto"/>
              </w:rPr>
            </w:pPr>
          </w:p>
        </w:tc>
        <w:tc>
          <w:tcPr>
            <w:tcW w:w="27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(73,865)</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(85,670)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119,408,565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103,444,246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115,623,616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103,357,087</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4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103,673,728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550,850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(537,314)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13,546</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in public offering, net of issuance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119,084,353</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595,350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(569,210)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26,152</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263,335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(56,663)</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119,347,688</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597,574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(625,873)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(28,287)</w:t>
            </w:r>
          </w:p>
        </w:tc>
        <w:tc>
          <w:tcPr>
            <w:tcW w:w="0" w:type="dxa"/>
            <w:vAlign w:val="bottom"/>
          </w:tcPr>
          <w:p>
            <w:pPr>
              <w:spacing w:after="0"/>
              <w:rPr>
                <w:sz w:val="1"/>
                <w:szCs w:val="1"/>
                <w:color w:val="auto"/>
              </w:rPr>
            </w:pPr>
          </w:p>
        </w:tc>
      </w:tr>
      <w:tr>
        <w:trPr>
          <w:trHeight w:val="145"/>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commitment shares pursuant to Common Stock Purchase</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115,705</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Agreement</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stock under Common Stock Purchase Agreement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179,547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(39,202)</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119,842,940</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601,342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(665,075)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(63,721)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4200" w:type="dxa"/>
            <w:vAlign w:val="bottom"/>
          </w:tcPr>
          <w:p>
            <w:pPr>
              <w:spacing w:after="0"/>
              <w:rPr>
                <w:sz w:val="24"/>
                <w:szCs w:val="24"/>
                <w:color w:val="auto"/>
              </w:rPr>
            </w:pPr>
          </w:p>
        </w:tc>
        <w:tc>
          <w:tcPr>
            <w:tcW w:w="24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103,229,013</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543,456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(426,538)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116,928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(36,969)</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103,329,171</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545,384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(463,507)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81,887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79,077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103,408,248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547,320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(486,213)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61,117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(25,995)</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103,460,836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549,191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(512,208)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36,993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(127,761)</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(85,670)</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expense</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5,422</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11,708</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expense</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(54,251)</w:t>
            </w:r>
          </w:p>
        </w:tc>
      </w:tr>
      <w:tr>
        <w:trPr>
          <w:trHeight w:val="169"/>
        </w:trPr>
        <w:tc>
          <w:tcPr>
            <w:tcW w:w="77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r>
      <w:tr>
        <w:trPr>
          <w:trHeight w:val="196"/>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maturity of short-term investments (certificates of deposit)</w:t>
            </w:r>
          </w:p>
        </w:tc>
        <w:tc>
          <w:tcPr>
            <w:tcW w:w="10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r>
      <w:tr>
        <w:trPr>
          <w:trHeight w:val="202"/>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2"/>
        </w:trPr>
        <w:tc>
          <w:tcPr>
            <w:tcW w:w="7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stock in public offering, net of underwriting fees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of costs related to public offering</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Revenue Interest Purchase Agreement, net of issuance costs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39,377</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of transaction costs related to Revenue Interest Purchase Agreement</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 of common stock under Common Stock Purchase Agreement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JDRF Agreement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of finance lease principal</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payments on SVB loan</w:t>
            </w:r>
          </w:p>
        </w:tc>
        <w:tc>
          <w:tcPr>
            <w:tcW w:w="10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(31,500)</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for debt prepayment and extinguishment costs</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63,177</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w:t>
            </w:r>
          </w:p>
        </w:tc>
      </w:tr>
      <w:tr>
        <w:trPr>
          <w:trHeight w:val="169"/>
        </w:trPr>
        <w:tc>
          <w:tcPr>
            <w:tcW w:w="77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(49,432)</w:t>
            </w: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80,801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149,772</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70,924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100,340</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7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r>
      <w:tr>
        <w:trPr>
          <w:trHeight w:val="162"/>
        </w:trPr>
        <w:tc>
          <w:tcPr>
            <w:tcW w:w="7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discount from embedded contingent derivative liability</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commitment shares pursuant to Common Stock Purchase Agreement</w:t>
            </w: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860" w:firstLine="8"/>
        <w:spacing w:after="0" w:line="46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ind w:firstLine="324"/>
        <w:spacing w:after="0" w:line="261" w:lineRule="auto"/>
        <w:rPr>
          <w:sz w:val="20"/>
          <w:szCs w:val="20"/>
          <w:color w:val="auto"/>
        </w:rPr>
      </w:pPr>
      <w:r>
        <w:rPr>
          <w:rFonts w:ascii="Times New Roman" w:cs="Times New Roman" w:eastAsia="Times New Roman" w:hAnsi="Times New Roman"/>
          <w:sz w:val="18"/>
          <w:szCs w:val="18"/>
          <w:color w:val="auto"/>
        </w:rPr>
        <w:t>Humacyte, Inc. and subsidiaries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August 26, 2021 (the “Closing Date”), Alpha Healthcare Acquisition Corp. (“AHAC”) consummated a merger pursuant to a Business Combination Agreement, dated as of February 17, 2021 (the “Merger Agreement”), by and among Humacyte, Inc. (“Legacy Humacyte”), AHAC and Hunter Merger Sub, Inc. (“Merger Sub”), a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0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proceeds from a revenue interest purchase agreement and, to a lesser extent, through governmental and other grants. At September 30, 2024 and December 31, 2023, the Company had an accumulated deficit of $665.1 million and $537.3 million, respectively. The Company’s operating losses were $86.3 million and $73.9 million for the nine months ended September 30, 2024 and 2023, respectively. Net cash flows used in operating activities were $71.5 million and $54.3 million during the nine months ended September 30, 2024 and 2023, respectively. Substantially all of the Company’s operating losses resulted from costs incurred in connection with the Company’s research and development programs and from general and administrative costs associated with the Company’s operations. On August 9, 2024, the FDA informed the Company that the FDA required additional time to complete its review of the Company’s BLA for the ATEV in adults as a vascular conduit for extremity arterial injury when urgent revascularization is needed to avoid imminent limb loss, and autologous vein graft is not feasible. The Company will have an additional $40.0 million available for draw under the Purchase Agreement (as defined below) upon the Company receiving FDA approval of the ATEV for the vascular trauma indication on or prior to December 31, 2024. The Company expects to incur substantial operating losses and negative cash flows from operations for the foreseeable future as the Company advances its product candidates.</w:t>
      </w:r>
    </w:p>
    <w:p>
      <w:pPr>
        <w:spacing w:after="0" w:line="1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further disclosed in Note 6, on May 12, 2023, Humacyte, Inc. and Global entered into a Revenue Interest Purchase Agreement (the “Purchase Agreement”) with two purchasers, both affiliates of Oberland Capital Management LLC (the “Purchasers”), and another affiliate of Oberland Capital Management LLC, as agent for the Purchasers, to obtain financing with respect to the further development and commercialization of the Company’s ATEV, to repay the Company’s then-existing credit facility with Silicon Valley Bank (“SVB”), and for other general corporate purposes. As of September 30, 2024, $62.1 million was recorded as a revenue interest liability on the condensed consolidated balance sheet.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to remove requirements related to the leasehold mortgage. In exchange for removing this requirement, the Company agreed to fund an account in the amount of $54.0 million over which the Agent has certain consent and other rights to $50.0 million of the funds. The Company funded an account with the required $54.0 million on August 14, 2024. As of September 30, 2024, the $50.0 million was classified as restricted cash on the accompanying condensed consolidated balance sheet.</w:t>
      </w:r>
    </w:p>
    <w:p>
      <w:pPr>
        <w:spacing w:after="0" w:line="1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is required to evaluate whether there are conditions and events, considered in the aggregate, that raise substantial doubt about its ability to continue as a going concern for at least one year from the issuance date of its financial statements. As of September 30, 2024, the Company had cash and cash equivalents of $20.6 million and restricted cash of $50.4 million.</w:t>
      </w:r>
    </w:p>
    <w:p>
      <w:pPr>
        <w:spacing w:after="0" w:line="1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further disclosed in Note 8, on September 24, 2024, the Company entered into a common stock purchase agreement with Lincoln Park Capital Fund, LLC (“Lincoln Park”) for an equity line financing (the “Common Stock Purchase Agreement”). The Common Stock Purchase Agreement provides that, subject to the terms and conditions set forth therein, the Company has the sole right, but not the obligation, to sell to Lincoln Park shares of the Company’s common stock, par value $0.0001 per share (“Common Stock”), having an aggregate value of up to $50.0 million (the “Purchase Shares”) over a 24-month period. The Company controls the timing and amount of any sales of Purchase Shares to Lincoln Park pursuant to the Common Stock Purchase Agreement in its sole discretion. As of September 30, 2024, the Company had $49.0 million in remaining availability for sales of Common Stock under the Common Stock Purchase Agreement. As of September 30, 2024, the Company had completed sales of shares under the Common Stock Purchase Agreement that provided $1.0 million in gross proceeds, and as further disclosed in Note 13, from September 30, 2024 through November 8 2024, the Company completed sales of shares to Lincoln Park that provided $1.5 million in additional gross proceeds.</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further disclosed in Note 13, on October 7, 2024, the Company received net proceeds of approximately $28.1 million in connection with the closing of the Registered Direct Offering (as defined in Note 13).</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noted above, the Company funded the restricted cash account, in accordance with the amended Purchase Agreement, of which $50.0 million is not subject to the Company’s unilateral control. Based on current plans and assumptions, which exclude this $50.0 million of cash and the potential approval of the BLA from its forecasted liquidity, the Company will not have sufficient cash and cash equivalents to fund its operations beyond one year from the issuance of these financial statements if the Company is unable to achieve approval of the ATEV and generate sufficient cash flows from commercial sales on a timely basis and/or obtain additional capital. These factors raise substantial doubt about the Company’s ability to continue as a going concern. Accordingly, the Company will, over the course of the next year, require additional financing to continue its operations. Adequate additional capital may not be available to the Company when needed or on acceptable terms. If the Company is unable to raise sufficient capital when required, the Company may be required to reduce or discontinue its operations, sell assets, or cease all operations. The accompanying unaudited condensed consolidated financial statements have been prepared assuming that the Company will continue as a going concern and contemplate the realization of assets and the satisfaction of liabilities in the normal course of business. The accompanying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159" w:lineRule="exact"/>
        <w:rPr>
          <w:sz w:val="20"/>
          <w:szCs w:val="20"/>
          <w:color w:val="auto"/>
        </w:rPr>
      </w:pPr>
    </w:p>
    <w:p>
      <w:pPr>
        <w:ind w:right="7680" w:firstLine="8"/>
        <w:spacing w:after="0" w:line="456"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financial statements in conformity with U.S. GAAP. The Company’s condensed consolidated financial statements reflect the operations of the Company and its wholly owned subsidiaries. All intercompany accounts and transactions have been eliminated in consolidation.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September 30, 2024 and its results of operations for the three and nine months ended September 30, 2024 and 2023, and cash flows for the nine months ended September 30, 2024 and 2023. The results of operations for the three and nine months ended September 30, 2024 are not necessarily indicative of the results to be expected for the year ending December 31, 2024 or any other period. The December 31, 2023 year-end condensed consolidated balance sheet was derived from audited annual financial statements but does not include all disclosures from the annual financial statements.</w:t>
      </w:r>
    </w:p>
    <w:p>
      <w:pPr>
        <w:spacing w:after="0" w:line="148"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2023 and the related notes included in the Company’s Annual Report on Form 10-K, filed with the SEC on March 28, 2024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2023 and 2022 included in the Company’s Annual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Certain amounts from prior periods have been reclassified to conform to the current period’s presentation. None of these reclassifications had a material impact on the Company’s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0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including amounts classified as restricted cash. Total cash balances exceeded insured balances by the Federal Deposit Insurance Corporation as of September 30, 2024 and December 31, 2023. The Company believes it mitigates this risk by monitoring the financial stability of the institutions holding material cash and cash equivalents balances. The Company maintains the majority of these balances at a Global Systemically Important Bank, as designated by the Financial Stability Board. As of both September 30, 2024 and December 31, 2023, the Company had cash equivalents held in highly rated money market funds that are invested only in obligations of the U.S. government and its agencies. The Company has not experienced any credit loss relating to its cash and cash equivalents.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as restricted cash all cash pledged as collateral to secure long-term obligations and all cash whose use is otherwise limited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provisions. As of September 30, 2024, restricted cash includes $50.0 million maintained in an account that is not subject to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unilateral control, in accordance with the amended Purchase Agreement. As of September 30, 2024 and December 31, 2023, the Company classified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in funds maintained in a separate deposit account to secure a letter of credit for the benefit of the lessor of the Company’s headquarters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$0.1 million in cash balances held as collateral for the Company’s employee credit card program as restricted cash.</w:t>
      </w:r>
    </w:p>
    <w:p>
      <w:pPr>
        <w:spacing w:after="0" w:line="16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of the amounts shown in the condensed consolidated statements of cash flows as of September 30, 2024 and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89"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Coronavirus Aid, Relief, and Economic Security Act (the “CARES Act”) provided refundable employee retention credits, which could be used to offset payroll tax liabilities. Under the provisions of the extension of the CARES Act, the Company qualified for the employee retention credit for the first three quarters of 2021, and the Company applied for the credit in February 2023. As there is no authoritative guidance under U.S. GAAP for accounting for grants to for-profit business entities, the Company accounted for the grant by applying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Company received an employee retention credit of $3.1 million in July 2023, and recognized the credit as a component of other income (expense), net on the condensed consolidated statement of operations and comprehensive loss during the second quarter of 2023 after the Company received notices from the Internal Revenue Service specifying the amount of the credit receivable, and all uncertainties were resolved regarding receipt of the credit.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attributable to common stockholders by the weighted-average number of shares of Common Stock outstanding during the period without consideration of potentially dilutive shares of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three and nine months ended September 30, 2024 and 2023, basic and diluted net loss per share is the same for each period.</w:t>
      </w:r>
    </w:p>
    <w:p>
      <w:pPr>
        <w:spacing w:after="0" w:line="147" w:lineRule="exact"/>
        <w:rPr>
          <w:sz w:val="20"/>
          <w:szCs w:val="20"/>
          <w:color w:val="auto"/>
        </w:rPr>
      </w:pPr>
    </w:p>
    <w:p>
      <w:pPr>
        <w:ind w:right="160" w:firstLine="324"/>
        <w:spacing w:after="0" w:line="270"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computation of diluted net loss per share for each period because including them would have had an antidilutive effect.</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and 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41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5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12,287,369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7,170,891</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900"/>
        </w:trPr>
        <w:tc>
          <w:tcPr>
            <w:tcW w:w="4120" w:type="dxa"/>
            <w:vAlign w:val="bottom"/>
          </w:tcPr>
          <w:p>
            <w:pPr>
              <w:spacing w:after="0"/>
              <w:rPr>
                <w:sz w:val="24"/>
                <w:szCs w:val="24"/>
                <w:color w:val="auto"/>
              </w:rPr>
            </w:pPr>
          </w:p>
        </w:tc>
        <w:tc>
          <w:tcPr>
            <w:tcW w:w="40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15,000,000 Contingent Earnout Shares, as defined in Note 8, are excluded from the anti-dilutive table for all periods presented, as such shares are contingently issuable until the share price of the Company exceeds specified thresholds that have not yet been achieved, or upon the occurrence of a change in control. The Option Agreement, as defined in Note 6 — Revenue Interest Purchase Agreement, is excluded from the anti-dilutive table for all periods presented based on the Company’s assumption that the Option Agreement will not be exercised unless the Company’s stock price exceeds $7.50 per share, the minimum purchase price under the Option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ongoing V007 and V012 Phase 3 clinical trials, the regulatory approval and commercialization of its ATEVs and other product candidates, the expected size of the target populations for the Company’s product candidates, the degree of market acceptance of the ATEVs, if approved, the availability of third-party coverage and reimbursement, development by competitors of new technological innovations, the ability to manufacture ATEVs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spacing w:after="0" w:line="161" w:lineRule="exact"/>
        <w:rPr>
          <w:sz w:val="20"/>
          <w:szCs w:val="20"/>
          <w:color w:val="auto"/>
        </w:rPr>
      </w:pPr>
    </w:p>
    <w:p>
      <w:pPr>
        <w:ind w:right="240" w:firstLine="324"/>
        <w:spacing w:after="0" w:line="277" w:lineRule="auto"/>
        <w:rPr>
          <w:sz w:val="20"/>
          <w:szCs w:val="20"/>
          <w:color w:val="auto"/>
        </w:rPr>
      </w:pPr>
      <w:r>
        <w:rPr>
          <w:rFonts w:ascii="Times New Roman" w:cs="Times New Roman" w:eastAsia="Times New Roman" w:hAnsi="Times New Roman"/>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ATEV for certain specified indications outside the United States.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2023-07”). The FASB issued this update to improve the disclosures about an entity’s reportable segments, including providing more detailed information about a reportable segment’s expenses, enhancing interim disclosure requirements and providing new segment disclosure requirements for entities with a single reportable segment. This standard is effective for fiscal years beginning after December 15, 2023, and interim periods within fiscal years beginning after December 15, 2024, with early adoption permitted. Entities should apply the amendments retrospectively to all prior periods presented in the financial statements. This ASU is applicable to the Company’s Annual Report on Form 10-K for the fiscal year ending December 31, 2024, and subsequent interim periods. The Company is currently evaluating the impact of adopting ASU 2023-07 on its disclosures included in the notes to the consolidated financial statements.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This standard is effective for fiscal years beginning after December 15, 2024, with early adoption is permitted. Entities should apply the amendments prospectively, with retrospective application permitted. This ASU is applicable to the Company’s Annual Report on Form 10-K for the fiscal year ending December 31, 2025. The Company is currently evaluating the impact of adopting ASU 2023-09 on its disclosures included in the notes to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establishes a hierarchy whereby inputs to valuation techniques used in measuring fair value are prioritized, or the fair value hierarchy. There are three levels to the fair value hierarchy based on reliability of inputs, as follows:</w:t>
      </w:r>
    </w:p>
    <w:p>
      <w:pPr>
        <w:spacing w:after="0" w:line="13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requiring the Company to develop its own assumptions.</w:t>
      </w:r>
    </w:p>
    <w:p>
      <w:pPr>
        <w:spacing w:after="0" w:line="18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The carrying values of cash, prepaid expenses and other current assets, accounts payable and accrued expenses as of September 30, 2024 and December 31, 2023 approximated their fair values due to the short-term nature of these items.</w:t>
      </w:r>
    </w:p>
    <w:p>
      <w:pPr>
        <w:spacing w:after="0" w:line="14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were measured at fair value on a recurring basis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Measured as of September 30, 2024</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Purchase Agreement derivative asset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76,569</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Earnout Liability, Private Placement Warrants liability (each as defined in Note 8 — Stockholders’ Equity (Deficit)), contingent derivative liability related to the Put Option (as defined in Note 6 — Revenue Interest Purchase Agreement and discussed below), Option Agreement liability (as defined in Note 6 — Revenue Interest Purchase Agreement), and the derivative liability associated with the JDRF Agreement Disposition Payment are based on significant unobservable inputs, which represent Level 3 measurements within the fair value hierarchy. The fair values of the Private Placement Warrants liability, the Option Agreement liability and the derivative liability associated with the JDRF Agreement Disposition Payment, are included in other long-term liabilities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0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evaluated the Common Stock Purchase Agreement and determined that the agreement should be accounted for in accordance with ASC 815-40, “</w:t>
      </w:r>
      <w:r>
        <w:rPr>
          <w:rFonts w:ascii="Times New Roman" w:cs="Times New Roman" w:eastAsia="Times New Roman" w:hAnsi="Times New Roman"/>
          <w:sz w:val="18"/>
          <w:szCs w:val="18"/>
          <w:i w:val="1"/>
          <w:iCs w:val="1"/>
          <w:color w:val="auto"/>
        </w:rPr>
        <w:t>Derivatives and Hedging — Contracts on an Entity’s Own Equity”.</w:t>
      </w:r>
      <w:r>
        <w:rPr>
          <w:rFonts w:ascii="Times New Roman" w:cs="Times New Roman" w:eastAsia="Times New Roman" w:hAnsi="Times New Roman"/>
          <w:sz w:val="18"/>
          <w:szCs w:val="18"/>
          <w:color w:val="auto"/>
        </w:rPr>
        <w:t xml:space="preserve"> Accordingly, the Company recorded a derivative asset with an initial fair value based on the 115,705 shares of Common Stock issued to Lincoln Park as consideration for its irrevocable commitment to purchase up to $50.0 million in shares of Common Stock. The initial fair value of $0.7 million was based on the closing price of the Common Stock on September 24, 2024, which was $6.12 per share, and the derivative asset is reported as a component of long-term assets on the condensed consolidated balance sheets. Subsequent changes in the fair value of the derivative asset are dependent upon, among other things, changes in the closing share price of Common Stock, the quantity and purchase price of the shares purchased by Lincoln Park during the reporting period and the unused capacity under the Common Stock Purchase Agreement. The Common Stock Purchase Agreement is subsequently remeasured at each reporting date with changes in fair value recorded as a component of other income (expense), net in the condensed consolidated statements of operations and comprehensive loss. The change in fair value of the derivative asset between the September 24, 2024 issuance date and September 30, 2024 was insignificant.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Earnout Liability: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4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r>
      <w:tr>
        <w:trPr>
          <w:trHeight w:val="230"/>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w:t>
            </w: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(Deficit)). Contingent earnout payments involve certain assumptions requiring significant judgment and actual results can differ from assumed and estimated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 Liability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Private Placement Warrants liability: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4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8 — Stockholders’ Equity (Deficit)).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derivative liability</w:t>
      </w:r>
    </w:p>
    <w:p>
      <w:pPr>
        <w:spacing w:after="0" w:line="20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debt pursuant to the Purchase Agreement, as defined in Note 6, contains an embedded derivative related to the Put Option, as defined in Note 6,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the discount rates used to calculate the value of the contingent derivative liability were 14.0% to calculate the present-value of the revenue forecast and 18.4% to calculate the present-value of the payoff of the Put Option. As of December 31, 2023, the discount rates used to calculate the value of the contingent derivative liability were 14.5% to calculate the present-value of the revenue forecast and 17.1% to calculate the present-value of the payoff of the Put Option. Changes in fair value of the contingent derivative liability are recognized as other income (expense) in the condensed consolidated statements of operations and comprehensive loss, classified in change in fair value of derivative liabilities.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derivative liability, which is classified as a Level 3 financial instrument.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Contingent Derivative Liability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6"/>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4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embedded derivative upon issuance of debt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1,083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4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and manufacturing equipment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totaled $1.3 million and $3.8 million for the three and nine months ended September 30, 2024, respectively, and $1.3 million and $4.3 million for the three and nine months ended September 30, 2023, respectively. All long-lived assets are maintained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3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94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80" w:firstLine="8"/>
        <w:spacing w:after="0" w:line="456"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Interest Purchase Agreement Revenue Interest Purchase Agreement</w:t>
      </w: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May 12, 2023, the Company and Global entered into the Purchase Agreement with the Purchasers, and another affiliate of Oberland Capital Management LLC, as agent for the Purchasers, to obtain financing with respect to the further development and commercialization of the Company’s ATEV, to repay the Company’s then-existing credit facility with SVB, and for other general corporate purposes. Pursuant to the Purchase Agreement, on May 12, 2023, the Purchasers purchased certain revenue interests (the “Revenue Interests”) from Global in exchange for an aggregate investment amount of up to $150.0 million (the “Investment Amount”) to be paid in multiple tranches. On May 12, 2023, the Company received an initial payment of $40.0 million, less certain transaction expenses, which was used to repay in full the Company’s then-existing obligations under the Loan Agreement with SVB, as defined in Note 7 — Debt. In February 2024, the FDA accepted the Company’s BLA for an indication in vascular trauma, and in accordance with the Purchase Agreement, on March 11, 2024, the Company received a subsequent installment of $20.0 million.</w:t>
      </w:r>
    </w:p>
    <w:p>
      <w:pPr>
        <w:spacing w:after="0" w:line="165" w:lineRule="exact"/>
        <w:rPr>
          <w:sz w:val="20"/>
          <w:szCs w:val="20"/>
          <w:color w:val="auto"/>
        </w:rPr>
      </w:pPr>
    </w:p>
    <w:p>
      <w:pPr>
        <w:jc w:val="both"/>
        <w:ind w:right="16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is entitled to receive up to approximately $90.0 million in subsequent installments subject to the terms and conditions set forth in the Purchase Agreement, as follows: (i) $40.0 million, at the Company’s option, upon the Company receiving FDA approval of the ATEV for the vascular trauma indication on or prior to December 31, 2024 and (ii) $50.0 million, at the Company’s option, upon reaching $35.0 million trailing worldwide three-month net sales any time prior to December 31, 2025. Each tranche is dependent on the satisfaction of the conditions and receipt of funds from the previous tranche.</w:t>
      </w:r>
    </w:p>
    <w:p>
      <w:pPr>
        <w:spacing w:after="0" w:line="14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13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the Test Date, the Purchase Agreement will instead terminate on the date on which the Purchasers receive Revenue Interest Payments of 195% of the Cumulative Purchaser Payments.</w:t>
      </w:r>
    </w:p>
    <w:p>
      <w:pPr>
        <w:spacing w:after="0" w:line="16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(i) the Put Option is exercised by May 12, 2026, or (ii) the Call Option is exercised on or prior to May 12, 2026, then in each case, the required repurchase price will be 175% of the Cumulative Purchaser Payments (minus the aggregate Revenue Interest Payments Global has made to the Purchasers as of such date). If a Put Option or Call Option is exercised after May 12, 2026, the required repurchase price will be 195% of the Cumulative Purchaser Payments (minus the aggregate Revenue Interest Payments Global has made to the Purchasers as of such date).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the effect of which was to remove requirements related to the leasehold mortgage. In exchange for the removal of these requirements, the Company funded an account in an amount of $54.0 million on August 14, 2024, over which the Agent has certain consent and other rights to $50.0 million of the funds. As of September 30, 2024, $50.0 million of the funded account was classified as long-term restricted cash on the accompanying condensed consolidated balance sheets.</w:t>
      </w:r>
    </w:p>
    <w:p>
      <w:pPr>
        <w:spacing w:after="0" w:line="15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its subsidiaries’ assets.</w:t>
      </w:r>
    </w:p>
    <w:p>
      <w:pPr>
        <w:spacing w:after="0" w:line="14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Purchase Agreement is considered a sale of future revenues and accounted for as long-term debt recorded at amortized cost using the interest method.</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 revenue interest liability related to the Purchase Agreement on the accompanying condensed consolidated balance sheet on the date the Company entered into the Purchase Agreement, net of a debt discount comprised of $2.1 million issuance costs and transaction costs,</w:t>
      </w:r>
    </w:p>
    <w:p>
      <w:pPr>
        <w:spacing w:after="0" w:line="251" w:lineRule="auto"/>
        <w:rPr>
          <w:sz w:val="20"/>
          <w:szCs w:val="20"/>
          <w:color w:val="auto"/>
        </w:rPr>
      </w:pPr>
      <w:r>
        <w:rPr>
          <w:rFonts w:ascii="Times New Roman" w:cs="Times New Roman" w:eastAsia="Times New Roman" w:hAnsi="Times New Roman"/>
          <w:sz w:val="18"/>
          <w:szCs w:val="18"/>
          <w:color w:val="auto"/>
        </w:rPr>
        <w:t>$0.1 million fair value allocated to the Option Agreement, defined below, and the $2.4 million initial fair value of the bifurcated contingent derivative liability related to the Put Option. The revenue interest liability is based on the Company’s contractual repayment obligation to the Purchasers, based on the current estimates of future revenues, over the life of the Purchase Agreement. The Company imputes interest expense associated with this liability using the interest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Company evaluates the interest rate quarterly based on its current net sales forecasts. If the level and timing of any forecasted net sales and related payments change, the Company prospectively adjusts the effective interest and the related amortization of the liability and related issuance costs on a quarterly basis.</w:t>
      </w:r>
    </w:p>
    <w:p>
      <w:pPr>
        <w:spacing w:after="0" w:line="15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2024 and December 31, 2023, $62.1 million and $38.6 million, respectively, was recorded as a revenue interest liability. The estimated effective annual interest rate as of September 30, 2024 and December 31, 2023 was 13.6% and 14.1%, respectively. The Company recorded $2.0 million and $5.6 million in interest expense related to the Purchase Agreement for the three and nine months ended September 30, 2024, respectively, and recorded $1.0 million and $1.8 million in interest expense related to the Purchase Agreement for the three and nine month ended September 30, 2023, respectively. The Company incurred and paid $0.5 million of transaction costs during the nine months ended September 30, 2024 in connection with the Purchase Agreement. The transaction costs were capitalized to debt discount and are being amortized to interest expense over the estimated term of the debt, consistent with the issuance and transaction costs incurred in 2023 discussed above.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Put Option under the Purchase Agreement that is exercisable by the Purchasers upon certain contingent events was determined to be an embedded derivative requiring bifurcation and separately accounted for as a single compound derivative instrument. At May 12, 2023, the Company recorded the initial fair value of the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is being amortized to interest expense over the expected term of the debt using the interest method. See Note 3 — Fair Value Measurements for a further discussion of the fair value of the contingent derivative liability associated with the Put Option.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Revenue Interest Payments made as a result of the Company’s net product sales will reduce the revenue interest liability. During the three and nine months ended September 30, 2024 and 2023, the Company did not record any product sales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and nine months ended September 30,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29"/>
        </w:trPr>
        <w:tc>
          <w:tcPr>
            <w:tcW w:w="9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revenue interest purchase agreement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discount from embedded contingent derivative liability</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30"/>
        </w:trPr>
        <w:tc>
          <w:tcPr>
            <w:tcW w:w="9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 accrued at March 31, 2024</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March 31, 2024</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57,959</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June 30, 2024</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60,078</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September 30, 2024</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62,117</w:t>
            </w: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the Company also entered into an option agreement with TPC Investments III LP and TPC Investment Solutions LP (the “Option Agreement”), which gave TPC Investments III LP and TPC Investment Solutions LP (the “Holders”) the right to purchase, in the aggregate, up to $10.0 million worth of shares of Common Stock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 The Holders purchased $1,950,000 of shares of Common Stock in the February 29, 2024 Offering, as defined in Note 8, and the Holders have the right to purchase up to $8,050,000 of shares of Common Stock under the Option Agreement.</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condensed consolidated balance sheet at an initial fair value of $55 thousand, with subsequent changes in the fair value to be recognized in the condensed consolidated statements of operations and comprehensive loss at each reporting date. The fair value of the Option Agreement liability as of September 30, 2024 and December 31, 2023 was $86 thousand and $35 thousand,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on May 12, 2023, $40.0 million, less certain transaction expenses, was funded to the Company, which was used to repay in full the Company’s existing obligations under its term loan agreement with SVB and SVB Innovation Credit Fund VIII, L.P., entered into on March 30, 2021, as amended in June 2021 and September 2021 (the “Loan Agreement”).</w:t>
      </w:r>
    </w:p>
    <w:p>
      <w:pPr>
        <w:spacing w:after="0" w:line="13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termination of the Loan Agreement, the Company paid a prepayment premium of $0.3 million and recorded a loss on extinguishment of debt of $2.4 million during the nine months ended September 30, 2023 in other income (expense), net in the condensed consolidated statements of operations and comprehensive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720" w:firstLine="8"/>
        <w:spacing w:after="0" w:line="464"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 Public Offering</w:t>
      </w: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29, 2024, the Company entered into an underwriting agreement (the “Underwriting Agreement”) with Cowen and Company, LLC and Cantor Fitzgerald &amp; Co., as representatives of the several underwriters named therein (collectively, the “Underwriters”), relating to the issuance and sale in an underwritten offering (the “Offering”) of 15,410,000 shares of Common Stock, which included a full exercise of the Underwriters’ option to purchase additional shares, at a price to the public of $3.00 per share. The net proceeds to the Company from the Offering were approximately $43.0 million after deducting underwriting discounts and commissions and Offering expenses. The Offering closed on March 5,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Financing</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September 24, 2024, the Company entered into the Common Stock Purchase Agreement with Lincoln Park for an equity line financing, which provides that, subject to the terms and conditions set forth therein, the Company has the sole right, but not the obligation, to sell to Lincoln Park shares of Common Stock having an aggregate value of up to $50.0 million over a 24-month period. The Company controls the timing and amount of any sales of Purchase Shares to Lincoln Park pursuant to the Common Stock Purchase Agreement in its sole discretion. In consideration for entering into the Common Stock Purchase Agreement, the Company issued 115,705 shares of Common Stock (the “Commitment Shares”) to Lincoln Park. The Company did not receive any cash proceeds from the issuance of the Commitment Shares. The fair value of the Common Stock Purchase Agreement was measured on the issuance date based on the fair value of the Commitment Shares, which was the consideration given to Lincoln Park in exchange for entering into the agreement. The fair value of the Commitment Shares on the issuance date was determined to be $0.7 million based on the closing price of the Common Stock on September 24, 2024, which was $6.12 per share. The Company recognized the fair value of the Commitment Shares as a non-current asset as a component of long-term assets on the condensed consolidated balance sheets. The Common Stock Purchase Agreement is subsequently remeasured at each reporting date with changes in fair value recorded as a component of other income (expense), net in the condensed consolidated statements of operations and comprehensive loss. As of September 30, 2024, the Company has sold 200,000 shares to Lincoln Park for aggregate gross proceeds of $1.0 million, and the Company had $49.0 million in remaining availability for sales of Common Stock under the Common Stock Purchase Agreement. From September 30, 2024 through November 8 2024, the Company sold 300,000 shares to Lincoln Park for aggregate gross proceeds of $1.5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in interest of the Common Stock.</w:t>
      </w:r>
    </w:p>
    <w:p>
      <w:pPr>
        <w:spacing w:after="0" w:line="13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from time to time as may be declared by the Company’s board of directors. Through September 30, 2024, no dividends have been declared. The Purchase Agreement limits the Company’s ability to pay cash dividends to the holders of Common Stock.</w:t>
      </w:r>
    </w:p>
    <w:p>
      <w:pPr>
        <w:spacing w:after="0" w:line="14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the event of a reorganization of the Company, after payment to any preferred stockholders of their liquidation preferences, holders of Common Stock are entitled to share ratably in all remaining assets of the Company.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the Company had reserved Common Stock for future issuances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3"/>
                <w:szCs w:val="13"/>
                <w:color w:val="auto"/>
              </w:rPr>
            </w:pPr>
          </w:p>
        </w:tc>
        <w:tc>
          <w:tcPr>
            <w:tcW w:w="14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r>
      <w:tr>
        <w:trPr>
          <w:trHeight w:val="195"/>
        </w:trPr>
        <w:tc>
          <w:tcPr>
            <w:tcW w:w="95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60" w:type="dxa"/>
            <w:vAlign w:val="bottom"/>
            <w:shd w:val="clear" w:color="auto" w:fill="CCEEFF"/>
          </w:tcPr>
          <w:p>
            <w:pPr>
              <w:spacing w:after="0"/>
              <w:rPr>
                <w:sz w:val="19"/>
                <w:szCs w:val="19"/>
                <w:color w:val="auto"/>
              </w:rPr>
            </w:pP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reserved for Common Stock Purchase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12,300,000</w:t>
            </w:r>
          </w:p>
        </w:tc>
        <w:tc>
          <w:tcPr>
            <w:tcW w:w="260" w:type="dxa"/>
            <w:vAlign w:val="bottom"/>
          </w:tcPr>
          <w:p>
            <w:pPr>
              <w:spacing w:after="0"/>
              <w:rPr>
                <w:sz w:val="19"/>
                <w:szCs w:val="19"/>
                <w:color w:val="auto"/>
              </w:rPr>
            </w:pPr>
          </w:p>
        </w:tc>
      </w:tr>
      <w:tr>
        <w:trPr>
          <w:trHeight w:val="23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Option Agreement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1,073,333</w:t>
            </w:r>
          </w:p>
        </w:tc>
        <w:tc>
          <w:tcPr>
            <w:tcW w:w="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3"/>
              </w:rPr>
              <w:t>(1)</w:t>
            </w: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options outstanding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12,287,369</w:t>
            </w:r>
          </w:p>
        </w:tc>
        <w:tc>
          <w:tcPr>
            <w:tcW w:w="260" w:type="dxa"/>
            <w:vAlign w:val="bottom"/>
          </w:tcPr>
          <w:p>
            <w:pPr>
              <w:spacing w:after="0"/>
              <w:rPr>
                <w:sz w:val="19"/>
                <w:szCs w:val="19"/>
                <w:color w:val="auto"/>
              </w:rPr>
            </w:pPr>
          </w:p>
        </w:tc>
      </w:tr>
      <w:tr>
        <w:trPr>
          <w:trHeight w:val="229"/>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available for issuance under stock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5,864,288</w:t>
            </w:r>
          </w:p>
        </w:tc>
        <w:tc>
          <w:tcPr>
            <w:tcW w:w="260" w:type="dxa"/>
            <w:vAlign w:val="bottom"/>
            <w:shd w:val="clear" w:color="auto" w:fill="CCEEFF"/>
          </w:tcPr>
          <w:p>
            <w:pPr>
              <w:spacing w:after="0"/>
              <w:rPr>
                <w:sz w:val="19"/>
                <w:szCs w:val="19"/>
                <w:color w:val="auto"/>
              </w:rPr>
            </w:pPr>
          </w:p>
        </w:tc>
      </w:tr>
      <w:tr>
        <w:trPr>
          <w:trHeight w:val="23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1,030,033</w:t>
            </w:r>
          </w:p>
        </w:tc>
        <w:tc>
          <w:tcPr>
            <w:tcW w:w="260" w:type="dxa"/>
            <w:vAlign w:val="bottom"/>
          </w:tcPr>
          <w:p>
            <w:pPr>
              <w:spacing w:after="0"/>
              <w:rPr>
                <w:sz w:val="19"/>
                <w:szCs w:val="19"/>
                <w:color w:val="auto"/>
              </w:rPr>
            </w:pPr>
          </w:p>
        </w:tc>
      </w:tr>
      <w:tr>
        <w:trPr>
          <w:trHeight w:val="229"/>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260" w:type="dxa"/>
            <w:vAlign w:val="bottom"/>
            <w:shd w:val="clear" w:color="auto" w:fill="CCEEFF"/>
          </w:tcPr>
          <w:p>
            <w:pPr>
              <w:spacing w:after="0"/>
              <w:rPr>
                <w:sz w:val="19"/>
                <w:szCs w:val="19"/>
                <w:color w:val="auto"/>
              </w:rPr>
            </w:pPr>
          </w:p>
        </w:tc>
      </w:tr>
      <w:tr>
        <w:trPr>
          <w:trHeight w:val="223"/>
        </w:trPr>
        <w:tc>
          <w:tcPr>
            <w:tcW w:w="95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53,143,529</w:t>
            </w:r>
          </w:p>
        </w:tc>
        <w:tc>
          <w:tcPr>
            <w:tcW w:w="26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40" w:right="540" w:hanging="332"/>
        <w:spacing w:after="0" w:line="282" w:lineRule="auto"/>
        <w:tabs>
          <w:tab w:leader="none" w:pos="334"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Assumes the exercise of the $8,050,000 </w:t>
      </w:r>
      <w:r>
        <w:rPr>
          <w:rFonts w:ascii="Times New Roman" w:cs="Times New Roman" w:eastAsia="Times New Roman" w:hAnsi="Times New Roman"/>
          <w:sz w:val="18"/>
          <w:szCs w:val="18"/>
          <w:color w:val="000000"/>
        </w:rPr>
        <w:t>of shares of Common Stock remaining</w:t>
      </w:r>
      <w:r>
        <w:rPr>
          <w:rFonts w:ascii="Times New Roman" w:cs="Times New Roman" w:eastAsia="Times New Roman" w:hAnsi="Times New Roman"/>
          <w:sz w:val="18"/>
          <w:szCs w:val="18"/>
          <w:color w:val="231F20"/>
        </w:rPr>
        <w:t xml:space="preserve"> under the Option as provided for in the Option Agreement at the minimum purchase price of $7.50 per share.</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See Note 13 — Subsequent Events for a summary of Common Stock and warrants issued as part of the Registered Direct Offering that closed on October 7,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certificate of designations. Voting powers, designations, powers, preferences and relative, participating, optional, special and other rights shall be stated and expressed in such resolutions. There were 20,000,000 shares designated as preferred stock and none were outstanding as of September 30, 2024 and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the following Common Stock warrants outstanding as of September 30, 2024 and December 31,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6"/>
        </w:trPr>
        <w:tc>
          <w:tcPr>
            <w:tcW w:w="97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256"/>
        </w:trPr>
        <w:tc>
          <w:tcPr>
            <w:tcW w:w="97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Company’s Loan Agreement, in 2021 the Company granted warrants to the lenders to purchase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the Common Stock. There were no issuances, exercises or expirations of warrants during the nine months ended September 30, 2024 or September 30, 2023. In connection with the Registered Direct Offering, the Company issued warrants to purchase 5,681,820 shares of Common Stock. See Note 13 — Subsequent Events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Company then evaluated the Common Stock Warrants under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w:t>
      </w:r>
    </w:p>
    <w:p>
      <w:pPr>
        <w:spacing w:after="0" w:line="15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Public Warrants are considered to be “indexed to the Company’s own stock.” The agreement provides that in the event of a tender or exchange offer made to and accepted by holders of more than 50% of the outstanding shares of the Company’s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Common Stock will always result in a change in control and would not preclude permanent equity classification of the Public Warrants. Based on this evaluation, the Company concluded that the Public Warrants meet the criteria to be classified within stockholders’ equity. The Public Warrants were initially recognized as equity on the Closing Date at a fair value of $2.80 per share.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8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w:t>
      </w:r>
    </w:p>
    <w:p>
      <w:pPr>
        <w:spacing w:after="0" w:line="14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Private Placement Warrants were initially recognized as a liability on the Closing Date, at a fair value of $0.6 million. See Note 3 — Fair Value Measurements for a summary of the change in the fair value of the Private Placement Warrants during the three and nine months ended September 30, 2024 and 2023. The remeasurement of the Private Placement Warrant liability to a fair value of $0.4 million as of September 30, 2024 from $0.1 million as of December 31, 2023 resulted in non-cash losses of $0.1 million and $0.3 million for the three and nine months ended September 30, 2024, respectively, compared to an insignificant non-cash gain for the three months ended September 30, 2023 and a non-cash loss of $0.1 million for the nine months ended September 30, 2023. The remeasurement of the Private Placement Warrant liability is classified within Change in fair value of derivatives in the condensed consolidated statements of operations and comprehensive loss.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Monte Carlo simulation value model: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(“VWAP”) per share of Common Stock quoted on The Nasdaq Stock Market LLC (“Nasdaq”) (or the exchange on which the shares of Common Stock are then listed), is greater or equal to $15.00 and $20.00, respectively, over any 20 trading days within any 30 consecutive trading day period.</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income (expense), net in the condensed consolidated statements of operations and comprehensive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spacing w:after="0" w:line="147"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See Note 3 — Fair Value Measurements for a summary of the change in the fair value of the Contingent Earnout Liability during the three and nine months ended September 30, 2024 and 2023. The remeasurement of the Contingent Earnout Liability to a fair value of $76.6 million as of September 30, 2024, from a fair value of $37.9 million as of December 31, 2023, resulted in non-cash losses of $8.5 million and $38.7 million for the three and nine months ended September 30, 2024, respectively, compared to non-cash losses of $1.1 million and $11.7 million for the three and nine months ended September 30, 2023, respectively, related to the remeasurement of the Contingent Earnout Liability.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Assumptions used in the valuations are described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40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905"/>
        </w:trPr>
        <w:tc>
          <w:tcPr>
            <w:tcW w:w="3880" w:type="dxa"/>
            <w:vAlign w:val="bottom"/>
          </w:tcPr>
          <w:p>
            <w:pPr>
              <w:spacing w:after="0"/>
              <w:rPr>
                <w:sz w:val="24"/>
                <w:szCs w:val="24"/>
                <w:color w:val="auto"/>
              </w:rPr>
            </w:pPr>
          </w:p>
        </w:tc>
        <w:tc>
          <w:tcPr>
            <w:tcW w:w="406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Common Stock at the lower of 85% of the closing trading price per share of Common Stock on the first day of the offering or 85% of the closing trading price per share on the exercise date, which will occur on the last day of each offering.</w:t>
      </w:r>
    </w:p>
    <w:p>
      <w:pPr>
        <w:spacing w:after="0" w:line="14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2021 Plan and ESPP provide that on January 1 of each year commencing January 1, 2022, the 2021 Plan and the ESPP reserve will automatically increase in an amount equal to the lesser of (a) 5% and 1%, respectively, of the number of shares of Common Stock outstanding on December 31 of the preceding year and (b) a number of shares of Common Stock determined by the Company’s board of directors. The Company’s board of directors determined that there would be no automatic increase in the number of shares reserved under the 2021 Plan on either January 1, 2022 or January 1, 2023. The 2021 Plan share reserve automatically increased on January 1, 2024 by 5,183,686 shares, which was equivalent to 5% of the number of shares of Common Stock outstanding on December 31, 2023. Since the inception of the ESPP, the Company’s board of directors has determined that there would be no automatic increase in the number of shares reserved under the ESPP. As of September 30, 2024, 5,864,288 and 1,030,033 shares of Common Stock were available under the 2021 Plan and ESPP, respectively.</w:t>
      </w:r>
    </w:p>
    <w:p>
      <w:pPr>
        <w:spacing w:after="0" w:line="16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Prior to the Closing, Legacy Humacyte had two equity incentive plans, the 2015 Omnibus Incentive Plan, as amended (the “2015 Plan”), and the 2005 Stock Option Plan (the “2005 Plan”). As a result of the Merger, no further awards will be granted under either the 2015 Plan or the 2005 Plan. All awards previously granted and outstanding as of the effective date of the Merger were adjusted to reflect the impact of the Merger as set forth in the Merger Agreement, but otherwise retained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September 30, 2024, 8,558,936, 3,726,781 and 1,652 shares of Common Stock remain reserved for outstanding options issued under the 2021 Plan, the 2015 Plan and the 2005 Plan, respectively. The Company has sufficient authorized and unissued shares to issue Common Stock in satisfaction of any outstanding awards and any awards available for grant under the 2021 Plan.</w:t>
      </w:r>
    </w:p>
    <w:p>
      <w:pPr>
        <w:spacing w:after="0" w:line="15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Common Stock at the date of grant.</w:t>
      </w:r>
    </w:p>
    <w:p>
      <w:pPr>
        <w:spacing w:after="0" w:line="13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6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stock options on the date of grant using the following assumptions in the Black-Scholes option-pricing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760" w:type="dxa"/>
            <w:vAlign w:val="bottom"/>
            <w:gridSpan w:val="2"/>
          </w:tcPr>
          <w:p>
            <w:pPr>
              <w:spacing w:after="0"/>
              <w:rPr>
                <w:sz w:val="2"/>
                <w:szCs w:val="2"/>
                <w:color w:val="auto"/>
              </w:rPr>
            </w:pPr>
          </w:p>
        </w:tc>
        <w:tc>
          <w:tcPr>
            <w:tcW w:w="17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4760" w:type="dxa"/>
            <w:vAlign w:val="bottom"/>
          </w:tcPr>
          <w:p>
            <w:pPr>
              <w:spacing w:after="0"/>
              <w:rPr>
                <w:sz w:val="16"/>
                <w:szCs w:val="16"/>
                <w:color w:val="auto"/>
              </w:rPr>
            </w:pPr>
          </w:p>
        </w:tc>
        <w:tc>
          <w:tcPr>
            <w:tcW w:w="10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2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476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175"/>
        </w:trPr>
        <w:tc>
          <w:tcPr>
            <w:tcW w:w="5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share price volatility (weighted average and range, if</w:t>
            </w: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15"/>
                <w:szCs w:val="15"/>
                <w:color w:val="auto"/>
              </w:rPr>
            </w:pPr>
          </w:p>
        </w:tc>
        <w:tc>
          <w:tcPr>
            <w:tcW w:w="1640" w:type="dxa"/>
            <w:vAlign w:val="bottom"/>
            <w:gridSpan w:val="2"/>
          </w:tcPr>
          <w:p>
            <w:pPr>
              <w:ind w:left="440"/>
              <w:spacing w:after="0" w:line="175" w:lineRule="exact"/>
              <w:rPr>
                <w:sz w:val="20"/>
                <w:szCs w:val="20"/>
                <w:color w:val="auto"/>
              </w:rPr>
            </w:pPr>
            <w:r>
              <w:rPr>
                <w:rFonts w:ascii="Times New Roman" w:cs="Times New Roman" w:eastAsia="Times New Roman" w:hAnsi="Times New Roman"/>
                <w:sz w:val="16"/>
                <w:szCs w:val="16"/>
                <w:color w:val="auto"/>
              </w:rPr>
              <w:t>91.8% (90.8% to</w:t>
            </w:r>
          </w:p>
        </w:tc>
        <w:tc>
          <w:tcPr>
            <w:tcW w:w="15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89.0% (88.6% to</w:t>
            </w:r>
          </w:p>
        </w:tc>
      </w:tr>
      <w:tr>
        <w:trPr>
          <w:trHeight w:val="243"/>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applicable)</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203"/>
        </w:trPr>
        <w:tc>
          <w:tcPr>
            <w:tcW w:w="57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Risk-free interest rate (weighted average and range, if</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4.12% (3.54% to</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 (3.58% to</w:t>
            </w:r>
          </w:p>
        </w:tc>
      </w:tr>
      <w:tr>
        <w:trPr>
          <w:trHeight w:val="216"/>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3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5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0"/>
                <w:szCs w:val="20"/>
                <w:color w:val="auto"/>
              </w:rPr>
            </w:pPr>
          </w:p>
        </w:tc>
        <w:tc>
          <w:tcPr>
            <w:tcW w:w="15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6.25</w:t>
            </w:r>
          </w:p>
        </w:tc>
      </w:tr>
    </w:tbl>
    <w:p>
      <w:pPr>
        <w:spacing w:after="0" w:line="24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the Common Stock has been determined based on the closing price of the shares on Nasdaq.</w:t>
      </w:r>
    </w:p>
    <w:p>
      <w:pPr>
        <w:spacing w:after="0" w:line="198"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was determined based on a blended approach using the historical share volatility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duration to the expected term of the options.</w:t>
      </w:r>
    </w:p>
    <w:p>
      <w:pPr>
        <w:spacing w:after="0" w:line="131"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Company has estimated the dividend yield to be zero.</w:t>
      </w:r>
    </w:p>
    <w:p>
      <w:pPr>
        <w:spacing w:after="0" w:line="16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stock-based compensation expense included in the condensed consolidated statements of operations and comprehensive loss for the three and nine months ended September 30,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cost for options was $19.3 million and is expected to be recognized over a weighted-average period of 2.9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option activity under the Company’s stock option plans during the nine months ended September 30, 2024 is presented below:</w:t>
      </w:r>
    </w:p>
    <w:p>
      <w:pPr>
        <w:spacing w:after="0" w:line="19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8500"/>
        <w:spacing w:after="0" w:line="221"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4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360" w:type="dxa"/>
            <w:vAlign w:val="bottom"/>
          </w:tcPr>
          <w:p>
            <w:pPr>
              <w:jc w:val="center"/>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(685,895)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September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4,453,743</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3,338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September 30,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September 30, 2024. The Company’s effective federal and state tax rate for the three and nine months ended September 30, 2024 and 2023 was 0%, primarily as a result of estimated net operating losses for the fiscal year to date offset by the increase in the valuation allowance against its deferred tax asset.</w:t>
      </w:r>
    </w:p>
    <w:p>
      <w:pPr>
        <w:spacing w:after="0" w:line="14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record any income tax expense or benefit during the three and nine months ended September 30, 2024 and 2023.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172" w:lineRule="exact"/>
        <w:rPr>
          <w:sz w:val="20"/>
          <w:szCs w:val="20"/>
          <w:color w:val="auto"/>
        </w:rPr>
      </w:pPr>
    </w:p>
    <w:p>
      <w:pPr>
        <w:ind w:right="8420" w:firstLine="8"/>
        <w:spacing w:after="0" w:line="462" w:lineRule="auto"/>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Patent License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Duke University</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March 2006, the Company entered into a license agreement with Duke University (“Duke”), which was subsequently amended in 2011, 2014, 2015, 2018, 2019 and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connection with the Company’s entry into the license agreement, the Company granted equity consideration to Duke in the form of 52,693 shares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Under the license agreement, the Company also agreed to pay Duke:</w:t>
      </w:r>
    </w:p>
    <w:p>
      <w:pPr>
        <w:spacing w:after="0" w:line="166" w:lineRule="exact"/>
        <w:rPr>
          <w:sz w:val="20"/>
          <w:szCs w:val="20"/>
          <w:color w:val="auto"/>
        </w:rPr>
      </w:pPr>
    </w:p>
    <w:p>
      <w:pPr>
        <w:ind w:left="660" w:right="5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eligible sales of licensed products and licensed services, plus a low double-digit percentage of any sublicensing revenue;</w:t>
      </w:r>
    </w:p>
    <w:p>
      <w:pPr>
        <w:spacing w:after="0" w:line="13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in license fees, as certain milestones are met.</w:t>
      </w:r>
    </w:p>
    <w:p>
      <w:pPr>
        <w:spacing w:after="0" w:line="18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Company filed a BLA with the FDA for urgent arterial repair following extremity vascular trauma when synthetic graft is not indicated, and when autologous vein use is not feasible. Based on the achievement of this milestone under the Duke license agreement, the Company recorded license expense payable of $0.5 million in accounts payable in the Company’s condensed consolidated balance sheets as of December 31, 2023. The Company paid the $0.5 million license fee to Duke during the first quarter of 2024. Other payments to Duke under the license agreement were immaterial during the periods presented.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University (“Yale”) that granted the Company a worldwide license to the patents related to the biovascular pancreas (“BVP”) product candidate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Tubular Prosthesis License Agreement up to a maximum of less than $0.1 million per year for this license.</w:t>
      </w:r>
    </w:p>
    <w:p>
      <w:pPr>
        <w:spacing w:after="0" w:line="14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its entry into the Tubular Prosthesis License Agreement, the Company paid Yale upfront cash fees. The Company has also agreed to pay Yale:</w:t>
      </w:r>
    </w:p>
    <w:p>
      <w:pPr>
        <w:spacing w:after="0" w:line="121" w:lineRule="exact"/>
        <w:rPr>
          <w:sz w:val="20"/>
          <w:szCs w:val="20"/>
          <w:color w:val="auto"/>
        </w:rPr>
      </w:pPr>
    </w:p>
    <w:p>
      <w:pPr>
        <w:ind w:left="660" w:right="2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maintenance fees, increasing annually until the fifth anniversary for the BVP License Agreement and until the fourth anniversary for the Tubular Prostheses License Agreement up to a maximum of less than $0.1 million per year;</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upon achievement of certain regulatory and commercial milestones of $0.2 million and $0.6 million, respectively;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worldwide net sales, subject to reductions for third-party license fees;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double-digit percentage of sublicensing income.</w:t>
      </w:r>
    </w:p>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2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Agreement</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April 1, 2023, the Company entered into an Industry Discovery and Development Partnership Agreement with Breakthrough T1D (f/k/a JDRF International) (“JDRF,” and such agreement, the “JDRF Agreement”) to further develop and perform preclinical testing of the BVP, a product candidate designed to deliver insulin-producing islets using the ATEV as a means of treating patients with type 1 diabetes. 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received the first milestone payment of $80 thousand in April 2023 upon execution of the JDRF Agreement. In May 2024, the Company received the second milestone payment of $90 thousand and the third milestone payment of $150 thousand, based upon the achievement of certain research and development milestones specified in the JDRF Agreement. As of September 30, 2024, the Actual Award totaled $320 thousand.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Company determined that the JDRF Actual Award payments are to be classified as long-term debt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condensed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The JDRF liability related to the Actual Award payments is reported at amortized cost and is included in other long-term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in the condensed consolidated balance sheets. As of September 30, 2024 and December 31, 2023, the carrying value of the JDRF liability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thousand and $69 thousand, respectively. There was an insignificant amount of interest expense related to the JDRF liability recorded in each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JDRF Agreement, the Company has agreed to pay JDRF:</w:t>
      </w:r>
    </w:p>
    <w:p>
      <w:pPr>
        <w:spacing w:after="0" w:line="198" w:lineRule="exact"/>
        <w:rPr>
          <w:sz w:val="20"/>
          <w:szCs w:val="20"/>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royalty equal to the Actual Award at a specified payment date after net sales exceed $250 million; and</w:t>
      </w:r>
    </w:p>
    <w:p>
      <w:pPr>
        <w:spacing w:after="0" w:line="184"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“Disposition Payment”). The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loss, classified in change in fair value of derivatives.</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on previously received milestone payments would remain due after a termination by JDRF without cause.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Fresenius Medical Care investments and distribution agreement</w:t>
      </w:r>
    </w:p>
    <w:p>
      <w:pPr>
        <w:spacing w:after="0" w:line="20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Date converted into 15,812,735 shares of Common Stock. In August 2021, Fresenius Medical Care invested $25 million as part of a private placement offering related to the Merger (the “PIPE Financing”) and received an additional 2.5 million shares of Common Stock.</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Company’s 6 millimeter x 42 centimeter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5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6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5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firstLine="8"/>
        <w:spacing w:after="0" w:line="253"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Frenova Renal Research</w:t>
      </w:r>
    </w:p>
    <w:p>
      <w:pPr>
        <w:spacing w:after="0" w:line="20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May 2022 and June 2023, the Company entered into three services agreements with Frenova Renal Research (“Frenova”), a subsidiary of Fresenius Medical Care, to conduct a study to review the outcomes of 178,575 adult patients who received in-center dialysis at Fresenius Kidney Care dialysis centers. The Company expensed an insignificant amount and approximately $0.2 million for clinical research services performed by Frenova during the three and nine months ended September 30, 2023, respectively, related to these agreements. As of September 30, 2023, the clinical research services contracted for under these agreements with Frenova were fully complete and no further expenses have been incurred related to these agreements.</w:t>
      </w:r>
    </w:p>
    <w:p>
      <w:pPr>
        <w:spacing w:after="0" w:line="14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June 2024, the Company entered into a master services agreement with Frenova that sets forth the terms by which the Company may engage Frenova to provide certain services for projects, with the services for each project being described in a separate statement of work. As of September 30, 2024, Frenova was engaged to perform clinical research services related to the Company’s V012 Phase 3 clinical trial. During the three and nine months ended September 30, 2024, amounts expensed in relation to this agreement with Frenova were insignificant.</w:t>
      </w:r>
    </w:p>
    <w:p>
      <w:pPr>
        <w:spacing w:after="0" w:line="13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July 2024, the Company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 During each of the three and nine months ended September 30, 2024, amounts expensed in relation to this agreement with Fresenius GmbH were approximately $0.1 million. As of September 30, 2024, there was $0.1 million payable to Fresenius GmbH included in accounts payable on the Company’s consolidated balance sheets. During the three and nine months September 30, 2023, there was no and $0.1 million of expense recognized, respectively, for services performed by Fresenius GmbH.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Yale University</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Company’s President and Chief Executive Officer, Laura Niklason M.D., PhD., serves as an Adjunct Professor in Anesthesia at Yale University. As of September 30, 2024 and December 31, 2023, the Company was a party to license agreements with Yale University as described in Note 11 — Commitments and Contingencies above. Amounts expensed in relation to the license agreements with Yale University were insignificant during the three months ended September 30, 2024 and 2023. Amounts expensed in relation to the license agreements with Yale University were $0.1 million during each of the nine months ended September 30, 2024 and 2023.</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940" w:firstLine="8"/>
        <w:spacing w:after="0" w:line="483" w:lineRule="auto"/>
        <w:tabs>
          <w:tab w:leader="none" w:pos="27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Proceeds from Sales of Shares</w:t>
      </w: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October 4, 2024, the Company entered into a securities purchase agreement with an institutional investor pursuant to which the investor purchased 5,681,820 shares of Common Stock and warrants to purchase up to 5,681,820 shares of Common Stock (the “Registered Direct Warrants”) in a registered direct offering (the “Registered Direct Offering”). The Registered Direct Warrants are immediately exercisable. Registered Direct Warrants to purchase 2,840,910 shares of Common Stock have an exercise price of $5.28 per share, and will expire 180 days from the date of issuance. The remaining Registered Direct Warrants to purchase 2,840,910 shares of Common Stock have an exercise price of $5.28 per share, and will expire 1,640 days from the date of issuance. The purchase price for one share of Common Stock and one Registered Direct Warrant was $5.28. The net proceeds to the Company from the Registered Direct Offering were approximately $28.1 million after deducting placement agent’s fees and offering expenses of approximately $1.9 million. The Registered Direct Offering closed on October 7, 2024.</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September 30, 2024 through November 8 2024, the Company sold 300,000 shares to Lincoln Park for aggregate gross proceeds of $1.5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8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Quarterly Report to the “Company,” “Humacyte,” “we,” “us,” “our” and similar terms refer to Humacyte, Inc. (formerly known as Alpha Healthcare Acquisition Corp.) and its consolidated subsidiary (Humacyte Global, Inc.) following the Merger (defined below); references to “Legacy Humacyte” refer to Humacyte, Inc. prior to the Merger; and references to “AHAC” refer to Alpha Healthcare Acquisition Corp. prior to the Merger.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3" w:lineRule="exact"/>
        <w:rPr>
          <w:sz w:val="20"/>
          <w:szCs w:val="20"/>
          <w:color w:val="auto"/>
        </w:rPr>
      </w:pPr>
    </w:p>
    <w:p>
      <w:pPr>
        <w:ind w:right="100" w:firstLine="324"/>
        <w:spacing w:after="0" w:line="245" w:lineRule="auto"/>
        <w:rPr>
          <w:sz w:val="20"/>
          <w:szCs w:val="20"/>
          <w:color w:val="auto"/>
        </w:rPr>
      </w:pPr>
      <w:r>
        <w:rPr>
          <w:rFonts w:ascii="Times New Roman" w:cs="Times New Roman" w:eastAsia="Times New Roman" w:hAnsi="Times New Roman"/>
          <w:sz w:val="18"/>
          <w:szCs w:val="18"/>
          <w:color w:val="auto"/>
        </w:rPr>
        <w:t>We are initially using our proprietary, scientific technology platform to engineer and manufacture ATEVs. Our investigational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arteriovenous (“AV”) access for hemodialysis and peripheral artery disease (“PAD”). We are also developing the ATEV for coronary artery bypass grafting (“CABG”) and pediatric heart surgery. Over the longer term, we are developing our ATEV for the delivery of cellular therapies, including pancreatic islet cell transplantation to treat Type 1 diabetes (our BioVascular Pancreas or “BVP</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We will continue to explore the application of our technology across a broad range of markets and indications, including the development of urinary conduit, trachea, esophagus and other novel cell delivery systems.</w:t>
      </w:r>
    </w:p>
    <w:p>
      <w:pPr>
        <w:spacing w:after="0" w:line="154"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higher infection risk that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We and our collaborators are currently conducting Phase 3 and Phase 2 trials of our 6 millimeter ATEV across three therapeutic indications: vascular trauma, AV access for hemodialysis, and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spacing w:after="0" w:line="13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we announced positive topline results from our V005 Phase 2/3 trial in vascular trauma, and in December 2023, we filed a BLA for urgent arterial repair following extremity vascular trauma when synthetic graft is not indicated, and when autologous vein use is not feasible. In February 2024, the FDA accepted the BLA filing and granted priority review and set a Prescription Drug User Fee Act date of August 10, 2024. On August 9, 2024, the FDA informed us that it required additional time to complete its review of the BLA for the vascular trauma indication.</w:t>
      </w:r>
    </w:p>
    <w:p>
      <w:pPr>
        <w:spacing w:after="0" w:line="153"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April 2023, we announced completion of enrollment of our V007 Phase 3 trial of the ATEV for use in AV access for hemodialysis. In July 2024, we announced positive topline results from our V007 Phase 3 trial in which the ATEV met the primary endpoints in the study. We expect to discuss a potential market authorization pathway for the ATEV with the FDA for an indication in AV access for hemodialysis.</w:t>
      </w:r>
    </w:p>
    <w:p>
      <w:pPr>
        <w:spacing w:after="0" w:line="135"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We have generated no product revenue and incurred operating losses and negative cash flows from operations in each year since our inception in 2004. As of September 30, 2024 and December 31, 2023, we had an accumulated deficit of $665.1 million and $537.3 million, respectively, and working capital of $2.1 million and $64.8 million, respectively. Our operating losses were approximately $30.2 million and $86.3 million for the three and nine months ended September 30, 2024, respectively, and $24.6 million and $73.9 million for the three and nine months ended September 30, 2023, respectively.</w:t>
      </w:r>
    </w:p>
    <w:p>
      <w:pPr>
        <w:spacing w:after="0" w:line="12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were $71.5 million and $54.3 million during the nine months ended September 30, 2024 and 2023,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15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$20.6 million and restricted cash of $50.4 million. Subsequent to September 30, 2024, we received an additional $29.6 million in net proceeds from the Registered Direct Offering and sales of shares to Lincoln Park under the Common Stock Purchase Agreement. The extension of time required by the FDA to review our vascular trauma BLA, and the delay in potential approval, has delayed, among other items, our ability to draw an additional $40.0 million in Purchase Agreement proceeds. Accordingly, we do not believe our available cash and cash equivalents on hand will be sufficient to fund operations, including clinical trial expenses and capital expenditure requirements, for at least one year from the date of this Quarterly Report without achieving approval of the ATEV for vascular trauma and generating sufficient cash flows from commercial sales on a timely basis and/or obtaining additional capital. See Note 1 — Organization and Description of Business in the notes to our unaudited condensed consolidated financial statements included elsewhere in this Quarterly Report for additional information regarding this assessment.</w:t>
      </w:r>
    </w:p>
    <w:p>
      <w:pPr>
        <w:spacing w:after="0" w:line="1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and the results of our planned upcoming commercial sales efforts.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the sale of equity or debt, proceeds from the Purchase Agreement,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21" w:lineRule="exact"/>
        <w:rPr>
          <w:sz w:val="20"/>
          <w:szCs w:val="20"/>
          <w:color w:val="auto"/>
        </w:rPr>
      </w:pPr>
    </w:p>
    <w:p>
      <w:pPr>
        <w:ind w:left="660" w:right="3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 marketing approval for our 6 millimeter ATEV for vascular repair, reconstruction and replacement including for indications in vascular trauma and AV access for hemodialysis;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the ATEV via U.S. market launch for indications in vascular trauma and hemodialysis AV access, if approved;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market demand following receipt of any regulatory approval;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17" w:lineRule="exact"/>
        <w:rPr>
          <w:rFonts w:ascii="Times New Roman" w:cs="Times New Roman" w:eastAsia="Times New Roman" w:hAnsi="Times New Roman"/>
          <w:sz w:val="18"/>
          <w:szCs w:val="18"/>
          <w:color w:val="231F20"/>
        </w:rPr>
      </w:pPr>
    </w:p>
    <w:p>
      <w:pPr>
        <w:ind w:left="660" w:right="44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53" w:lineRule="exact"/>
        <w:rPr>
          <w:rFonts w:ascii="Times New Roman" w:cs="Times New Roman" w:eastAsia="Times New Roman" w:hAnsi="Times New Roman"/>
          <w:sz w:val="18"/>
          <w:szCs w:val="18"/>
          <w:color w:val="231F20"/>
        </w:rPr>
      </w:pPr>
    </w:p>
    <w:p>
      <w:pPr>
        <w:ind w:left="660" w:right="280" w:hanging="328"/>
        <w:spacing w:after="0" w:line="266"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we have not generated revenue from the sale of any products. All of our revenue has been derived from government and other grants. From inception through September 30, 2024 we have been awarded grants, including grants from the California Institute of Regenerative Medicine (“CIRM”), the National Institutes of Health (“NIH”), and the Department of Defense,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developing and refining our manufacturing process and activities related to regulatory filings for our product candidates. We recognize research and development expenses as they are incurred. Our research and development expenses consist primarily of:</w:t>
      </w:r>
    </w:p>
    <w:p>
      <w:pPr>
        <w:spacing w:after="0" w:line="13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overhead expenses for personnel in research and development functions, including stock-based compensation and benefits;</w:t>
      </w:r>
    </w:p>
    <w:p>
      <w:pPr>
        <w:spacing w:after="0" w:line="19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clinical research organizations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facility lease and maintenance costs;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leasehold improvements, laboratory equipment and computers;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purchasing raw materials and producing our product candidates for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manufacturing development and expanded-capabilities initiatives;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research and development resources are currently focused on our Phase 2 and 3 clinical trials for our 6 millimeter ATEV and other work needed to obtain marketing approval for our 6 millimeter ATEV for use for vascular repair, reconstruction and replacement, including indications in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spacing w:after="0" w:line="14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Direct expenses for our vascular trauma, AV Access and PAD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 individual research and development programs. Other research and development expenses reported in the table below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spacing w:after="0" w:line="16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39" w:lineRule="exact"/>
        <w:rPr>
          <w:sz w:val="20"/>
          <w:szCs w:val="20"/>
          <w:color w:val="auto"/>
        </w:rPr>
      </w:pPr>
    </w:p>
    <w:p>
      <w:pPr>
        <w:ind w:left="660" w:right="3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refinement of clinical and commercial manufacturing capabilities or making arrangements with third-party manufacturers in order to ensure that it or its third-party manufacturers are able to successfully manufacture our product;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approved, whether alone or in collaboration with others;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product candidates that obtain marketing approval;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approval, if any, of our product candidates.</w:t>
      </w:r>
    </w:p>
    <w:p>
      <w:pPr>
        <w:spacing w:after="0" w:line="18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for the foreseeable future to support our expanded infrastructure and increased costs of operating as a public company and as we prepare for our anticipated commercial launch of the ATEV.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the Purchase Agreement (defined above), finance leases, and our former loan agreement with SVB, during the periods each were outstanding, (iv) the change in fair value of our derivative liabilities and asset including the private placement Common Stock warrant liabilities related to the Private Placement Warrants, which we assumed in connection with the Merger; the contingent derivative liability related to the Purchase Agreement; a liability related to the Option Agreement; a derivative liability related to our agreement with JDRF; and a derivate asset related to our Common Stock Purchase Agreement, all of which are subject to remeasurement to fair value at each balance sheet date resulting in a non-cash gain or loss, (v) a loss on debt extinguishment related to the prepayment of our loan agreement with SVB in May 2023, and (vi) an employee retention credit we recognized in June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2024 and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18,552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$22.9 million for the three months ended September 30, 2024, representing an increase of $4.4 million, or 24%, from $18.6 million for the three months ended September 30, 2023. The increase was primarily driven by expenses incurred to support our expanded research and development initiatives, including increased product manufacturing and development and support of the FDA review of the BLA in vascular trauma. Expense increases were primarily comprised of a $2.2 million increase in the purchase of materials and supplies and $2.0 million in additional payroll and personnel expenses.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$7.3 million and $6.1 million for the three months ended September 30, 2024 and 2023, respectively. The increase in general and administrative expenses during this period of $1.2 million, or 20%, was primarily driven by preparation for the planned commercial launch of the ATEV in vascular trauma. Major changes in expenses included a $1.1 million increase in salaries and benefits and a $0.8 million increase in external services, partially offset by a $0.5 million decrease in non-cash stock compensation expense and a $0.4 million decrease in insurance expense.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0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Total other expense, net was $9.0 million for the three months ended September 30, 2024 compared to $1.4 million for the three months ended September 30, 2023. The increase in net expense of $7.6 million during the three months ended September 30, 2024 compared to the three months ended September 30, 2023 primarily resulted from a $7.3 million increase in the non-cash loss resulting from the remeasurement of the Contingent Earnout Liability during each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2024 and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(127,761)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(42,091)</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0A2299"/>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A2299"/>
              </w:rPr>
              <w:t>15,469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A2299"/>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A2299"/>
              </w:rPr>
              <w:t>%</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$67.9 million for the nine months ended September 30, 2024, representing an increase of $11.6 million, or 21%, from $56.4 million for the nine months ended September 30, 2023. The increase was primarily driven by expenses incurred to support our expanded research and development initiatives, including increased product manufacturing and development and support of the FDA review of the BLA in vascular trauma. Expense increases were primarily comprised of a $8.4 million increase in the purchase of materials and supplies and $5.0 million in additional payroll and personnel expenses.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$18.4 million and $17.5 million for the nine months ended September 30, 2024 and 2023, respectively. The increase in general and administrative expenses during this period of $0.9 million, or 5%, was primarily driven by preparation for the planned commercial launch of the ATEV in vascular trauma. Major changes in expenses included (i) a $1.5 million increase in salaries and benefits expense, (ii) a $0.9 million increase in external services and (iii) a $0.9 million increase in professional fees, partially offset by a $1.8 million decrease in non-cash stock compensation expense and a $0.6 million decrease in insurance expense.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Total other expense, net was $41.5 million for the nine months ended September 30, 2024, compared to expense of $11.8 million for the nine months ended September 30, 2023. The increase in net expense of $29.6 million during the nine months ended September 30, 2024 compared to the nine months ended September 30, 2023 primarily resulted from a $26.9 million increase in the non-cash loss resulting from the remeasurement of the Contingent Earnout Liability during each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87"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the sale of equity securities and convertible debt, including pursuant to the Offering, proceeds from the Merger and related PIPE Financing, borrowings under loan facilities, the Purchase Agreement, and, to a lesser extent, through grants from governmental and other agencies. Since our inception, we have incurred significant operating losses and negative cash flows. As of September 30, 2024 and December 31, 2023, we had an accumulated deficit of $665.1 million and $537.3 million, respectively.</w:t>
      </w:r>
    </w:p>
    <w:p>
      <w:pPr>
        <w:spacing w:after="0" w:line="15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we had working capital of $2.1 million and $64.8 million, respectively. As of September 30, 2024 and December 31, 2023, we had cash and cash equivalents of $20.6 million and $80.4 million, respectively, and restricted cash of $50.4 million and $0.4 million, respectively. We are required to evaluate whether there are conditions and events, considered in the aggregate, that raise substantial doubt about our ability to continue as a going concern for at least one year from the issuance date of our financial statements. We funded the restricted cash account on August 14, 2024, in accordance with our amended Purchase Agreement, of which $50.0 million is not subject to our unilateral control.</w:t>
      </w:r>
    </w:p>
    <w:p>
      <w:pPr>
        <w:spacing w:after="0" w:line="14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disclosed in Note 13 — Subsequent Events to our accompanying unaudited condensed consolidated financial statements, on October 7, 2024, we received net proceeds of approximately $28.1 million in connection with the closing of the Registered Direct Offering. From September 30, 2024 through November 8 2024, we sold 300,000 shares to Lincoln Park under our Common Stock Purchase Agreement for aggregate gross proceeds of $1.5 million. As of November 8 2024, we had $47.5 million in remaining availability for sales of Common Stock under our Common Stock Purchase Agreement with Lincoln Park.</w:t>
      </w:r>
    </w:p>
    <w:p>
      <w:pPr>
        <w:spacing w:after="0" w:line="14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Based on current plans and assumptions, which excludes the $50.0 million of restricted cash and the potential approval of the BLA from our forecasted liquidity, we will not have sufficient cash and cash equivalents to fund our operations beyond one year from the issuance of these financial statements if we are unable to achieve approval of the ATEV and generate sufficient cash flows from commercial sales on a timely basis and/or obtain additional capital.</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These factors raise substantial doubt about our ability to continue as a going concern. We will, over the course of the next year, require additional financing to continue our operations. Adequate additional capital may not be available to us when needed or on acceptable terms. If we are unable to raise sufficient capital when required, we may be required to reduce or discontinue our operations, sell assets, or cease all operations. The accompanying unaudited condensed consolidated financial statements have been prepared assuming that we will continue as a going concern and contemplate the realization of assets and the satisfaction of liabilities in the normal course of business. The accompanying financial statements do not include any adjustments related to the recoverability and classification of assets or the amounts and classification of liabilities or any other adjustments that might be necessary should we be unable to continue as a going concern.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may be satisfied through the sale of equity, debt, borrowings under credit facilities or through potential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 </w:t>
      </w:r>
      <w:r>
        <w:rPr>
          <w:rFonts w:ascii="Times New Roman" w:cs="Times New Roman" w:eastAsia="Times New Roman" w:hAnsi="Times New Roman"/>
          <w:sz w:val="18"/>
          <w:szCs w:val="18"/>
          <w:color w:val="231F20"/>
        </w:rPr>
        <w:t>If we are unable to raise sufficient capital, we could be forced to further delay, reduce, suspend or cease our research and development programs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any future commercialization efforts, which would have a negative impact on our business, prospects, operating results and financial condition.</w:t>
      </w:r>
    </w:p>
    <w:p>
      <w:pPr>
        <w:spacing w:after="0" w:line="13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May 12, 2023, we entered into the Purchase Agreement with the Purchasers and another affiliate of Oberland Capital Management LLC, as agent for the Purchasers, to obtain financing in respect to the further development and commercialization of our ATEV, to repay the Loan Agreement, and for other general corporate purposes. Pursuant to the Purchase Agreement and subject to customary closing conditions, the Purchasers have agreed to pay us an aggregate investment amount of up to $150.0 million. Under the terms of the Purchase Agreement, $40.0 million of the Investment Amount, less certain transaction expenses, was funded on May 12, 2023, which was used to repay in full and retire our indebtedness under the Loan Agreement, with the remaining proceeds funded to the Company. On March 11, 2024, $20.0 million of the Investment Amount was funded to the Company. See Note 6 — Revenue Interest Purchase Agreement to the condensed consolidated financial statements for additional details about this financing transaction.</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18, 2024, we agreed with the Purchasers and the Agent, to waive certain breaches related to, and extend the deadline for certain post-closing obligations under, the Purchase Agreement, including the requirement for us to deliver a leasehold mortgage in favor of the Agent over our headquarters. On May 8, 2024, we reached an agreement with the Purchasers to amend the Purchase Agreement to remove requirements related to the leasehold mortgage. In exchange for the removal of this requirement, on August 14, 2024 we funded an account in the amount of $54.0 million, over which the Agent will have certain consent and other rights to $50.0 million of the funds. See Note 6 for further information.</w:t>
      </w:r>
    </w:p>
    <w:p>
      <w:pPr>
        <w:spacing w:after="0" w:line="143"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On February 29, 2024, we entered into the Underwriting Agreement in connection with the Offering. The net proceeds to us from the Offering were approximately $43.0 million, after deducting underwriting discounts and commissions and Offering expenses. The Offering closed on March 5, 2024.</w:t>
      </w:r>
    </w:p>
    <w:p>
      <w:pPr>
        <w:spacing w:after="0" w:line="9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On September 24, 2024, we entered into the Common Stock Purchase Agreement with Lincoln Park for an equity line financing, which provides that, subject to the terms and conditions set forth in the Common Stock Purchase Agreement, we have the sole right, but not the obligation, to sell to Lincoln Park shares of Common Stock having an aggregate value of up to $50.0 million over a 24-month period. We control the timing and amount of any sales to Lincoln Park. As of September 30, 2024, we had completed sales of shares under the Common Stock Purchase Agreement that provided $1.0 million in gross proceeds, and as further disclosed in Note 13 — Subsequent Events, from September 30, 2024 through November 8 2024, we completed sales of shares that provided $1.5 million in additional gross proceeds. As of November 8 2024, we had $47.5 million in remaining availability for sales of our Common Stock under our Common Stock Purchase Agreement with Lincoln Park.</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October 4, 2024, we entered into a securities purchase agreement with an institutional investor pursuant to which the investor purchased approximately $30.0 million worth of Common Stock and Registered Direct Warrants in the Registered Direct Offering. The net proceeds to us from the Registered Direct Offering were approximately $28.1 million, after deducting placement agent’s fees and offering expenses of approximately $1.9 million. The Registered Direct Offering closed on October 7,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known material cash requirements include: (1) the purchase of supplies and services that are primarily for research and development; (2) repayments pursuant to the Purchase Agreement; (3) employee wages, benefits, and incentives; (4) financing and operating lease payments (for additional information see below), and (5) payments under our JDRF Agreement (see Note 11 — Commitments and Contingencies </w:t>
      </w:r>
      <w:r>
        <w:rPr>
          <w:rFonts w:ascii="Times New Roman" w:cs="Times New Roman" w:eastAsia="Times New Roman" w:hAnsi="Times New Roman"/>
          <w:sz w:val="18"/>
          <w:szCs w:val="18"/>
          <w:color w:val="231F20"/>
        </w:rPr>
        <w:t>to our unaudited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consolidated financial statements contained elsewhere in this Quarterly Report)</w:t>
      </w:r>
      <w:r>
        <w:rPr>
          <w:rFonts w:ascii="Times New Roman" w:cs="Times New Roman" w:eastAsia="Times New Roman" w:hAnsi="Times New Roman"/>
          <w:sz w:val="18"/>
          <w:szCs w:val="18"/>
          <w:color w:val="000000"/>
        </w:rPr>
        <w:t>. We have also entered into contracts with CROs primarily for clinical trials.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2024, we had non-cancellable purchase com</w:t>
      </w:r>
      <w:r>
        <w:rPr>
          <w:rFonts w:ascii="Times New Roman" w:cs="Times New Roman" w:eastAsia="Times New Roman" w:hAnsi="Times New Roman"/>
          <w:sz w:val="18"/>
          <w:szCs w:val="18"/>
          <w:color w:val="231F20"/>
        </w:rPr>
        <w:t>mitments of $23.0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September 30, 2024. For additional information regarding our agreement with Fresenius Medical Care, see Note 12 — Related Party Transactions to our unaudited condensed consolidated financial statements contained elsewhere in this Quarterly Report. For additional information regarding our agreements with Duke University, Yale University and JDRF, see Note 11 — Commitments and Contingencies to our unaudited condensed consolidated financial statements contained elsewhere in this Quarterly Report.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20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On </w:t>
      </w:r>
      <w:r>
        <w:rPr>
          <w:rFonts w:ascii="Times New Roman" w:cs="Times New Roman" w:eastAsia="Times New Roman" w:hAnsi="Times New Roman"/>
          <w:sz w:val="18"/>
          <w:szCs w:val="18"/>
          <w:color w:val="000000"/>
        </w:rPr>
        <w:t>May 12, 2023, we entered into the Purchase Agreement and repaid in full all of the outstanding obligations under our Loan Agreement with SVB</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SVB Innovation Credit Fund VIII, L.P. Under the Purchase Agreement, as of September 30, 2024, we had </w:t>
      </w:r>
      <w:r>
        <w:rPr>
          <w:rFonts w:ascii="Times New Roman" w:cs="Times New Roman" w:eastAsia="Times New Roman" w:hAnsi="Times New Roman"/>
          <w:sz w:val="18"/>
          <w:szCs w:val="18"/>
          <w:color w:val="231F20"/>
        </w:rPr>
        <w:t>$62.1 million</w:t>
      </w:r>
      <w:r>
        <w:rPr>
          <w:rFonts w:ascii="Times New Roman" w:cs="Times New Roman" w:eastAsia="Times New Roman" w:hAnsi="Times New Roman"/>
          <w:sz w:val="18"/>
          <w:szCs w:val="18"/>
          <w:color w:val="000000"/>
        </w:rPr>
        <w:t xml:space="preserve"> recorded as a revenue interest liability on our condensed consolidated financial statements. For additional information regarding repayment, see Note 6 — Revenue Interest Purchase Agreement to our unaudited condensed consolidated financial statements contained elsewhere in this Quarterly Report.</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187" w:lineRule="exact"/>
        <w:rPr>
          <w:sz w:val="20"/>
          <w:szCs w:val="20"/>
          <w:color w:val="auto"/>
        </w:rPr>
      </w:pPr>
    </w:p>
    <w:p>
      <w:pPr>
        <w:jc w:val="both"/>
        <w:ind w:right="720" w:firstLine="324"/>
        <w:spacing w:after="0" w:line="266" w:lineRule="auto"/>
        <w:rPr>
          <w:sz w:val="20"/>
          <w:szCs w:val="20"/>
          <w:color w:val="auto"/>
        </w:rPr>
      </w:pPr>
      <w:r>
        <w:rPr>
          <w:rFonts w:ascii="Times New Roman" w:cs="Times New Roman" w:eastAsia="Times New Roman" w:hAnsi="Times New Roman"/>
          <w:sz w:val="18"/>
          <w:szCs w:val="18"/>
          <w:color w:val="231F20"/>
        </w:rPr>
        <w:t>Our finance leases relate to our headquarters facility containing our manufacturing, research and development and general and administrative functions, which was substantially completed in June 2018 and is being leased through May 2033, and our operating lease relates to the land lease associated with our headquarters. Our future contractual obligations under our lease agreements as of September 30, 2024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Facility</w:t>
      </w:r>
    </w:p>
    <w:p>
      <w:pPr>
        <w:spacing w:after="0" w:line="200"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On September 1, 2022, we entered into an agreement for the sale from time to time up to $80.0 million of shares of Common Stock pursuant to a sales agreement (the “ATM Facility”). As of September 30, 2024, we have not conducted any sales of Common Stock under the ATM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continue clinical development of our 6 millimeter ATEV for use in vascular trauma and hemodialysis AV access and submit a BLA for FDA approval of an indication in hemodialysis AV access, (ii) to launch and commercialize our ATEVs for vascular repair and hemodialysis AV access, if marketing approval is obtained, in the U.S. market, as well as subsequent launches in key international markets, (iii) advance our pipeline in major markets, including PAD Phase 3 trials and continue preclinical development and advance to planned clinical studies in CABG and BVP for diabetes, and (iv) scale out our manufacturing facility as required to satisfy market demand. We will need additional funding in connection with these activities.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9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marketing approval of our ATEVs in the United States;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ATEVs if approved by the FDA, and any other product candidate for which we receive marketing approval in the future;</w:t>
      </w:r>
    </w:p>
    <w:p>
      <w:pPr>
        <w:spacing w:after="0" w:line="121" w:lineRule="exact"/>
        <w:rPr>
          <w:rFonts w:ascii="Times New Roman" w:cs="Times New Roman" w:eastAsia="Times New Roman" w:hAnsi="Times New Roman"/>
          <w:sz w:val="18"/>
          <w:szCs w:val="18"/>
          <w:color w:val="231F20"/>
        </w:rPr>
      </w:pPr>
    </w:p>
    <w:p>
      <w:pPr>
        <w:ind w:left="660" w:right="4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w:t>
      </w:r>
    </w:p>
    <w:p>
      <w:pPr>
        <w:spacing w:after="0" w:line="134" w:lineRule="exact"/>
        <w:rPr>
          <w:rFonts w:ascii="Times New Roman" w:cs="Times New Roman" w:eastAsia="Times New Roman" w:hAnsi="Times New Roman"/>
          <w:sz w:val="18"/>
          <w:szCs w:val="18"/>
          <w:color w:val="231F20"/>
        </w:rPr>
      </w:pPr>
    </w:p>
    <w:p>
      <w:pPr>
        <w:ind w:left="660" w:right="5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21" w:lineRule="exact"/>
        <w:rPr>
          <w:rFonts w:ascii="Times New Roman" w:cs="Times New Roman" w:eastAsia="Times New Roman" w:hAnsi="Times New Roman"/>
          <w:sz w:val="18"/>
          <w:szCs w:val="18"/>
          <w:color w:val="231F20"/>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3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Other than the Purchase Agreement,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6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this Quarterly Report entitled “Risk Factors” for additional risks associated with our substantial capital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(49,432)</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180" w:right="40" w:hanging="172"/>
        <w:spacing w:after="0" w:line="251" w:lineRule="auto"/>
        <w:tabs>
          <w:tab w:leader="none" w:pos="199"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includes depreciation, amortization related to our leases and our debt discount, stock-based compensation expense, non-cash interest expense related to our revenue interest liability and our JDRF Award liability, and the changes in fair value of our Contingent Earnout Liability and our derivative liabilities and asset, and in 2023 includes a loss on extinguishment of debt and an immaterial amount of loss on disposal of property and equipment.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20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increase in net cash used in operating activities from </w:t>
      </w:r>
      <w:r>
        <w:rPr>
          <w:rFonts w:ascii="Times New Roman" w:cs="Times New Roman" w:eastAsia="Times New Roman" w:hAnsi="Times New Roman"/>
          <w:sz w:val="18"/>
          <w:szCs w:val="18"/>
          <w:color w:val="000000"/>
        </w:rPr>
        <w:t>the nine months ended September 30, 2023</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the nine months ended September 30,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was primarily due to increased spending on pre-clinical, clinical and pre-commercial activities as well as payroll and personnel expenses, expansion of clinical development of the ATEV for use in AV access, and preparation for the planned commercial launch of the ATEV for an indication in vascular trauma, if approved by the FDA.</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Investing Activities</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Net cash used in investing activities for </w:t>
      </w:r>
      <w:r>
        <w:rPr>
          <w:rFonts w:ascii="Times New Roman" w:cs="Times New Roman" w:eastAsia="Times New Roman" w:hAnsi="Times New Roman"/>
          <w:sz w:val="18"/>
          <w:szCs w:val="18"/>
          <w:color w:val="000000"/>
        </w:rPr>
        <w:t>the nine months ended September 30, 2024 consisted of purchases of property and equipment.</w:t>
      </w:r>
      <w:r>
        <w:rPr>
          <w:rFonts w:ascii="Times New Roman" w:cs="Times New Roman" w:eastAsia="Times New Roman" w:hAnsi="Times New Roman"/>
          <w:sz w:val="18"/>
          <w:szCs w:val="18"/>
          <w:color w:val="231F20"/>
        </w:rPr>
        <w:t xml:space="preserve"> Net cash </w:t>
      </w:r>
      <w:r>
        <w:rPr>
          <w:rFonts w:ascii="Times New Roman" w:cs="Times New Roman" w:eastAsia="Times New Roman" w:hAnsi="Times New Roman"/>
          <w:sz w:val="18"/>
          <w:szCs w:val="18"/>
          <w:color w:val="000000"/>
        </w:rPr>
        <w:t>used in</w:t>
      </w:r>
      <w:r>
        <w:rPr>
          <w:rFonts w:ascii="Times New Roman" w:cs="Times New Roman" w:eastAsia="Times New Roman" w:hAnsi="Times New Roman"/>
          <w:sz w:val="18"/>
          <w:szCs w:val="18"/>
          <w:color w:val="231F20"/>
        </w:rPr>
        <w:t xml:space="preserve"> investing activities for </w:t>
      </w:r>
      <w:r>
        <w:rPr>
          <w:rFonts w:ascii="Times New Roman" w:cs="Times New Roman" w:eastAsia="Times New Roman" w:hAnsi="Times New Roman"/>
          <w:sz w:val="18"/>
          <w:szCs w:val="18"/>
          <w:color w:val="000000"/>
        </w:rPr>
        <w:t>the nine months ended September 30, 2023 consisted of purchases of property and equipment, which fully offset proceeds from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maturity of our short-term investments (certificates of deposit).</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consisted primarily of $43.0 million of net proceeds from our Offering and $19.5 million of net proceeds from our Purchase Agreement. Net cash provided by financing activities for the nine months ended September 30, 2023 consisted primarily of $37.9 million of net proceeds from our Purchase Agreement, partially offset by $31.8 million of cash payments related to the repayment of our Loan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SEC rules and regulations.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2023 and 2022, included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during the three months ended September 30, 2024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20" w:firstLine="324"/>
        <w:spacing w:after="0" w:line="28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risk factors are disclosed in Part I, Item 1A of our Annual Report. Except as set forth below, there have been no material changes during the nine months ended September 30, 2024 from or updates to the risk factors </w:t>
      </w:r>
      <w:r>
        <w:rPr>
          <w:rFonts w:ascii="Times New Roman" w:cs="Times New Roman" w:eastAsia="Times New Roman" w:hAnsi="Times New Roman"/>
          <w:sz w:val="18"/>
          <w:szCs w:val="18"/>
          <w:color w:val="000000"/>
        </w:rPr>
        <w:t>discussed in Part I, Item 1A,</w:t>
      </w:r>
      <w:r>
        <w:rPr>
          <w:rFonts w:ascii="Times New Roman" w:cs="Times New Roman" w:eastAsia="Times New Roman" w:hAnsi="Times New Roman"/>
          <w:sz w:val="18"/>
          <w:szCs w:val="18"/>
          <w:color w:val="231F20"/>
        </w:rPr>
        <w:t xml:space="preserve"> </w:t>
      </w:r>
      <w:hyperlink r:id="rId67">
        <w:r>
          <w:rPr>
            <w:rFonts w:ascii="Times New Roman" w:cs="Times New Roman" w:eastAsia="Times New Roman" w:hAnsi="Times New Roman"/>
            <w:sz w:val="18"/>
            <w:szCs w:val="18"/>
            <w:u w:val="single" w:color="auto"/>
            <w:color w:val="0E32E1"/>
          </w:rPr>
          <w:t>Risk Factors</w:t>
        </w:r>
        <w:r>
          <w:rPr>
            <w:rFonts w:ascii="Times New Roman" w:cs="Times New Roman" w:eastAsia="Times New Roman" w:hAnsi="Times New Roman"/>
            <w:sz w:val="18"/>
            <w:szCs w:val="18"/>
            <w:u w:val="single" w:color="auto"/>
            <w:color w:val="231F20"/>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Annual Report</w:t>
      </w:r>
      <w:r>
        <w:rPr>
          <w:rFonts w:ascii="Times New Roman" w:cs="Times New Roman" w:eastAsia="Times New Roman" w:hAnsi="Times New Roman"/>
          <w:sz w:val="18"/>
          <w:szCs w:val="18"/>
          <w:color w:val="231F20"/>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concluded that a substantial doubt is deemed to exist concerning our ability to continue as a going concern.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As further discussed in </w:t>
      </w:r>
      <w:r>
        <w:rPr>
          <w:rFonts w:ascii="Times New Roman" w:cs="Times New Roman" w:eastAsia="Times New Roman" w:hAnsi="Times New Roman"/>
          <w:sz w:val="18"/>
          <w:szCs w:val="18"/>
          <w:color w:val="000000"/>
        </w:rPr>
        <w:t>Note 1 — Organization and Description of Business in the notes to our unaudited condensed consolidated financial statements,</w:t>
      </w:r>
      <w:r>
        <w:rPr>
          <w:rFonts w:ascii="Times New Roman" w:cs="Times New Roman" w:eastAsia="Times New Roman" w:hAnsi="Times New Roman"/>
          <w:sz w:val="18"/>
          <w:szCs w:val="18"/>
          <w:color w:val="231F20"/>
        </w:rPr>
        <w:t xml:space="preserve"> substantial doubt is deemed to exist about the company’s ability to continue as a going concern through November 8, 2025.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or sell assets. Our cash resources and our potential inability to continue as a going concern may materially adversely affect our share price and our ability to raise new capital, enter into strategic alliances on a timely basis or at all.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14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near-term prospects are dependent on the commercial success of our product candidates, if approved, and if we are unable to successfully commercialize them, our business, operating results and financial condition will be materially harmed.</w:t>
      </w:r>
    </w:p>
    <w:p>
      <w:pPr>
        <w:spacing w:after="0" w:line="13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Our business currently depends heavily on our ability to successfully commercialize our ATEVs in the United States and in other jurisdictions where we may obtain marketing approval. We may never be able to successfully commercialize our ATEVs or meet our expectations with respect to revenues for a number of reasons, including:</w:t>
      </w:r>
    </w:p>
    <w:p>
      <w:pPr>
        <w:spacing w:after="0" w:line="9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a lack of acceptance of our ATEVs by physicians, patients, third-party payors and other members of the medical community;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limited experience in marketing, selling and distributing our ATEVs or any other product;</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limited experience in the commercial manufacturing of our ATEVs or any other product;</w:t>
      </w:r>
    </w:p>
    <w:p>
      <w:pPr>
        <w:spacing w:after="0" w:line="130" w:lineRule="exact"/>
        <w:rPr>
          <w:rFonts w:ascii="Times New Roman" w:cs="Times New Roman" w:eastAsia="Times New Roman" w:hAnsi="Times New Roman"/>
          <w:sz w:val="22"/>
          <w:szCs w:val="22"/>
          <w:color w:val="auto"/>
        </w:rPr>
      </w:pPr>
    </w:p>
    <w:p>
      <w:pPr>
        <w:ind w:left="660" w:right="200" w:hanging="328"/>
        <w:spacing w:after="0" w:line="244" w:lineRule="auto"/>
        <w:tabs>
          <w:tab w:leader="none" w:pos="6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reimbursement and coverage policies of government and private payors such as Medicare, Medicaid, group purchasing organizations, insurance companies, health maintenance organizations and other plan administrators;</w:t>
      </w:r>
    </w:p>
    <w:p>
      <w:pPr>
        <w:spacing w:after="0" w:line="10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changed or increased regulatory restrictions in the United States, EU and other foreign territories;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lack of adequate financial or other resources to commercialize our ATEVs successfully.</w:t>
      </w:r>
    </w:p>
    <w:p>
      <w:pPr>
        <w:spacing w:after="0" w:line="157"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There is no guarantee that the infrastructure, systems, processes, policies, relationships, and materials we have built for the launch and commercialization of our approved product in the United States will be sufficient for us to achieve success at the levels we expect. If we are not able to commercialize our ATEVs successfully for these or other reasons, our ability to generate revenue from product sales and achieve profitability will be adversely affected and the market price of our common stock could decline significantly.</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our product candidates is complex, we have limited experience manufacturing commercial product, and we have in the past and may in the future encounter batch failures and difficulties in production. If we or any third-party supplier encounter such difficulties, our ability to supply our product candidates for clinical trials or, if approved, for commercial sale could be delayed or halted entirely.</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ATEVs is complex, highly regulated and subject to multiple risks. The manufacture of biologics such as our ATEVs has been, and continues to be, susceptible to product loss and batch failures due to a range of factors including raw material and other component deficiencies, contamination, equipment failure, temporary power outages, improper installation or operation of equipment, damage to facilities, vendor or operator error, inconsistency in yields, variability in product characteristics and difficulties in scaling the production process. Even minor deviations from normal manufacturing processes has resulted, and could in the future result, in reduced production yields, batch failures, product defects and other supply disruptions. For example, from time to time we have had multiple batch failures in succession. We believe we have identified the root cause of those failures and have implemented appropriate corrective actions. However, if our corrective actions are not successful, or if the FDA disagrees with our root cause analysis or our corrective actions, it may delay or disrupt our manufacturing operations or delay or prevent the filing or approval of marketing applications for our ATEVs, including our pending BLA. If microbial, viral or other contaminations are discovered in our product candidates or in the manufacturing facilities in which our product candidates are made, manufacturing may be delayed or disrupted for an extended period of time to investigate and remedy the contamination, which would harm our business, operating results and financial condition as well as our reputation. We depend on cell banks in our manufacturing process, and the loss or alteration of our master cell banks would result in significant disruptions to that process.</w:t>
      </w:r>
    </w:p>
    <w:p>
      <w:pPr>
        <w:spacing w:after="0" w:line="16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currently manufacture the 6 millimeter ATEVs for our clinical trials and for planned initial commercial distribution, at our manufacturing facility in Durham, North Carolina, where we have created a scalable modular manufacturing process, which we refer to as the LUNA200 system, that we believe will enable us to manufacture our ATEVs, if approved, in commercial quantities in compliance with current good manufacturing practices (“cGMPs”). Our efforts to scale out our manufacturing operations may not succeed. Scaling out a biologic manufacturing process is a difficult task, as there are risks including, among others, cost overruns, process reproducibility, stability issues, lot consistency and timely availability of raw materials. We have limited years of experience manufacturing our ATEVs in-house with the LUNA200 system, and no experience manufacturing the volume of ATEVs that we anticipate will be required to supply all of our clinical trials or to achieve planned levels of commercial sales following marketing approval, if received. Additionally, our manufacturing process has evolved over time and we may not have the experience, resources, or facility capacity to handle adoption of future changes or expansion of capacity. The forecasts of demand we plan to use to determine order quantities and lead times for components from outside suppliers may be incorrect, and we may be unable to obtain such components when needed and at a reasonable cost. We also have experienced interruptions in the supply of the raw materials required to manufacture our product candidates, and increased costs due to supply chain disruptions or inflation in the cost of goods, services or other operating inputs. Likewise, supply chain interruptions could affect the transport of clinical trial materials, such as our ATEVs and other supplies used in our clinical trials, which would negatively impact our ability to conduct our clinical trials. In addition, we may not be able to develop and implement efficient manufacturing capabilities and processes to manufacture our ATEVs in sufficient volumes that also satisfy the legal, regulatory, quality, price, durability, engineering, design and production standards required to commercialize our ATEVs successfully.</w:t>
      </w:r>
    </w:p>
    <w:p>
      <w:pPr>
        <w:spacing w:after="0" w:line="15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produce sufficient quantities of our ATEVs for our clinical trial needs or commercialization, we may need to make additional changes to our manufacturing processes and procedures. Such changes to our manufacturing platform could trigger the need to conduct additional bridging studies between our prior clinical supply and that of any new manufacturing processes and procedures. Should we experience delays or be unable to produce sufficient quantities of our ATEVs utilizing our current or a modified version of our manufacturing system, we expect that our development and commercialization efforts would be impaired as a result, which would likely materially adversely affect our business, prospects, operating results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sizes of the market opportunities for our product candidates has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3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Our estimates of the market opportunity for our ATEVs, if approved, and certain of our other product candidates are based on a number of internal and third-party estimates. While we believe our assumptions and the data underlying these estimates are reasonable, they may be inaccurate or based on imprecise data. In addition, the assumptions and conditions underlying the estimates may change at any time. For example, the number of patients who ultimately use our product candidates, if approved by regulatory authorities, and our total market opportunities for such product candidates, will depend on, among other things, pricing and reimbursement, market acceptance of those product candidates and patient access, and may be lower than we estimate. Additionally, any approval we receive for our product candidates may be based on a narrower definition of the relevant patient population than we have estimated. Either of these circumstances could materially harm our business, financial condition, results of operations and prospects.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if approved, may fail to achieve the degree of market acceptance by physicians, patients, third-party payors and others in the medical community necessary for commercial success.</w:t>
      </w:r>
    </w:p>
    <w:p>
      <w:pPr>
        <w:spacing w:after="0" w:line="11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The commercial success of our ATEVs will depend, in part, on the acceptance of physicians, patients and health care payors as medically necessary, cost-effective and safe. Our ATEVs and any other product that we commercialize may not gain acceptance by physicians, patients, health care payors and others in the medical community due to ethical, social, medical and legal concerns. If these products do not achieve an adequate level of acceptance, we may not generate significant product revenue and may not become profitable.</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degree of market acceptance of our ATEVs or any of our other product candidates that receives marketing approval will depend on a number of factors, including:</w:t>
      </w:r>
    </w:p>
    <w:p>
      <w:pPr>
        <w:spacing w:after="0" w:line="94" w:lineRule="exact"/>
        <w:rPr>
          <w:sz w:val="20"/>
          <w:szCs w:val="20"/>
          <w:color w:val="auto"/>
        </w:rPr>
      </w:pPr>
    </w:p>
    <w:p>
      <w:pPr>
        <w:ind w:left="660" w:right="360" w:hanging="328"/>
        <w:spacing w:after="0" w:line="24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the efficacy and potential advantages of our ATEVs or our other product candidates compared with alternative products or methods, including convenience and ease of administration;</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the prices we charge for our products, if approved;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the availability of third-party coverage and adequate reimbursement;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the willingness of the target patient population to try new products and methods and of physicians to use these products and methods;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the quality of our relationships with patient advocacy groups;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the strength of marketing and distribution support;</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the availability of the product and our ability to meet market demand;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the prevalence and severity of any side effects;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231F20"/>
        </w:rPr>
        <w:t>any restrictions on the use of our ATEVs or our other products, if approved.</w:t>
      </w:r>
    </w:p>
    <w:p>
      <w:pPr>
        <w:spacing w:after="0" w:line="153"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There is uncertainty with respect to third-party coverage and reimbursement of our ATEVs, if approved, and our other product candidates. They may also be subject to unfavorable pricing regulations, third-party reimbursement practices or healthcare reform initiatives, any of which could harm our business, prospects, operating results and financial condition.</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There is uncertainty around third-party coverage and reimbursement of newly approved regenerative medicine type products. In the United States, third-party payors, including government payors such as the Medicare and Medicaid programs, play an important role in determining the extent to which medical products and biologics will be covered and reimbursed. The Medicare and Medicaid programs increasingly are used as models for how private payors and government payors develop their coverage and reimbursement policies. Currently, no RMAT tissue engineered product has established coverage and reimbursement by the CMS. It is difficult to predict what CMS or any comparable foreign regulatory agency will decide with respect to coverage and reimbursement for novel products such as our ATEVs and our other product candidates, as there is no body of established practices and precedents for these types of products.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healthcare industry is acutely focused on cost containment, both in the United States and elsewhere. Government authorities and third-party payors have attempted to control costs by limiting coverage and the amount of reimbursement. These payors may not view our ATEVs and our other products, if approved, as cost-effective, and coverage and reimbursement may not be available to our customers or may not be sufficient to allow our products, if any, to be marketed on a competitive basis. Cost control initiatives could also cause us to decrease any price we might establish for products, if approved, which could result in lower than anticipated product revenue. Moreover, eligibility for reimbursement does not imply that any such product will be paid for in all cases or at a rate that covers our costs, including our costs related to research, development, manufacture, sale and distribution. Reimbursement rates may vary, by way of example, according to the use of the product, if approved, and the clinical setting in which it is used. If the prices for our products, if any, decrease or if governmental and other third-party payors do not provide adequate coverage or reimbursement, our business, prospects, operating results and financial condition will suffer, perhaps materially.</w:t>
      </w:r>
    </w:p>
    <w:p>
      <w:pPr>
        <w:spacing w:after="0" w:line="148"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On August 16, 2022, President Biden signed the Inflation Reduction Act (“IRA”) into law, which sets forth meaningful changes to drug product reimbursement by Medicare. Among other actions, the IRA permits the Department of Health and Human Services (“HHS”) to engage in price-capped negotiation to set the price of certain drugs and biologics reimbursed under Medicare Part B and Part D. The IRA contains statutory exclusions to the negotiation program, including for certain orphan designated drugs for which the only approved indication (or indications) is for the orphan disease or condition. Should our product candidates be approved and covered by Medicare Part B or Part D, and fail to fall within a statutory exclusion, such as that for an orphan drug, those products could, after a period of time, be selected for negotiation and become subject to prices representing a significant discount from average prices to wholesalers and direct purchasers. The IRA also establishes a rebate obligation for drug manufacturers that increase prices of Medicare Part B and Part D covered drugs at a rate greater than the rate of inflation. The inflation rebates may require us to pay rebates if we increased the cost of a covered Medicare Part B or Part D approved product faster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Our cost-sharing responsibility for any approved product covered by Medicare Part D could be significantly greater under the newly designed Part D benefit structure compared to the pre-IRA benefit design. Additionally, manufacturers that fail to comply with certain provisions of the IRA may be subject to penalties, including civil monetary penalties. The IRA is anticipated to have significant effects on the pharmaceutical industry and may reduce the prices we can charge and reimbursement we can receive for our products, among other effects.</w:t>
      </w:r>
    </w:p>
    <w:p>
      <w:pPr>
        <w:spacing w:after="0" w:line="3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Any reduction in reimbursement from Medicare resulting from the IRA or other legislative or policy changes, or from other government programs may result in a similar reduction in payments from private payers. These healthcare reforms and the implementation of any future cost containment measures or other reforms may prevent us from being able to generate sufficient revenue, attain and/or maintain profitability or commercialize our drug candidates. We cannot be sure whether additional legislative changes will be enacted, or the effect of forthcoming guidance implementing the IRA, or whether FDA regulations, guidance or interpretations will be changed, or what the impact of such changes on our product candidates or the marketing approvals of our product candidates, if any, may be.</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 some countries, particularly in Europe, the pricing of our product may be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if approved, is unavailable or more limited in scope or amount than we anticipate, or if pricing is set at even lower levels than we anticipate, our business could be harmed, possibly materially.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Lack of experience by investigators and surgeons with our ATEVs can lead to incorrect implantation or follow-up procedures which could harm the results of our clinical trials and market acceptance of our ATEVs, if approved.</w:t>
      </w:r>
    </w:p>
    <w:p>
      <w:pPr>
        <w:spacing w:after="0" w:line="11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Until approved by the FDA, our ATEVs are currently in various stages of preclinical and clinical testing. We do not have the personnel capacity to directly conduct or manage solely with our own personnel all of the clinical trials that are necessary for the development of our ATEVs. Therefore, we rely, and will continue to rely, on third parties to assist us in managing, monitoring and conducting our clinical trials. Some of the investigators in our clinical trials have not been, and, if our ATEVs receive marketing approval, surgeons may not be, previously exposed to the implantation and follow-up procedures related to their use. As a result, our ATEVs may be, and have been in the past, incorrectly implanted and follow-up procedures may be performed incorrectly, resulting in increased interventions or failure of the ATEV, and complicating interpretation of clinical trial results. Our efforts to educate investigators, surgeons and interventionalists regarding the proper techniques for use of our ATEVs both during clinical trials and following potential commercialization may be costly, prove unsuccessful and could materially harm our ability to continue the clinical trials or commence marketing of our ATEVs. Regulatory authorities may also seek to impose restrictive labeling or proactive communication obligations on any marketing approval granted for use of our ATEVs as a result, which could reduce market acceptance of any of our ATEVs that receive marketing approval.</w:t>
      </w:r>
    </w:p>
    <w:p>
      <w:pPr>
        <w:spacing w:after="0" w:line="16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Product liability lawsuits against us could cause us to incur substantial liabilities that may not be covered by our limited product liability insurance and may limit the development, approval and commercialization of our ATEVs and any other product candidates that we develop in the future.</w:t>
      </w:r>
    </w:p>
    <w:p>
      <w:pPr>
        <w:spacing w:after="0" w:line="11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We face an inherent risk of product liability exposure related to the testing of our ATEVs and our other product candidates in human clinical trials and will face an even greater risk, when we commercially sell our ATEVs and any other product candidates. If we cannot successfully defend ourselves against claims that our ATEVs or our other product candidates caused injuries, we will incur substantial liabilities. Regardless of merit or eventual outcome, product liability claims may result in:</w:t>
      </w:r>
    </w:p>
    <w:p>
      <w:pPr>
        <w:spacing w:after="0" w:line="9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231F20"/>
        </w:rPr>
        <w:t>decreased demand for our ATEVs or any other product candidates that we develop or sell, leading to loss of revenue;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231F20"/>
        </w:rPr>
        <w:t>injury to our reputation and significant negative media attention;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231F20"/>
        </w:rPr>
        <w:t>withdrawal, or slower enrollment, of clinical trial participants;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231F20"/>
        </w:rPr>
        <w:t>significant costs to defend the related litigation and reduced resources of our management to pursue our business strategy;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231F20"/>
        </w:rPr>
        <w:t>substantial monetary awards to trial participants or patients;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231F20"/>
        </w:rPr>
        <w:t>inability to further develop or commercialize our ATEVs or our other product candidates.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currently hold limited product liability insurance coverage, and it may not be adequate to cover all liabilities that we may incur. We also may not be able to maintain insurance coverage at a reasonable cost or in an amount adequate to satisfy any liability that may arise.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August 16, 2024, Shamik Parikh, the Company’s Chief Medical Officer, adopted a trading arrangement for the sale of Common Stock that is intended to satisfy the affirmative defense conditions provided by Rule 10b5-1(c) under the Exchange Act. (the “Parikh 10b5-1 Plan”). The Parikh 10b5-1 Plan provides for a first possible trade date of November 21, 2024 and terminates automatically on the earlier of the execution of all trades contemplated by the Parikh 10b5-1 Plan, or August 25, 2025. The Parikh 10b5-1 Plan provides for the sale of up to 181,512 shares of Common Stock pursuant to its terms.</w:t>
      </w:r>
    </w:p>
    <w:p>
      <w:pPr>
        <w:spacing w:after="0" w:line="15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September 13, 2024, Dale Sander, the Company’s Chief Financial Officer, adopted a trading arrangement for the sale of Common Stock that is intended to satisfy the affirmative defense conditions provided by Rule 10b5-1(c) under the Exchange Act. (the “Sander 10b5-1 Plan”). The Sander 10b5-1 Plan provides for a first possible trade date of December 12, 2024 and terminates automatically on the earlier of the execution of all trades contemplated by the Sander 10b5-1 Plan, or September 12, 2025. The Sander 10b5-1 Plan provides for the sale of up to 189,860 shares of Common Stock pursuant to its terms.</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September 30, 2024, no director or officer (as defined in Rule 16a-1(f) under the Exchange Act) of the Company adopted or terminated any “Rule 10b5-1 trading arrangement” or any “non 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40"/>
          </w:cols>
          <w:pgMar w:left="320" w:top="513"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6214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88"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Form of Common Stock Purchase Warrant (incorporated by reference to Exhibit 4.1 to Humacyte, Inc.’s Current Report on Form 8-K,</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filed with the SEC on October 7, 2024).</w:t>
        </w:r>
      </w:hyperlink>
    </w:p>
    <w:p>
      <w:pPr>
        <w:spacing w:after="0" w:line="68" w:lineRule="exact"/>
        <w:rPr>
          <w:sz w:val="20"/>
          <w:szCs w:val="20"/>
          <w:color w:val="auto"/>
        </w:rPr>
      </w:pPr>
    </w:p>
    <w:p>
      <w:pPr>
        <w:ind w:right="480"/>
        <w:spacing w:after="0" w:line="250"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Purchase Agreement, dated as of September 24, 2024, by and between Humacyte, Inc. and Lincoln Park Capital Fund, LLC</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(incorporated by reference to Exhibit 10.1 to Humacyte Inc.’s Current Report on Form 8-K, filed with the SEC on September 25,</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2024).</w:t>
        </w:r>
      </w:hyperlink>
    </w:p>
    <w:p>
      <w:pPr>
        <w:spacing w:after="0" w:line="6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720"/>
            <w:col w:w="9760"/>
          </w:cols>
          <w:pgMar w:left="320" w:top="51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740" w:type="dxa"/>
            <w:vAlign w:val="bottom"/>
            <w:gridSpan w:val="12"/>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Registration Rights Agreement, dated as of September 24, 2024, by and between Humacyte, Inc. and Lincoln Park Capital Fund, LLC</w:t>
              </w:r>
            </w:hyperlink>
          </w:p>
        </w:tc>
      </w:tr>
      <w:tr>
        <w:trPr>
          <w:trHeight w:val="183"/>
        </w:trPr>
        <w:tc>
          <w:tcPr>
            <w:tcW w:w="1460" w:type="dxa"/>
            <w:vAlign w:val="bottom"/>
          </w:tcPr>
          <w:p>
            <w:pPr>
              <w:spacing w:after="0"/>
              <w:rPr>
                <w:sz w:val="15"/>
                <w:szCs w:val="15"/>
                <w:color w:val="auto"/>
              </w:rPr>
            </w:pPr>
          </w:p>
        </w:tc>
        <w:tc>
          <w:tcPr>
            <w:tcW w:w="964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(incorporated by reference to Exhibit 10.2 to Humacyte Inc.’s Current Report on Form 8-K, filed with the SEC on September 25,</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46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78">
              <w:r>
                <w:rPr>
                  <w:rFonts w:ascii="Times New Roman" w:cs="Times New Roman" w:eastAsia="Times New Roman" w:hAnsi="Times New Roman"/>
                  <w:sz w:val="18"/>
                  <w:szCs w:val="18"/>
                  <w:color w:val="0000FF"/>
                  <w:w w:val="94"/>
                </w:rPr>
                <w:t>2024).</w:t>
              </w:r>
            </w:hyperlink>
          </w:p>
        </w:tc>
        <w:tc>
          <w:tcPr>
            <w:tcW w:w="440" w:type="dxa"/>
            <w:vAlign w:val="bottom"/>
            <w:tcBorders>
              <w:top w:val="single" w:sz="8" w:color="0000FF"/>
            </w:tcBorders>
          </w:tcPr>
          <w:p>
            <w:pPr>
              <w:spacing w:after="0"/>
              <w:rPr>
                <w:sz w:val="15"/>
                <w:szCs w:val="15"/>
                <w:color w:val="auto"/>
              </w:rPr>
            </w:pPr>
          </w:p>
        </w:tc>
        <w:tc>
          <w:tcPr>
            <w:tcW w:w="4020" w:type="dxa"/>
            <w:vAlign w:val="bottom"/>
            <w:tcBorders>
              <w:top w:val="single" w:sz="8" w:color="0000FF"/>
            </w:tcBorders>
          </w:tcPr>
          <w:p>
            <w:pPr>
              <w:spacing w:after="0"/>
              <w:rPr>
                <w:sz w:val="15"/>
                <w:szCs w:val="15"/>
                <w:color w:val="auto"/>
              </w:rPr>
            </w:pPr>
          </w:p>
        </w:tc>
        <w:tc>
          <w:tcPr>
            <w:tcW w:w="33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740" w:type="dxa"/>
            <w:vAlign w:val="bottom"/>
            <w:gridSpan w:val="12"/>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Securities Purchase Agreement, dated as of October 4, 2024, by and between Humacyte, Inc. and the investor (incorporated by</w:t>
              </w:r>
            </w:hyperlink>
          </w:p>
        </w:tc>
      </w:tr>
      <w:tr>
        <w:trPr>
          <w:trHeight w:val="183"/>
        </w:trPr>
        <w:tc>
          <w:tcPr>
            <w:tcW w:w="1460" w:type="dxa"/>
            <w:vAlign w:val="bottom"/>
          </w:tcPr>
          <w:p>
            <w:pPr>
              <w:spacing w:after="0"/>
              <w:rPr>
                <w:sz w:val="15"/>
                <w:szCs w:val="15"/>
                <w:color w:val="auto"/>
              </w:rPr>
            </w:pPr>
          </w:p>
        </w:tc>
        <w:tc>
          <w:tcPr>
            <w:tcW w:w="9120" w:type="dxa"/>
            <w:vAlign w:val="bottom"/>
            <w:tcBorders>
              <w:top w:val="single" w:sz="8" w:color="0000FF"/>
            </w:tcBorders>
            <w:gridSpan w:val="5"/>
          </w:tcPr>
          <w:p>
            <w:pPr>
              <w:spacing w:after="0" w:line="18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reference to Exhibit 10.1 to Humacyte Inc.’s Current Report on Form 8-K, filed with the SEC on October 7, 2024).</w:t>
              </w:r>
            </w:hyperlink>
          </w:p>
        </w:tc>
        <w:tc>
          <w:tcPr>
            <w:tcW w:w="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420" w:type="dxa"/>
            <w:vAlign w:val="bottom"/>
            <w:tcBorders>
              <w:top w:val="single" w:sz="8" w:color="0000FF"/>
            </w:tcBorders>
            <w:gridSpan w:val="5"/>
          </w:tcPr>
          <w:p>
            <w:pPr>
              <w:spacing w:after="0"/>
              <w:rPr>
                <w:sz w:val="15"/>
                <w:szCs w:val="15"/>
                <w:color w:val="auto"/>
              </w:rPr>
            </w:pPr>
          </w:p>
        </w:tc>
        <w:tc>
          <w:tcPr>
            <w:tcW w:w="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380" w:type="dxa"/>
            <w:vAlign w:val="bottom"/>
            <w:tcBorders>
              <w:top w:val="single" w:sz="8" w:color="0000FF"/>
            </w:tcBorders>
            <w:gridSpan w:val="4"/>
          </w:tcPr>
          <w:p>
            <w:pPr>
              <w:spacing w:after="0"/>
              <w:rPr>
                <w:sz w:val="15"/>
                <w:szCs w:val="15"/>
                <w:color w:val="auto"/>
              </w:rPr>
            </w:pPr>
          </w:p>
        </w:tc>
        <w:tc>
          <w:tcPr>
            <w:tcW w:w="3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760" w:type="dxa"/>
            <w:vAlign w:val="bottom"/>
            <w:tcBorders>
              <w:top w:val="single" w:sz="8" w:color="0000FF"/>
            </w:tcBorders>
            <w:gridSpan w:val="8"/>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The following materials from Humacyte, Inc.’s Quarterly Report on Form 10-Q for the quarter ended September 30, 2024, formatted in</w:t>
            </w:r>
          </w:p>
        </w:tc>
      </w:tr>
      <w:tr>
        <w:trPr>
          <w:trHeight w:val="203"/>
        </w:trPr>
        <w:tc>
          <w:tcPr>
            <w:tcW w:w="1460" w:type="dxa"/>
            <w:vAlign w:val="bottom"/>
          </w:tcPr>
          <w:p>
            <w:pPr>
              <w:spacing w:after="0"/>
              <w:rPr>
                <w:sz w:val="17"/>
                <w:szCs w:val="17"/>
                <w:color w:val="auto"/>
              </w:rPr>
            </w:pPr>
          </w:p>
        </w:tc>
        <w:tc>
          <w:tcPr>
            <w:tcW w:w="974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auto"/>
              </w:rPr>
              <w:t>Inline XBRL (Inline eXtensible Business Reporting Language): (i) Condensed Consolidated Balance Sheets (unaudited), (ii)</w:t>
            </w:r>
          </w:p>
        </w:tc>
      </w:tr>
      <w:tr>
        <w:trPr>
          <w:trHeight w:val="203"/>
        </w:trPr>
        <w:tc>
          <w:tcPr>
            <w:tcW w:w="1460" w:type="dxa"/>
            <w:vAlign w:val="bottom"/>
          </w:tcPr>
          <w:p>
            <w:pPr>
              <w:spacing w:after="0"/>
              <w:rPr>
                <w:sz w:val="17"/>
                <w:szCs w:val="17"/>
                <w:color w:val="auto"/>
              </w:rPr>
            </w:pPr>
          </w:p>
        </w:tc>
        <w:tc>
          <w:tcPr>
            <w:tcW w:w="974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 (iii) Condensed Consolidated Statements of</w:t>
            </w:r>
          </w:p>
        </w:tc>
      </w:tr>
      <w:tr>
        <w:trPr>
          <w:trHeight w:val="216"/>
        </w:trPr>
        <w:tc>
          <w:tcPr>
            <w:tcW w:w="146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Changes in Stockholders’ Equity (Deficit) (unaudited), (iv) Condensed Consolidated Statements of Cash Flows (unaudited), (v) Notes</w:t>
            </w:r>
          </w:p>
        </w:tc>
      </w:tr>
      <w:tr>
        <w:trPr>
          <w:trHeight w:val="234"/>
        </w:trPr>
        <w:tc>
          <w:tcPr>
            <w:tcW w:w="1460" w:type="dxa"/>
            <w:vAlign w:val="bottom"/>
          </w:tcPr>
          <w:p>
            <w:pPr>
              <w:spacing w:after="0"/>
              <w:rPr>
                <w:sz w:val="20"/>
                <w:szCs w:val="20"/>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Condensed Consolidated Financial Statements (unaudited), and (vi) Cover Page.</w:t>
            </w:r>
          </w:p>
        </w:tc>
      </w:tr>
    </w:tbl>
    <w:p>
      <w:pPr>
        <w:spacing w:after="0" w:line="76" w:lineRule="exact"/>
        <w:rPr>
          <w:sz w:val="20"/>
          <w:szCs w:val="20"/>
          <w:color w:val="auto"/>
        </w:rPr>
      </w:pPr>
    </w:p>
    <w:p>
      <w:pPr>
        <w:ind w:left="1480" w:hanging="1454"/>
        <w:spacing w:after="0"/>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8th day of November, 2024.</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HUMACYTE, INC.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17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Laura E. Niklason, M.D., Ph.D.</w:t>
            </w:r>
          </w:p>
        </w:tc>
      </w:tr>
      <w:tr>
        <w:trPr>
          <w:trHeight w:val="243"/>
        </w:trPr>
        <w:tc>
          <w:tcPr>
            <w:tcW w:w="30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Laura E. Niklason, M.D., Ph.D.</w:t>
            </w:r>
          </w:p>
        </w:tc>
      </w:tr>
      <w:tr>
        <w:trPr>
          <w:trHeight w:val="257"/>
        </w:trPr>
        <w:tc>
          <w:tcPr>
            <w:tcW w:w="30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25"/>
        </w:trPr>
        <w:tc>
          <w:tcPr>
            <w:tcW w:w="3020" w:type="dxa"/>
            <w:vAlign w:val="bottom"/>
          </w:tcPr>
          <w:p>
            <w:pPr>
              <w:spacing w:after="0"/>
              <w:rPr>
                <w:sz w:val="24"/>
                <w:szCs w:val="24"/>
                <w:color w:val="auto"/>
              </w:rPr>
            </w:pPr>
          </w:p>
        </w:tc>
        <w:tc>
          <w:tcPr>
            <w:tcW w:w="17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Dale A. Sander</w:t>
            </w:r>
          </w:p>
        </w:tc>
      </w:tr>
      <w:tr>
        <w:trPr>
          <w:trHeight w:val="243"/>
        </w:trPr>
        <w:tc>
          <w:tcPr>
            <w:tcW w:w="30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Dale A. Sander</w:t>
            </w:r>
          </w:p>
        </w:tc>
      </w:tr>
      <w:tr>
        <w:trPr>
          <w:trHeight w:val="256"/>
        </w:trPr>
        <w:tc>
          <w:tcPr>
            <w:tcW w:w="30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 Treasurer</w:t>
            </w:r>
          </w:p>
        </w:tc>
      </w:tr>
      <w:tr>
        <w:trPr>
          <w:trHeight w:val="905"/>
        </w:trPr>
        <w:tc>
          <w:tcPr>
            <w:tcW w:w="3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55</w:t>
            </w:r>
          </w:p>
        </w:tc>
      </w:tr>
    </w:tbl>
    <w:p>
      <w:pPr>
        <w:sectPr>
          <w:pgSz w:w="11900" w:h="16838" w:orient="portrait"/>
          <w:cols w:equalWidth="0" w:num="1">
            <w:col w:w="11240"/>
          </w:cols>
          <w:pgMar w:left="320" w:top="51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September 30, 2024;</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20"/>
          <w:szCs w:val="20"/>
          <w:color w:val="auto"/>
        </w:rPr>
        <w:t>Date: November 8,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22860</wp:posOffset>
            </wp:positionV>
            <wp:extent cx="33858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Laura E. Niklason, M.D., Ph.D.</w:t>
      </w:r>
    </w:p>
    <w:p>
      <w:pPr>
        <w:spacing w:after="0" w:line="51" w:lineRule="exact"/>
        <w:rPr>
          <w:sz w:val="20"/>
          <w:szCs w:val="20"/>
          <w:color w:val="auto"/>
        </w:rPr>
      </w:pPr>
    </w:p>
    <w:p>
      <w:pPr>
        <w:sectPr>
          <w:pgSz w:w="11900" w:h="16838" w:orient="portrait"/>
          <w:cols w:equalWidth="0" w:num="2">
            <w:col w:w="6560" w:space="720"/>
            <w:col w:w="3960"/>
          </w:cols>
          <w:pgMar w:left="320" w:top="977" w:right="33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2">
            <w:col w:w="6560" w:space="720"/>
            <w:col w:w="3960"/>
          </w:cols>
          <w:pgMar w:left="320" w:top="977" w:right="33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September 30, 2024;</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8, 2024</w:t>
            </w:r>
          </w:p>
        </w:tc>
        <w:tc>
          <w:tcPr>
            <w:tcW w:w="19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By:</w:t>
            </w:r>
          </w:p>
        </w:tc>
        <w:tc>
          <w:tcPr>
            <w:tcW w:w="6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518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2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89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September 30, 2024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8, 2024</w:t>
            </w:r>
          </w:p>
        </w:tc>
        <w:tc>
          <w:tcPr>
            <w:tcW w:w="22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5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September 30, 2024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8, 2024</w:t>
            </w:r>
          </w:p>
        </w:tc>
        <w:tc>
          <w:tcPr>
            <w:tcW w:w="192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By:</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c>
          <w:tcPr>
            <w:tcW w:w="4520" w:type="dxa"/>
            <w:vAlign w:val="bottom"/>
            <w:tcBorders>
              <w:bottom w:val="single" w:sz="8" w:color="auto"/>
            </w:tcBorders>
          </w:tcPr>
          <w:p>
            <w:pPr>
              <w:spacing w:after="0"/>
              <w:rPr>
                <w:sz w:val="22"/>
                <w:szCs w:val="22"/>
                <w:color w:val="auto"/>
              </w:rPr>
            </w:pPr>
          </w:p>
        </w:tc>
      </w:tr>
      <w:tr>
        <w:trPr>
          <w:trHeight w:val="244"/>
        </w:trPr>
        <w:tc>
          <w:tcPr>
            <w:tcW w:w="3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0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30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6"/>
    </w:lvl>
  </w:abstractNum>
  <w:abstractNum w:abstractNumId="6">
    <w:nsid w:val="3F2DBA31"/>
    <w:multiLevelType w:val="hybridMultilevel"/>
    <w:lvl w:ilvl="0">
      <w:lvlJc w:val="left"/>
      <w:lvlText w:val="%1."/>
      <w:numFmt w:val="decimal"/>
      <w:start w:val="8"/>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1."/>
      <w:numFmt w:val="decimal"/>
      <w:start w:val="13"/>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lvl w:ilvl="1">
      <w:lvlJc w:val="left"/>
      <w:lvlText w:val="%2"/>
      <w:numFmt w:val="decimal"/>
      <w:start w:val="104"/>
    </w:lvl>
  </w:abstractNum>
  <w:abstractNum w:abstractNumId="25">
    <w:nsid w:val="2CA88611"/>
    <w:multiLevelType w:val="hybridMultilevel"/>
    <w:lvl w:ilvl="0">
      <w:lvlJc w:val="left"/>
      <w:lvlText w:val="**"/>
      <w:numFmt w:val="bullet"/>
      <w:start w:val="1"/>
    </w:lvl>
    <w:lvl w:ilvl="1">
      <w:lvlJc w:val="left"/>
      <w:lvlText w:val="%2"/>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67" Type="http://schemas.openxmlformats.org/officeDocument/2006/relationships/hyperlink" Target="https://www.sec.gov/ix?doc=/Archives/edgar/data/1818382/000181838224000040/huma-20231231.htm#i6b5275898eb74400a18c09ddc328b269_19" TargetMode="External"/><Relationship Id="rId76" Type="http://schemas.openxmlformats.org/officeDocument/2006/relationships/hyperlink" Target="https://www.sec.gov/Archives/edgar/data/1818382/000110465924106404/tm2425697d1_ex4-1.htm" TargetMode="External"/><Relationship Id="rId77" Type="http://schemas.openxmlformats.org/officeDocument/2006/relationships/hyperlink" Target="https://www.sec.gov/Archives/edgar/data/1818382/000110465924102498/tm2424623d1_ex10-1.htm" TargetMode="External"/><Relationship Id="rId78" Type="http://schemas.openxmlformats.org/officeDocument/2006/relationships/hyperlink" Target="https://www.sec.gov/Archives/edgar/data/1818382/000110465924102498/tm2424623d1_ex10-2.htm" TargetMode="External"/><Relationship Id="rId79" Type="http://schemas.openxmlformats.org/officeDocument/2006/relationships/hyperlink" Target="https://www.sec.gov/Archives/edgar/data/1818382/000110465924106404/tm242569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2024-11-08T15:50:38Z</dcterms:created>
  <dcterms:modified xsi:type="dcterms:W3CDTF">2024-11-08T15:50:38Z</dcterms:modified>
</cp:coreProperties>
</file>