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62" w:lineRule="exact"/>
        <w:rPr>
          <w:sz w:val="24"/>
          <w:szCs w:val="24"/>
          <w:color w:val="auto"/>
        </w:rPr>
      </w:pPr>
    </w:p>
    <w:tbl>
      <w:tblPr>
        <w:tblLayout w:type="fixed"/>
        <w:tblInd w:w="880" w:type="dxa"/>
        <w:tblCellMar>
          <w:top w:w="0" w:type="dxa"/>
          <w:left w:w="0" w:type="dxa"/>
          <w:bottom w:w="0" w:type="dxa"/>
          <w:right w:w="0" w:type="dxa"/>
        </w:tblCellMar>
      </w:tblPr>
      <w:tr>
        <w:trPr>
          <w:trHeight w:val="303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preliminary prospectus supplement and the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such offer or sale is not permitted.</w:t>
            </w:r>
          </w:p>
        </w:tc>
      </w:tr>
      <w:tr>
        <w:trPr>
          <w:trHeight w:val="166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This</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in any jurisdiction where</w:t>
            </w:r>
          </w:p>
        </w:tc>
      </w:tr>
      <w:tr>
        <w:trPr>
          <w:trHeight w:val="139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is not complete and</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buy these securities</w:t>
            </w:r>
          </w:p>
        </w:tc>
      </w:tr>
      <w:tr>
        <w:trPr>
          <w:trHeight w:val="188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accompanying prospectus</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are not soliciting an offer to</w:t>
            </w:r>
          </w:p>
        </w:tc>
      </w:tr>
      <w:tr>
        <w:trPr>
          <w:trHeight w:val="472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supplement and the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accompanying prospectus are not an offer to sell these securities and</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left="5780"/>
        <w:spacing w:after="0"/>
        <w:rPr>
          <w:sz w:val="20"/>
          <w:szCs w:val="20"/>
          <w:color w:val="auto"/>
        </w:rPr>
      </w:pPr>
      <w:r>
        <w:rPr>
          <w:rFonts w:ascii="Times New Roman" w:cs="Times New Roman" w:eastAsia="Times New Roman" w:hAnsi="Times New Roman"/>
          <w:sz w:val="17"/>
          <w:szCs w:val="17"/>
          <w:b w:val="1"/>
          <w:bCs w:val="1"/>
          <w:color w:val="auto"/>
        </w:rPr>
        <w:t> Filed Pursuant to Rule 424(b)(5)</w:t>
      </w:r>
    </w:p>
    <w:p>
      <w:pPr>
        <w:spacing w:after="0" w:line="43" w:lineRule="exact"/>
        <w:rPr>
          <w:sz w:val="24"/>
          <w:szCs w:val="24"/>
          <w:color w:val="auto"/>
        </w:rPr>
      </w:pPr>
    </w:p>
    <w:p>
      <w:pPr>
        <w:ind w:left="6120"/>
        <w:spacing w:after="0"/>
        <w:rPr>
          <w:sz w:val="20"/>
          <w:szCs w:val="20"/>
          <w:color w:val="auto"/>
        </w:rPr>
      </w:pPr>
      <w:r>
        <w:rPr>
          <w:rFonts w:ascii="Times New Roman" w:cs="Times New Roman" w:eastAsia="Times New Roman" w:hAnsi="Times New Roman"/>
          <w:sz w:val="17"/>
          <w:szCs w:val="17"/>
          <w:b w:val="1"/>
          <w:bCs w:val="1"/>
          <w:color w:val="auto"/>
        </w:rPr>
        <w:t> Registration No. 333-290231​</w:t>
      </w:r>
    </w:p>
    <w:p>
      <w:pPr>
        <w:spacing w:after="0" w:line="214"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FC0014"/>
        </w:rPr>
        <w:t>Subject to completion, dated June 10, 2026</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September 22, 2025)</w:t>
      </w:r>
    </w:p>
    <w:p>
      <w:pPr>
        <w:spacing w:after="0" w:line="19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1254125</wp:posOffset>
            </wp:positionH>
            <wp:positionV relativeFrom="paragraph">
              <wp:posOffset>178435</wp:posOffset>
            </wp:positionV>
            <wp:extent cx="271716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1716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82" w:lineRule="exact"/>
        <w:rPr>
          <w:sz w:val="24"/>
          <w:szCs w:val="24"/>
          <w:color w:val="auto"/>
        </w:rPr>
      </w:pPr>
    </w:p>
    <w:p>
      <w:pPr>
        <w:ind w:right="239" w:firstLine="360"/>
        <w:spacing w:after="0" w:line="261" w:lineRule="auto"/>
        <w:rPr>
          <w:sz w:val="20"/>
          <w:szCs w:val="20"/>
          <w:color w:val="auto"/>
        </w:rPr>
      </w:pPr>
      <w:r>
        <w:rPr>
          <w:rFonts w:ascii="Times New Roman" w:cs="Times New Roman" w:eastAsia="Times New Roman" w:hAnsi="Times New Roman"/>
          <w:sz w:val="18"/>
          <w:szCs w:val="18"/>
          <w:color w:val="auto"/>
        </w:rPr>
        <w:t>We are offering             shares of our common stock, par value $0.0001 per share, pursuant to this prospectus supplement. Our common stock is listed on the Nasdaq Global Select Market (“Nasdaq”) under the symbol “HUMA.” On June 9, 2026, the last reported sale price per share of our common stock was $1.39 per share.</w:t>
      </w:r>
    </w:p>
    <w:p>
      <w:pPr>
        <w:spacing w:after="0" w:line="126" w:lineRule="exact"/>
        <w:rPr>
          <w:sz w:val="24"/>
          <w:szCs w:val="24"/>
          <w:color w:val="auto"/>
        </w:rPr>
      </w:pPr>
    </w:p>
    <w:p>
      <w:pPr>
        <w:jc w:val="both"/>
        <w:ind w:right="159" w:firstLine="360"/>
        <w:spacing w:after="0" w:line="261" w:lineRule="auto"/>
        <w:rPr>
          <w:sz w:val="20"/>
          <w:szCs w:val="20"/>
          <w:color w:val="auto"/>
        </w:rPr>
      </w:pPr>
      <w:r>
        <w:rPr>
          <w:rFonts w:ascii="Times New Roman" w:cs="Times New Roman" w:eastAsia="Times New Roman" w:hAnsi="Times New Roman"/>
          <w:sz w:val="18"/>
          <w:szCs w:val="18"/>
          <w:color w:val="auto"/>
        </w:rPr>
        <w:t>We are a “smaller reporting company” under applicable Securities and Exchange Commission (“SEC”) rules and, as such, have elected to comply with certain reduced public company disclosure requirements in this prospectus supplement and future filings. See the section entitled “</w:t>
      </w:r>
      <w:r>
        <w:rPr>
          <w:rFonts w:ascii="Times New Roman" w:cs="Times New Roman" w:eastAsia="Times New Roman" w:hAnsi="Times New Roman"/>
          <w:sz w:val="18"/>
          <w:szCs w:val="18"/>
          <w:i w:val="1"/>
          <w:iCs w:val="1"/>
          <w:color w:val="auto"/>
        </w:rPr>
        <w:t>Prospectus Supplement Summary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Implications of Being a Smaller Reporting Company</w:t>
      </w:r>
      <w:r>
        <w:rPr>
          <w:rFonts w:ascii="Times New Roman" w:cs="Times New Roman" w:eastAsia="Times New Roman" w:hAnsi="Times New Roman"/>
          <w:sz w:val="18"/>
          <w:szCs w:val="18"/>
          <w:color w:val="auto"/>
        </w:rPr>
        <w:t>.”</w:t>
      </w:r>
    </w:p>
    <w:p>
      <w:pPr>
        <w:spacing w:after="0" w:line="122" w:lineRule="exact"/>
        <w:rPr>
          <w:sz w:val="24"/>
          <w:szCs w:val="24"/>
          <w:color w:val="auto"/>
        </w:rPr>
      </w:pPr>
    </w:p>
    <w:p>
      <w:pPr>
        <w:ind w:right="27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Before investing in our common stock, you should carefully consider the risks and uncertainties described under the caption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EE"/>
        </w:rPr>
        <w:t>S-9</w:t>
      </w:r>
      <w:r>
        <w:rPr>
          <w:rFonts w:ascii="Times New Roman" w:cs="Times New Roman" w:eastAsia="Times New Roman" w:hAnsi="Times New Roman"/>
          <w:sz w:val="18"/>
          <w:szCs w:val="18"/>
          <w:b w:val="1"/>
          <w:bCs w:val="1"/>
          <w:color w:val="auto"/>
        </w:rPr>
        <w:t xml:space="preserve"> of this prospectus supplement and the documents that are incorporated by reference into this prospectus supplement.</w:t>
      </w:r>
    </w:p>
    <w:p>
      <w:pPr>
        <w:spacing w:after="0" w:line="3" w:lineRule="exact"/>
        <w:rPr>
          <w:sz w:val="24"/>
          <w:szCs w:val="24"/>
          <w:color w:val="auto"/>
        </w:rPr>
      </w:pPr>
    </w:p>
    <w:tbl>
      <w:tblPr>
        <w:tblLayout w:type="fixed"/>
        <w:tblInd w:w="360" w:type="dxa"/>
        <w:tblCellMar>
          <w:top w:w="0" w:type="dxa"/>
          <w:left w:w="0" w:type="dxa"/>
          <w:bottom w:w="0" w:type="dxa"/>
          <w:right w:w="0" w:type="dxa"/>
        </w:tblCellMar>
      </w:tblPr>
      <w:tr>
        <w:trPr>
          <w:trHeight w:val="378"/>
        </w:trPr>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gridSpan w:val="2"/>
          </w:tcPr>
          <w:p>
            <w:pPr>
              <w:ind w:left="12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Per Share</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28"/>
                <w:szCs w:val="28"/>
                <w:b w:val="1"/>
                <w:bCs w:val="1"/>
                <w:color w:val="auto"/>
                <w:vertAlign w:val="subscript"/>
              </w:rPr>
              <w:t>​</w:t>
            </w:r>
          </w:p>
        </w:tc>
      </w:tr>
      <w:tr>
        <w:trPr>
          <w:trHeight w:val="20"/>
        </w:trPr>
        <w:tc>
          <w:tcPr>
            <w:tcW w:w="45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080" w:type="dxa"/>
            <w:vAlign w:val="bottom"/>
            <w:tcBorders>
              <w:right w:val="single" w:sz="8" w:color="CCEEFF"/>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 xml:space="preserve">​ ​​$           </w:t>
            </w:r>
          </w:p>
        </w:tc>
        <w:tc>
          <w:tcPr>
            <w:tcW w:w="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3"/>
                <w:szCs w:val="23"/>
                <w:color w:val="auto"/>
                <w:vertAlign w:val="superscript"/>
              </w:rPr>
              <w:t>(1)</w:t>
            </w:r>
          </w:p>
        </w:tc>
        <w:tc>
          <w:tcPr>
            <w:tcW w:w="208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080" w:type="dxa"/>
            <w:vAlign w:val="bottom"/>
            <w:tcBorders>
              <w:right w:val="single" w:sz="8" w:color="CCEEFF"/>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wp:posOffset>
            </wp:positionH>
            <wp:positionV relativeFrom="paragraph">
              <wp:posOffset>-513715</wp:posOffset>
            </wp:positionV>
            <wp:extent cx="43376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3768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1" w:lineRule="exact"/>
        <w:rPr>
          <w:sz w:val="24"/>
          <w:szCs w:val="24"/>
          <w:color w:val="auto"/>
        </w:rPr>
      </w:pPr>
    </w:p>
    <w:p>
      <w:pPr>
        <w:ind w:left="360" w:right="979" w:hanging="356"/>
        <w:spacing w:after="0" w:line="284" w:lineRule="auto"/>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for a description of the compensation payable to the underwriters.</w:t>
      </w:r>
    </w:p>
    <w:p>
      <w:pPr>
        <w:spacing w:after="0" w:line="106" w:lineRule="exact"/>
        <w:rPr>
          <w:sz w:val="24"/>
          <w:szCs w:val="24"/>
          <w:color w:val="auto"/>
        </w:rPr>
      </w:pPr>
    </w:p>
    <w:p>
      <w:pPr>
        <w:ind w:right="239" w:firstLine="360"/>
        <w:spacing w:after="0" w:line="266" w:lineRule="auto"/>
        <w:rPr>
          <w:sz w:val="20"/>
          <w:szCs w:val="20"/>
          <w:color w:val="auto"/>
        </w:rPr>
      </w:pPr>
      <w:r>
        <w:rPr>
          <w:rFonts w:ascii="Times New Roman" w:cs="Times New Roman" w:eastAsia="Times New Roman" w:hAnsi="Times New Roman"/>
          <w:sz w:val="18"/>
          <w:szCs w:val="18"/>
          <w:color w:val="auto"/>
        </w:rPr>
        <w:t>We have granted the underwriters an option to purchase up to an additional             shares of common stock from us at the public offering price, less underwriting discounts and commissions, within 30 days from the date of this prospectus supplement.</w:t>
      </w:r>
    </w:p>
    <w:p>
      <w:pPr>
        <w:spacing w:after="0" w:line="118" w:lineRule="exact"/>
        <w:rPr>
          <w:sz w:val="24"/>
          <w:szCs w:val="24"/>
          <w:color w:val="auto"/>
        </w:rPr>
      </w:pPr>
    </w:p>
    <w:p>
      <w:pPr>
        <w:jc w:val="both"/>
        <w:ind w:right="3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passed upon the adequacy or accuracy of this prospectus supplement. Any representation to the contrary is a criminal offense.</w:t>
      </w:r>
    </w:p>
    <w:p>
      <w:pPr>
        <w:spacing w:after="0" w:line="121" w:lineRule="exact"/>
        <w:rPr>
          <w:sz w:val="24"/>
          <w:szCs w:val="24"/>
          <w:color w:val="auto"/>
        </w:rPr>
      </w:pPr>
    </w:p>
    <w:p>
      <w:pPr>
        <w:ind w:right="259" w:firstLine="360"/>
        <w:spacing w:after="0" w:line="282" w:lineRule="auto"/>
        <w:rPr>
          <w:sz w:val="20"/>
          <w:szCs w:val="20"/>
          <w:color w:val="auto"/>
        </w:rPr>
      </w:pPr>
      <w:r>
        <w:rPr>
          <w:rFonts w:ascii="Times New Roman" w:cs="Times New Roman" w:eastAsia="Times New Roman" w:hAnsi="Times New Roman"/>
          <w:sz w:val="18"/>
          <w:szCs w:val="18"/>
          <w:color w:val="auto"/>
        </w:rPr>
        <w:t>The underwriters expect to deliver the shares of common stock against payment on or about                               ,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1991360</wp:posOffset>
            </wp:positionH>
            <wp:positionV relativeFrom="paragraph">
              <wp:posOffset>97155</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153" w:lineRule="exact"/>
        <w:rPr>
          <w:sz w:val="24"/>
          <w:szCs w:val="24"/>
          <w:color w:val="auto"/>
        </w:rPr>
      </w:pPr>
    </w:p>
    <w:p>
      <w:pPr>
        <w:spacing w:after="0"/>
        <w:tabs>
          <w:tab w:leader="none" w:pos="780" w:val="left"/>
          <w:tab w:leader="none" w:pos="3000" w:val="left"/>
          <w:tab w:leader="none" w:pos="3680" w:val="left"/>
          <w:tab w:leader="none" w:pos="5060" w:val="left"/>
          <w:tab w:leader="none" w:pos="5760" w:val="left"/>
          <w:tab w:leader="none" w:pos="8200" w:val="left"/>
        </w:tabs>
        <w:rPr>
          <w:sz w:val="20"/>
          <w:szCs w:val="20"/>
          <w:color w:val="auto"/>
        </w:rPr>
      </w:pPr>
      <w:r>
        <w:rPr>
          <w:rFonts w:ascii="Times New Roman" w:cs="Times New Roman" w:eastAsia="Times New Roman" w:hAnsi="Times New Roman"/>
          <w:sz w:val="29"/>
          <w:szCs w:val="29"/>
          <w:b w:val="1"/>
          <w:bCs w:val="1"/>
          <w:color w:val="auto"/>
        </w:rPr>
        <w:t>​</w:t>
      </w:r>
      <w:r>
        <w:rPr>
          <w:sz w:val="20"/>
          <w:szCs w:val="20"/>
          <w:color w:val="auto"/>
        </w:rPr>
        <w:tab/>
      </w:r>
      <w:r>
        <w:rPr>
          <w:rFonts w:ascii="Times New Roman" w:cs="Times New Roman" w:eastAsia="Times New Roman" w:hAnsi="Times New Roman"/>
          <w:sz w:val="29"/>
          <w:szCs w:val="29"/>
          <w:b w:val="1"/>
          <w:bCs w:val="1"/>
          <w:color w:val="auto"/>
        </w:rPr>
        <w:t>Barclays</w:t>
      </w:r>
      <w:r>
        <w:rPr>
          <w:sz w:val="20"/>
          <w:szCs w:val="20"/>
          <w:color w:val="auto"/>
        </w:rPr>
        <w:tab/>
      </w:r>
      <w:r>
        <w:rPr>
          <w:rFonts w:ascii="Times New Roman" w:cs="Times New Roman" w:eastAsia="Times New Roman" w:hAnsi="Times New Roman"/>
          <w:sz w:val="29"/>
          <w:szCs w:val="29"/>
          <w:b w:val="1"/>
          <w:bCs w:val="1"/>
          <w:color w:val="auto"/>
        </w:rPr>
        <w:t>​</w:t>
      </w:r>
      <w:r>
        <w:rPr>
          <w:sz w:val="20"/>
          <w:szCs w:val="20"/>
          <w:color w:val="auto"/>
        </w:rPr>
        <w:tab/>
      </w:r>
      <w:r>
        <w:rPr>
          <w:rFonts w:ascii="Times New Roman" w:cs="Times New Roman" w:eastAsia="Times New Roman" w:hAnsi="Times New Roman"/>
          <w:sz w:val="29"/>
          <w:szCs w:val="29"/>
          <w:b w:val="1"/>
          <w:bCs w:val="1"/>
          <w:color w:val="auto"/>
        </w:rPr>
        <w:t>BTIG</w:t>
      </w:r>
      <w:r>
        <w:rPr>
          <w:sz w:val="20"/>
          <w:szCs w:val="20"/>
          <w:color w:val="auto"/>
        </w:rPr>
        <w:tab/>
      </w:r>
      <w:r>
        <w:rPr>
          <w:rFonts w:ascii="Times New Roman" w:cs="Times New Roman" w:eastAsia="Times New Roman" w:hAnsi="Times New Roman"/>
          <w:sz w:val="29"/>
          <w:szCs w:val="29"/>
          <w:b w:val="1"/>
          <w:bCs w:val="1"/>
          <w:color w:val="auto"/>
        </w:rPr>
        <w:t>​</w:t>
      </w:r>
      <w:r>
        <w:rPr>
          <w:sz w:val="20"/>
          <w:szCs w:val="20"/>
          <w:color w:val="auto"/>
        </w:rPr>
        <w:tab/>
      </w:r>
      <w:r>
        <w:rPr>
          <w:rFonts w:ascii="Times New Roman" w:cs="Times New Roman" w:eastAsia="Times New Roman" w:hAnsi="Times New Roman"/>
          <w:sz w:val="29"/>
          <w:szCs w:val="29"/>
          <w:b w:val="1"/>
          <w:bCs w:val="1"/>
          <w:color w:val="auto"/>
        </w:rPr>
        <w:t>Titan Partners</w:t>
      </w:r>
      <w:r>
        <w:rPr>
          <w:sz w:val="20"/>
          <w:szCs w:val="20"/>
          <w:color w:val="auto"/>
        </w:rPr>
        <w:tab/>
      </w:r>
      <w:r>
        <w:rPr>
          <w:rFonts w:ascii="Times New Roman" w:cs="Times New Roman" w:eastAsia="Times New Roman" w:hAnsi="Times New Roman"/>
          <w:sz w:val="29"/>
          <w:szCs w:val="29"/>
          <w:b w:val="1"/>
          <w:bCs w:val="1"/>
          <w:color w:val="auto"/>
        </w:rPr>
        <w:t>​</w:t>
      </w:r>
    </w:p>
    <w:p>
      <w:pPr>
        <w:spacing w:after="0" w:line="103"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a division of American Capital Partners</w:t>
      </w:r>
    </w:p>
    <w:p>
      <w:pPr>
        <w:spacing w:after="0" w:line="418" w:lineRule="exact"/>
        <w:rPr>
          <w:sz w:val="24"/>
          <w:szCs w:val="24"/>
          <w:color w:val="auto"/>
        </w:rPr>
      </w:pPr>
    </w:p>
    <w:p>
      <w:pPr>
        <w:sectPr>
          <w:pgSz w:w="11900" w:h="16838" w:orient="portrait"/>
          <w:cols w:equalWidth="0" w:num="2">
            <w:col w:w="1220" w:space="360"/>
            <w:col w:w="8299"/>
          </w:cols>
          <w:pgMar w:left="580" w:top="205" w:right="1440" w:bottom="1440" w:gutter="0" w:footer="0" w:header="0"/>
        </w:sectPr>
      </w:pPr>
    </w:p>
    <w:p>
      <w:pPr>
        <w:spacing w:after="0" w:line="214"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The date of this prospectus supplement is                                ,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261620</wp:posOffset>
            </wp:positionV>
            <wp:extent cx="68065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5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8" w:lineRule="exact"/>
        <w:rPr>
          <w:sz w:val="20"/>
          <w:szCs w:val="20"/>
          <w:color w:val="auto"/>
        </w:rPr>
      </w:pPr>
    </w:p>
    <w:p>
      <w:pPr>
        <w:jc w:val="center"/>
        <w:ind w:left="2520"/>
        <w:spacing w:after="0"/>
        <w:rPr>
          <w:sz w:val="20"/>
          <w:szCs w:val="20"/>
          <w:color w:val="auto"/>
        </w:rPr>
      </w:pPr>
      <w:r>
        <w:rPr>
          <w:rFonts w:ascii="Times New Roman" w:cs="Times New Roman" w:eastAsia="Times New Roman" w:hAnsi="Times New Roman"/>
          <w:sz w:val="18"/>
          <w:szCs w:val="18"/>
          <w:b w:val="1"/>
          <w:bCs w:val="1"/>
          <w:i w:val="1"/>
          <w:iCs w:val="1"/>
          <w:color w:val="auto"/>
        </w:rPr>
        <w:t>Prospectus Supplement</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SUPPLEMENT SUMMARY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DILUTION</w:t>
      </w:r>
      <w:r>
        <w:rPr>
          <w:rFonts w:ascii="Times New Roman" w:cs="Times New Roman" w:eastAsia="Times New Roman" w:hAnsi="Times New Roman"/>
          <w:sz w:val="18"/>
          <w:szCs w:val="18"/>
          <w:color w:val="000000"/>
        </w:rPr>
        <w:t>​</w:t>
      </w:r>
    </w:p>
    <w:p>
      <w:pPr>
        <w:spacing w:after="0" w:line="5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u w:val="single" w:color="auto"/>
          <w:color w:val="0000EE"/>
        </w:rPr>
        <w:t>MATERIAL U.S. FEDERAL INCOME TAX CONSIDERATIONS FOR NON-U.S.</w:t>
      </w:r>
    </w:p>
    <w:p>
      <w:pPr>
        <w:spacing w:after="0" w:line="23" w:lineRule="exact"/>
        <w:rPr>
          <w:sz w:val="20"/>
          <w:szCs w:val="20"/>
          <w:color w:val="auto"/>
        </w:rPr>
      </w:pPr>
    </w:p>
    <w:p>
      <w:pPr>
        <w:ind w:left="1440" w:hanging="180"/>
        <w:spacing w:after="0"/>
        <w:tabs>
          <w:tab w:leader="none" w:pos="1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HOLDERS</w:t>
      </w:r>
    </w:p>
    <w:p>
      <w:pPr>
        <w:spacing w:after="0" w:line="58"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UNDERWRITING</w:t>
      </w:r>
      <w:r>
        <w:rPr>
          <w:rFonts w:ascii="Times New Roman" w:cs="Times New Roman" w:eastAsia="Times New Roman" w:hAnsi="Times New Roman"/>
          <w:sz w:val="18"/>
          <w:szCs w:val="18"/>
          <w:color w:val="000000"/>
        </w:rPr>
        <w:t>​</w:t>
      </w:r>
    </w:p>
    <w:p>
      <w:pPr>
        <w:spacing w:after="0" w:line="63" w:lineRule="exact"/>
        <w:rPr>
          <w:rFonts w:ascii="Times New Roman" w:cs="Times New Roman" w:eastAsia="Times New Roman" w:hAnsi="Times New Roman"/>
          <w:sz w:val="18"/>
          <w:szCs w:val="18"/>
          <w:color w:val="auto"/>
        </w:rPr>
      </w:pPr>
    </w:p>
    <w:p>
      <w:pPr>
        <w:ind w:left="1260" w:right="54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 </w:t>
      </w: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-839470</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-521970</wp:posOffset>
            </wp:positionV>
            <wp:extent cx="5212080" cy="197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9748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-179070</wp:posOffset>
            </wp:positionV>
            <wp:extent cx="5212080" cy="196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20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i w:val="1"/>
          <w:iCs w:val="1"/>
          <w:color w:val="auto"/>
        </w:rPr>
        <w:t>Prospectus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S-2</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S-12</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S-14</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S-26</w:t>
      </w:r>
      <w:r>
        <w:rPr>
          <w:rFonts w:ascii="Times New Roman" w:cs="Times New Roman" w:eastAsia="Times New Roman" w:hAnsi="Times New Roman"/>
          <w:sz w:val="18"/>
          <w:szCs w:val="18"/>
          <w:color w:val="auto"/>
        </w:rPr>
        <w:t>​</w:t>
      </w:r>
    </w:p>
    <w:p>
      <w:pPr>
        <w:spacing w:after="0" w:line="628" w:lineRule="exact"/>
        <w:rPr>
          <w:sz w:val="20"/>
          <w:szCs w:val="20"/>
          <w:color w:val="auto"/>
        </w:rPr>
      </w:pPr>
    </w:p>
    <w:p>
      <w:pPr>
        <w:sectPr>
          <w:pgSz w:w="11900" w:h="16838" w:orient="portrait"/>
          <w:cols w:equalWidth="0" w:num="2">
            <w:col w:w="8220" w:space="720"/>
            <w:col w:w="939"/>
          </w:cols>
          <w:pgMar w:left="580" w:top="97" w:right="1440" w:bottom="1440" w:gutter="0" w:footer="0" w:header="0"/>
          <w:type w:val="continuous"/>
        </w:sectPr>
      </w:pP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-119380</wp:posOffset>
            </wp:positionV>
            <wp:extent cx="521208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289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MARKET,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INDUSTRY AND OTHER DATA</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BY REFERENCE</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CASH</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RUNWAY STATEMENT AND OUR ABILITY TO CONTINUE AS A GOING CONCERN</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PREFERRED STOCK</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CERTAIN ANTI-TAKEOVER PROVISIONS OF DELAWARE LAW AND OUR CHARTER AND</w:t>
      </w:r>
    </w:p>
    <w:p>
      <w:pPr>
        <w:spacing w:after="0" w:line="27" w:lineRule="exact"/>
        <w:rPr>
          <w:sz w:val="20"/>
          <w:szCs w:val="20"/>
          <w:color w:val="auto"/>
        </w:rPr>
      </w:pPr>
    </w:p>
    <w:p>
      <w:pPr>
        <w:ind w:left="1440" w:hanging="180"/>
        <w:spacing w:after="0"/>
        <w:tabs>
          <w:tab w:leader="none" w:pos="1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DEBT SECURITIES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SUBSCRIPTION RIGHTS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1504950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26</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28</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auto"/>
        </w:rPr>
        <w:t>​</w:t>
      </w:r>
    </w:p>
    <w:p>
      <w:pPr>
        <w:sectPr>
          <w:pgSz w:w="11900" w:h="16838" w:orient="portrait"/>
          <w:cols w:equalWidth="0" w:num="2">
            <w:col w:w="8760" w:space="360"/>
            <w:col w:w="75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2" w:lineRule="exact"/>
        <w:rPr>
          <w:sz w:val="20"/>
          <w:szCs w:val="20"/>
          <w:color w:val="auto"/>
        </w:rPr>
      </w:pPr>
    </w:p>
    <w:p>
      <w:pPr>
        <w:ind w:left="1260" w:right="419" w:firstLine="3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document is composed of two parts. The first part is this prospectus supplement, which describes the specific terms of this offering of common stock, including the price, the number of shares of our common stock being offered, the risks of investing in this offering of our common stock and certain other matters relating to us and our financial condition. This prospectus supplement also adds to and updates information contained in the accompanying prospectus and the documents incorporated by reference into this prospectus supplement and the accompanying prospectus. The second part of this document is the accompanying prospectus, dated September 22, 2025, which is included as part of our shelf registration statement on </w:t>
      </w:r>
      <w:hyperlink r:id="rId31">
        <w:r>
          <w:rPr>
            <w:rFonts w:ascii="Times New Roman" w:cs="Times New Roman" w:eastAsia="Times New Roman" w:hAnsi="Times New Roman"/>
            <w:sz w:val="18"/>
            <w:szCs w:val="18"/>
            <w:u w:val="single" w:color="auto"/>
            <w:color w:val="0000EE"/>
          </w:rPr>
          <w:t>Form S-3 (File No. 333-290231)</w:t>
        </w:r>
      </w:hyperlink>
      <w:r>
        <w:rPr>
          <w:rFonts w:ascii="Times New Roman" w:cs="Times New Roman" w:eastAsia="Times New Roman" w:hAnsi="Times New Roman"/>
          <w:sz w:val="18"/>
          <w:szCs w:val="18"/>
          <w:color w:val="auto"/>
        </w:rPr>
        <w:t>. That registration statement and the accompanying prospectus provide more general information about securities that we may offer from time to time, some of which may not apply to this offering. It is important for you to read and consider carefully all information contained or incorporated by reference in this prospectus supplement and the accompanying prospectus before investing in our common stock. See the sections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Reference</w:t>
      </w:r>
      <w:r>
        <w:rPr>
          <w:rFonts w:ascii="Times New Roman" w:cs="Times New Roman" w:eastAsia="Times New Roman" w:hAnsi="Times New Roman"/>
          <w:sz w:val="18"/>
          <w:szCs w:val="18"/>
          <w:color w:val="auto"/>
        </w:rPr>
        <w:t>” for additional information.</w:t>
      </w:r>
    </w:p>
    <w:p>
      <w:pPr>
        <w:spacing w:after="0" w:line="338"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This prospectus supplement describes the terms of this offering of common stock and also adds to and updates information contained in the documents incorporated by reference into this prospectus supplement. To the extent the information contained in this prospectus supplement differs or varies from the information contained in the accompanying prospectus or documents previously filed with the SEC that are incorporated by reference herein, the information in this prospectus supplement will supersede such information.</w:t>
      </w:r>
    </w:p>
    <w:p>
      <w:pPr>
        <w:spacing w:after="0" w:line="102" w:lineRule="exact"/>
        <w:rPr>
          <w:sz w:val="20"/>
          <w:szCs w:val="20"/>
          <w:color w:val="auto"/>
        </w:rPr>
      </w:pPr>
    </w:p>
    <w:p>
      <w:pPr>
        <w:ind w:left="1260" w:right="1059" w:firstLine="360"/>
        <w:spacing w:after="0" w:line="266"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prospectus supplement to “we,” “our,” “us,” “our company” and “the Company” refer to Humacyte, Inc. and its consolidated subsidiaries.</w:t>
      </w:r>
    </w:p>
    <w:p>
      <w:pPr>
        <w:spacing w:after="0" w:line="10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17" w:lineRule="exact"/>
        <w:rPr>
          <w:sz w:val="20"/>
          <w:szCs w:val="20"/>
          <w:color w:val="auto"/>
        </w:rPr>
      </w:pPr>
    </w:p>
    <w:p>
      <w:pPr>
        <w:ind w:left="1260" w:right="419" w:firstLine="360"/>
        <w:spacing w:after="0" w:line="270" w:lineRule="auto"/>
        <w:rPr>
          <w:sz w:val="20"/>
          <w:szCs w:val="20"/>
          <w:color w:val="auto"/>
        </w:rPr>
      </w:pPr>
      <w:r>
        <w:rPr>
          <w:rFonts w:ascii="Times New Roman" w:cs="Times New Roman" w:eastAsia="Times New Roman" w:hAnsi="Times New Roman"/>
          <w:sz w:val="17"/>
          <w:szCs w:val="17"/>
          <w:b w:val="1"/>
          <w:bCs w:val="1"/>
          <w:color w:val="auto"/>
        </w:rPr>
        <w:t>Neither we nor the underwriters have authorized anyone to provide you with information that is different from or in addition to that contained or incorporated by reference in this prospectus supplement or the accompanying prospectus prepared by us or on our behalf. Neither we nor the underwriters take any responsibility for, and can provide no assurance as to the reliability of, any information that others may give. We are not making an offer to sell or soliciting an offer to buy our securities under any circumstances where the offer or solicitation is not permitted. You should not assume that the information in this prospectus supplement and the accompanying prospectus is accurate as of any date other than the respective date of each of those documents, or that any information in documents that we have incorporated by reference is accurate as of any date other than the date of the document incorporated by reference, regardless of the time of delivery of this prospectus supplement or any sale of shares of our common stock hereunder. Our business, financial condition, results of operations and prospects may have changed since those dates.</w:t>
      </w:r>
    </w:p>
    <w:p>
      <w:pPr>
        <w:spacing w:after="0" w:line="9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supplement and the accompanying prospectus in any jurisdiction where action for that purpose is required. The securities offered by this prospectus supplement and the accompanying prospectus may not be offered or sold, directly or indirectly, nor may this prospectus supplement,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and the accompanying prospectus comes are advised to inform themselves about and to observe any restrictions relating to the offering and the distribution of this prospectus supplement.</w:t>
      </w:r>
    </w:p>
    <w:p>
      <w:pPr>
        <w:spacing w:after="0" w:line="200" w:lineRule="exact"/>
        <w:rPr>
          <w:sz w:val="20"/>
          <w:szCs w:val="20"/>
          <w:color w:val="auto"/>
        </w:rPr>
      </w:pPr>
    </w:p>
    <w:p>
      <w:pPr>
        <w:spacing w:after="0" w:line="39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This prospectus supplement and the documents incorporated by reference herein contain “forward-looking statements” within the meaning of Section 27A of the Securities Act of 1933, as amended (the “Securities Act”), and Section 21E of the Securities Exchange Act of 1934, as amended (the “Exchange Act”). These forward -looking statements reflect our current views with respect to, among other things, future events and our financial performance. Any statements about our management’s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All forward-looking statements, expressed or implied, included herewith are expressly qualified in their entirety by the cautionary statements contained or referred to herein. The inclusion of forward-looking information in this prospectus supplement, the accompanying prospectus and the documents incorporated by reference herein and therein should not be regarded as a representation by us or any other person that the future plans, estimates or expectations contemplated by us will be achieved. We have based these forward-looking statements largely on our current expectations and projections about future events and financial trends that we believe may affect our financial condition, results of operations, business strategy and financial needs. Factors that may affect our results are disclosed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S-9</w:t>
      </w:r>
      <w:r>
        <w:rPr>
          <w:rFonts w:ascii="Times New Roman" w:cs="Times New Roman" w:eastAsia="Times New Roman" w:hAnsi="Times New Roman"/>
          <w:sz w:val="18"/>
          <w:szCs w:val="18"/>
          <w:color w:val="auto"/>
        </w:rPr>
        <w:t xml:space="preserve"> of this prospectus supplement, and in the documents incorporated by reference herein and in the accompanying prospectus. Some of the risks and uncertainties that may cause our actual results, performance or achievements to differ materially from those expressed include, but are not limited to, the following:</w:t>
      </w:r>
    </w:p>
    <w:p>
      <w:pPr>
        <w:spacing w:after="0" w:line="61" w:lineRule="exact"/>
        <w:rPr>
          <w:sz w:val="20"/>
          <w:szCs w:val="20"/>
          <w:color w:val="auto"/>
        </w:rPr>
      </w:pPr>
    </w:p>
    <w:p>
      <w:pPr>
        <w:ind w:left="1800" w:right="499" w:hanging="180"/>
        <w:spacing w:after="0" w:line="236"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commercialize Symvess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(acellular tissue engineered vessel-tyod or “ATEV”) and, if approved by regulatory authorities, our product candidates, successfully and on our anticipated timelines;</w:t>
      </w:r>
    </w:p>
    <w:p>
      <w:pPr>
        <w:spacing w:after="0" w:line="76"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market acceptance of and the availability of third-party coverage and reimbursement for Symvess and, if approved by regulatory authorities, our product candidates;</w:t>
      </w:r>
    </w:p>
    <w:p>
      <w:pPr>
        <w:spacing w:after="0" w:line="53" w:lineRule="exact"/>
        <w:rPr>
          <w:rFonts w:ascii="Times New Roman" w:cs="Times New Roman" w:eastAsia="Times New Roman" w:hAnsi="Times New Roman"/>
          <w:sz w:val="18"/>
          <w:szCs w:val="18"/>
          <w:color w:val="auto"/>
        </w:rPr>
      </w:pPr>
    </w:p>
    <w:p>
      <w:pPr>
        <w:ind w:left="1800" w:right="123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Symvess and, if approved by regulatory authorities, our product candidates in sufficient quantities to satisfy our clinical trial and commercial needs;</w:t>
      </w:r>
    </w:p>
    <w:p>
      <w:pPr>
        <w:spacing w:after="0" w:line="40"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size of the target populations for Symvess and, if approved by regulatory authorities, our product candidates;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our ATEVs relative to existing alternatives;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assessment of the competitive landscape;</w:t>
      </w:r>
    </w:p>
    <w:p>
      <w:pPr>
        <w:spacing w:after="0" w:line="103" w:lineRule="exact"/>
        <w:rPr>
          <w:rFonts w:ascii="Times New Roman" w:cs="Times New Roman" w:eastAsia="Times New Roman" w:hAnsi="Times New Roman"/>
          <w:sz w:val="18"/>
          <w:szCs w:val="18"/>
          <w:color w:val="auto"/>
        </w:rPr>
      </w:pPr>
    </w:p>
    <w:p>
      <w:pPr>
        <w:ind w:left="1800" w:right="121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execute product development, process development and preclinical development efforts successfully and on our anticipated timelines;</w:t>
      </w:r>
    </w:p>
    <w:p>
      <w:pPr>
        <w:spacing w:after="0" w:line="53" w:lineRule="exact"/>
        <w:rPr>
          <w:rFonts w:ascii="Times New Roman" w:cs="Times New Roman" w:eastAsia="Times New Roman" w:hAnsi="Times New Roman"/>
          <w:sz w:val="18"/>
          <w:szCs w:val="18"/>
          <w:color w:val="auto"/>
        </w:rPr>
      </w:pPr>
    </w:p>
    <w:p>
      <w:pPr>
        <w:ind w:left="1800" w:right="739" w:hanging="180"/>
        <w:spacing w:after="0" w:line="261"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anticipated timeline and ability to file applications for, and obtain marketing approvals from the United States (“U.S.”) Food and Drug Administration (“FDA”) and other regulatory authorities, including the European Medicines Agency and Israel, for our ATEVs and product candidates;</w:t>
      </w:r>
    </w:p>
    <w:p>
      <w:pPr>
        <w:spacing w:after="0" w:line="58"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expectations regarding the results of our clinical trials, including our V012 Phase 3 clinical trial, and regarding our ongoing or planned clinical trials;</w:t>
      </w:r>
    </w:p>
    <w:p>
      <w:pPr>
        <w:spacing w:after="0" w:line="40"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initiate and successfully complete clinical trials and other studies for our product candidates;</w:t>
      </w:r>
    </w:p>
    <w:p>
      <w:pPr>
        <w:spacing w:after="0" w:line="40"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and achieve the expected benefits of our cost-saving measures and whether our efforts will result in further actions or additional asset impairment charges that adversely affect our business;</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our ongoing discussions with the FDA concerning the design of our clinical trials;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rate and market opportunities;</w:t>
      </w:r>
    </w:p>
    <w:p>
      <w:pPr>
        <w:spacing w:after="0" w:line="10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proprietary scientific technology platform to build a pipeline of additional product candidates;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characteristics and performance of our ATEVs and the public perception thereof;</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strategic partnership with Fresenius Medical Care Holdings, Inc.;</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other third parties on which we rely, including our third-party manufacturers, our licensors, our suppliers and the organizations conducting our clinical trials;</w:t>
      </w:r>
    </w:p>
    <w:p>
      <w:pPr>
        <w:spacing w:after="0" w:line="53" w:lineRule="exact"/>
        <w:rPr>
          <w:rFonts w:ascii="Times New Roman" w:cs="Times New Roman" w:eastAsia="Times New Roman" w:hAnsi="Times New Roman"/>
          <w:sz w:val="18"/>
          <w:szCs w:val="18"/>
          <w:color w:val="auto"/>
        </w:rPr>
      </w:pPr>
    </w:p>
    <w:p>
      <w:pPr>
        <w:jc w:val="both"/>
        <w:ind w:left="1800" w:right="519" w:hanging="180"/>
        <w:spacing w:after="0" w:line="26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 as well as our ability to operate our business without infringing, misappropriating or otherwise violating the intellectual property rights of others;</w:t>
      </w:r>
    </w:p>
    <w:p>
      <w:pPr>
        <w:spacing w:after="0" w:line="6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confidentiality of our trade secrets, particularly with respect to our manufacturing process;</w:t>
      </w:r>
    </w:p>
    <w:p>
      <w:pPr>
        <w:spacing w:after="0" w:line="5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laws and regulatory requirements, including FDA regulations, healthcare laws and regulations, and anti-corruption laws;</w:t>
      </w:r>
    </w:p>
    <w:p>
      <w:pPr>
        <w:spacing w:after="0" w:line="53" w:lineRule="exact"/>
        <w:rPr>
          <w:rFonts w:ascii="Times New Roman" w:cs="Times New Roman" w:eastAsia="Times New Roman" w:hAnsi="Times New Roman"/>
          <w:sz w:val="18"/>
          <w:szCs w:val="18"/>
          <w:color w:val="auto"/>
        </w:rPr>
      </w:pPr>
    </w:p>
    <w:p>
      <w:pPr>
        <w:ind w:left="1800" w:right="759" w:hanging="180"/>
        <w:spacing w:after="0" w:line="261"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existing or potential claims and legal and administrative proceedings, and the merits, potential outcomes and effects of both existing and potential claims and legal and administrative proceedings, as well as regulatory determinations, on our business, prospects, financial condition and results of operations;</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qualified personnel and to manage our growth effectively;</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how long our existing cash and cash equivalents will be sufficient to fund our anticipated operating expenses, capital expenditures and debt service obligations and our ability to continue as a going concern;</w:t>
      </w:r>
    </w:p>
    <w:p>
      <w:pPr>
        <w:spacing w:after="0" w:line="6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capital requirements, including our ability to raise additional capital in the future;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and maintain effective internal controls;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liquidity and trading of our securities;</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overall global economy and increasing interest rates and inflation on our business; and</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use of proceeds from this offering.</w:t>
      </w:r>
    </w:p>
    <w:p>
      <w:pPr>
        <w:spacing w:after="0" w:line="144"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 supplement, the accompanying prospectus and the documents incorporated by reference herein and therein.</w:t>
      </w:r>
    </w:p>
    <w:p>
      <w:pPr>
        <w:spacing w:after="0" w:line="10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only predictions based on our current expectations and projections about future events and are subject to a number of risks, uncertainties and assumptions, including those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 supplement, the accompanying prospectus and the documents incorporated by reference herein and therein. Moreover, we operate in a competitive industry,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supplement, the accompanying prospectus and the documents incorporated by reference herein and therein may not occur, and actual results could differ materially and adversely from those anticipated or implied in the forward-looking statements in this prospectus supplement, the accompanying prospectus and the documents incorporated by reference herein and therein.</w:t>
      </w:r>
    </w:p>
    <w:p>
      <w:pPr>
        <w:spacing w:after="0" w:line="338" w:lineRule="exact"/>
        <w:rPr>
          <w:sz w:val="20"/>
          <w:szCs w:val="20"/>
          <w:color w:val="auto"/>
        </w:rPr>
      </w:pPr>
    </w:p>
    <w:p>
      <w:pPr>
        <w:ind w:left="1260" w:right="539" w:firstLine="360"/>
        <w:spacing w:after="0" w:line="257" w:lineRule="auto"/>
        <w:rPr>
          <w:sz w:val="20"/>
          <w:szCs w:val="20"/>
          <w:color w:val="auto"/>
        </w:rPr>
      </w:pPr>
      <w:r>
        <w:rPr>
          <w:rFonts w:ascii="Times New Roman" w:cs="Times New Roman" w:eastAsia="Times New Roman" w:hAnsi="Times New Roman"/>
          <w:sz w:val="18"/>
          <w:szCs w:val="18"/>
          <w:color w:val="auto"/>
        </w:rPr>
        <w:t>The forward-looking statements included in this prospectus supplement, the accompanying prospectus and the documents incorporated by reference herein and therein are made only as of the date of the respective document. You should not rely upon forward-looking statements as predictions of future events. Although we believe that the expectations reflected in our forward-looking statements are reasonable, we cannot guarantee that the future results, levels of activity, performance or events and circumstances reflected in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99"/>
        <w:spacing w:after="0" w:line="266" w:lineRule="auto"/>
        <w:rPr>
          <w:sz w:val="20"/>
          <w:szCs w:val="20"/>
          <w:color w:val="auto"/>
        </w:rPr>
      </w:pPr>
      <w:r>
        <w:rPr>
          <w:rFonts w:ascii="Times New Roman" w:cs="Times New Roman" w:eastAsia="Times New Roman" w:hAnsi="Times New Roman"/>
          <w:sz w:val="18"/>
          <w:szCs w:val="18"/>
          <w:color w:val="auto"/>
        </w:rPr>
        <w:t>forward-looking statements will be achieved or occur. We do not undertake any obligation to update publicly any forward-looking statements for any reason after the date of this prospectus supplement to conform these statements to actual results or to changes in expectations, except as required by law.</w:t>
      </w:r>
    </w:p>
    <w:p>
      <w:pPr>
        <w:spacing w:after="0" w:line="108"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and the documents incorporated by reference herein and therein with the understanding that the actual future results, levels of activity, performance, events and circumstances of Humacyte may be materially different from what is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60" w:lineRule="exact"/>
        <w:rPr>
          <w:sz w:val="20"/>
          <w:szCs w:val="20"/>
          <w:color w:val="auto"/>
        </w:rPr>
      </w:pPr>
    </w:p>
    <w:p>
      <w:pPr>
        <w:ind w:left="1280" w:right="39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The following summary provides a brief overview of certain information appearing elsewhere in this prospectus supplement, the accompanying prospectus and the documents incorporated by reference herein and therein, which are described under “Incorporation of Certain Documents by Reference.” Because it is a summary, it does not contain all the information that may be important to you. Before making an investment decision, you should read this entire prospectus supplement and the accompanying prospectus carefully, including the section entitled “Risk Factors” beginning on page </w:t>
      </w:r>
      <w:r>
        <w:rPr>
          <w:rFonts w:ascii="Times New Roman" w:cs="Times New Roman" w:eastAsia="Times New Roman" w:hAnsi="Times New Roman"/>
          <w:sz w:val="18"/>
          <w:szCs w:val="18"/>
          <w:i w:val="1"/>
          <w:iCs w:val="1"/>
          <w:u w:val="single" w:color="auto"/>
          <w:color w:val="0000EE"/>
        </w:rPr>
        <w:t>S-9</w:t>
      </w:r>
      <w:r>
        <w:rPr>
          <w:rFonts w:ascii="Times New Roman" w:cs="Times New Roman" w:eastAsia="Times New Roman" w:hAnsi="Times New Roman"/>
          <w:sz w:val="18"/>
          <w:szCs w:val="18"/>
          <w:i w:val="1"/>
          <w:iCs w:val="1"/>
          <w:color w:val="auto"/>
        </w:rPr>
        <w:t xml:space="preserve"> of this prospectus supplement, and in the documents incorporated by reference herein and in the accompanying prospectus, including the financial statements and the accompanying notes contained in such documents.</w:t>
      </w:r>
    </w:p>
    <w:p>
      <w:pPr>
        <w:spacing w:after="0" w:line="1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48" w:lineRule="exact"/>
        <w:rPr>
          <w:sz w:val="20"/>
          <w:szCs w:val="20"/>
          <w:color w:val="auto"/>
        </w:rPr>
      </w:pPr>
    </w:p>
    <w:p>
      <w:pPr>
        <w:ind w:left="1280" w:right="419" w:firstLine="360"/>
        <w:spacing w:after="0" w:line="243" w:lineRule="auto"/>
        <w:rPr>
          <w:sz w:val="20"/>
          <w:szCs w:val="20"/>
          <w:color w:val="auto"/>
        </w:rPr>
      </w:pPr>
      <w:r>
        <w:rPr>
          <w:rFonts w:ascii="Times New Roman" w:cs="Times New Roman" w:eastAsia="Times New Roman" w:hAnsi="Times New Roman"/>
          <w:sz w:val="18"/>
          <w:szCs w:val="18"/>
          <w:color w:val="auto"/>
        </w:rPr>
        <w:t>We are a commercial-stage biotechnology platform company developing universally implantable, bioengineered human tissues at commercial scale, and in the first quarter of 2025 we commenced the United States commercial launch of Symvess, our first FDA-approved product. We are pioneering the development and manufacture of off-the-shelf, universally implantable, bioengineered human tissues, advanced tissue constructs and organ systems with the goal of improving the lives of patients and transforming the practice of medicine. We believe our regenerative medicine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bioengineered, acellular human tissues for use in the treatment of diseases and conditions across a range of anatomic locations in multiple therapeutic areas.</w:t>
      </w:r>
    </w:p>
    <w:p>
      <w:pPr>
        <w:spacing w:after="0" w:line="118" w:lineRule="exact"/>
        <w:rPr>
          <w:sz w:val="20"/>
          <w:szCs w:val="20"/>
          <w:color w:val="auto"/>
        </w:rPr>
      </w:pPr>
    </w:p>
    <w:p>
      <w:pPr>
        <w:ind w:left="1280" w:right="519" w:firstLine="360"/>
        <w:spacing w:after="0" w:line="258" w:lineRule="auto"/>
        <w:rPr>
          <w:sz w:val="20"/>
          <w:szCs w:val="20"/>
          <w:color w:val="auto"/>
        </w:rPr>
      </w:pPr>
      <w:r>
        <w:rPr>
          <w:rFonts w:ascii="Times New Roman" w:cs="Times New Roman" w:eastAsia="Times New Roman" w:hAnsi="Times New Roman"/>
          <w:sz w:val="18"/>
          <w:szCs w:val="18"/>
          <w:color w:val="auto"/>
        </w:rPr>
        <w:t>Additional information about us and our subsidiaries is included in documents incorporated by reference in this prospectus supplement. See the sections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2" w:lineRule="exact"/>
        <w:rPr>
          <w:sz w:val="20"/>
          <w:szCs w:val="20"/>
          <w:color w:val="auto"/>
        </w:rPr>
      </w:pPr>
    </w:p>
    <w:p>
      <w:pPr>
        <w:ind w:left="1280" w:right="419" w:firstLine="360"/>
        <w:spacing w:after="0" w:line="242" w:lineRule="auto"/>
        <w:rPr>
          <w:sz w:val="20"/>
          <w:szCs w:val="20"/>
          <w:color w:val="auto"/>
        </w:rPr>
      </w:pPr>
      <w:r>
        <w:rPr>
          <w:rFonts w:ascii="Times New Roman" w:cs="Times New Roman" w:eastAsia="Times New Roman" w:hAnsi="Times New Roman"/>
          <w:sz w:val="18"/>
          <w:szCs w:val="18"/>
          <w:color w:val="auto"/>
        </w:rPr>
        <w:t>On June 10, 2026, we announced positive top-line interim results for our V012 Phase 3 clinical trial of the ATEVs in female patients with end-stage kidney disease (“ESKD”) requiring hemodialysis access. V012 is a Phase 3, prospective, multi-center, open label, randomized, two-arm comparative study conducted in the United States in up to 150 patients, with 120 patients currently enrolled. The primary measure of efficacy is total days free from in-dwelling catheter (“catheter-free days”) until 365 days, after access placement, or until access abandonment, whichever occurs first. A prespecified interim analysis was conducted after the first 80 patients enrolled had completed 12 months of follow-up. In this analysis, patients implanted with the ATEV achieved an average of 220 catheter-free days compared to 129 catheter-free days for patients who received an AV fistula. The result was statistically significant (p=0.00070), meeting the primary endpoint of the study. In accordance with the study protocol, as a result of meeting the primary endpoint, study enrollment will terminate.</w:t>
      </w:r>
    </w:p>
    <w:p>
      <w:pPr>
        <w:spacing w:after="0" w:line="329" w:lineRule="exact"/>
        <w:rPr>
          <w:sz w:val="20"/>
          <w:szCs w:val="20"/>
          <w:color w:val="auto"/>
        </w:rPr>
      </w:pPr>
    </w:p>
    <w:p>
      <w:pPr>
        <w:ind w:left="1280" w:right="479" w:firstLine="360"/>
        <w:spacing w:after="0" w:line="255" w:lineRule="auto"/>
        <w:rPr>
          <w:sz w:val="20"/>
          <w:szCs w:val="20"/>
          <w:color w:val="auto"/>
        </w:rPr>
      </w:pPr>
      <w:r>
        <w:rPr>
          <w:rFonts w:ascii="Times New Roman" w:cs="Times New Roman" w:eastAsia="Times New Roman" w:hAnsi="Times New Roman"/>
          <w:sz w:val="18"/>
          <w:szCs w:val="18"/>
          <w:color w:val="auto"/>
        </w:rPr>
        <w:t>The primary safety measure in the V012 study is the number and severity of infections related to all accesses (including catheters) from the date of access creation until 365 days thereafter. Patients receiving the ATEV incurred infections at a rate of six per 100 patient years, as compared to 23 per 100 patient years for patients receiving an AV fistula procedure. There were no study access-associated infections reported in the ATEV patients, while there were three among the AV fistula patients. There were no spontaneous ruptures reported in either of the treatment groups. The overall benefit risk profile of the ATEV was observed to be favorable, with no new or unexpected safety signals identified.</w:t>
      </w:r>
    </w:p>
    <w:p>
      <w:pPr>
        <w:spacing w:after="0" w:line="121" w:lineRule="exact"/>
        <w:rPr>
          <w:sz w:val="20"/>
          <w:szCs w:val="20"/>
          <w:color w:val="auto"/>
        </w:rPr>
      </w:pPr>
    </w:p>
    <w:p>
      <w:pPr>
        <w:ind w:left="1280" w:right="739" w:firstLine="360"/>
        <w:spacing w:after="0" w:line="266" w:lineRule="auto"/>
        <w:rPr>
          <w:sz w:val="20"/>
          <w:szCs w:val="20"/>
          <w:color w:val="auto"/>
        </w:rPr>
      </w:pPr>
      <w:r>
        <w:rPr>
          <w:rFonts w:ascii="Times New Roman" w:cs="Times New Roman" w:eastAsia="Times New Roman" w:hAnsi="Times New Roman"/>
          <w:sz w:val="18"/>
          <w:szCs w:val="18"/>
          <w:color w:val="auto"/>
        </w:rPr>
        <w:t>We plan to submit a supplemental Biologics License Application (“BLA”) with the FDA during the second half of 2026 with a currently planned target indication in adult patients with ESKD who are at increased risk of AV fistula maturation failure.</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1280" w:right="719" w:firstLine="360"/>
        <w:spacing w:after="0" w:line="282" w:lineRule="auto"/>
        <w:rPr>
          <w:sz w:val="20"/>
          <w:szCs w:val="20"/>
          <w:color w:val="auto"/>
        </w:rPr>
      </w:pPr>
      <w:r>
        <w:rPr>
          <w:rFonts w:ascii="Times New Roman" w:cs="Times New Roman" w:eastAsia="Times New Roman" w:hAnsi="Times New Roman"/>
          <w:sz w:val="18"/>
          <w:szCs w:val="18"/>
          <w:color w:val="auto"/>
        </w:rPr>
        <w:t>Our common stock is traded on Nasdaq under the symbol “HUMA.” The mailing address of our principal executive office is 2525 East North Carolina Highway 54, Durham, North Carolina 27713,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639"/>
        <w:spacing w:after="0" w:line="258" w:lineRule="auto"/>
        <w:rPr>
          <w:sz w:val="20"/>
          <w:szCs w:val="20"/>
          <w:color w:val="auto"/>
        </w:rPr>
      </w:pPr>
      <w:r>
        <w:rPr>
          <w:rFonts w:ascii="Times New Roman" w:cs="Times New Roman" w:eastAsia="Times New Roman" w:hAnsi="Times New Roman"/>
          <w:sz w:val="18"/>
          <w:szCs w:val="18"/>
          <w:color w:val="auto"/>
        </w:rPr>
        <w:t>our telephone number is (919) 313-9633. Our website address is http://www.humacyte.com. The information contained in, or that can be accessed through, our website is not incorporated by reference herein and is not part of this prospectus supplement. We make available free of charge on our website our annual, quarterly and current reports, including amendments to such reports, as soon as reasonably practicable after we electronically file such material with, or furnish such material to, the SEC.</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Cash Runway Statement and our Ability to Continue as a Going Concern</w:t>
      </w:r>
    </w:p>
    <w:p>
      <w:pPr>
        <w:spacing w:after="0" w:line="162" w:lineRule="exact"/>
        <w:rPr>
          <w:sz w:val="20"/>
          <w:szCs w:val="20"/>
          <w:color w:val="auto"/>
        </w:rPr>
      </w:pPr>
    </w:p>
    <w:p>
      <w:pPr>
        <w:ind w:left="1280" w:right="599" w:firstLine="360"/>
        <w:spacing w:after="0" w:line="258" w:lineRule="auto"/>
        <w:rPr>
          <w:sz w:val="20"/>
          <w:szCs w:val="20"/>
          <w:color w:val="auto"/>
        </w:rPr>
      </w:pPr>
      <w:r>
        <w:rPr>
          <w:rFonts w:ascii="Times New Roman" w:cs="Times New Roman" w:eastAsia="Times New Roman" w:hAnsi="Times New Roman"/>
          <w:sz w:val="18"/>
          <w:szCs w:val="18"/>
          <w:color w:val="auto"/>
        </w:rPr>
        <w:t>Based on our current plans and excluding any contribution from external financing (including the proceeds from the common stock offered under this prospectus supplement), we believe that our available cash and cash equivalents on hand and existing capacity under our Common Stock Purchase Agreement, dated as of September 24, 2024, with Lincoln Park Capital Fund, LLC (the “Common Stock Purchase Agreement”) will be sufficient to fund our operations into the first quarter of 2027.</w:t>
      </w:r>
    </w:p>
    <w:p>
      <w:pPr>
        <w:spacing w:after="0" w:line="116" w:lineRule="exact"/>
        <w:rPr>
          <w:sz w:val="20"/>
          <w:szCs w:val="20"/>
          <w:color w:val="auto"/>
        </w:rPr>
      </w:pPr>
    </w:p>
    <w:p>
      <w:pPr>
        <w:ind w:left="1280" w:right="479" w:firstLine="360"/>
        <w:spacing w:after="0" w:line="252" w:lineRule="auto"/>
        <w:rPr>
          <w:sz w:val="20"/>
          <w:szCs w:val="20"/>
          <w:color w:val="auto"/>
        </w:rPr>
      </w:pPr>
      <w:r>
        <w:rPr>
          <w:rFonts w:ascii="Times New Roman" w:cs="Times New Roman" w:eastAsia="Times New Roman" w:hAnsi="Times New Roman"/>
          <w:sz w:val="18"/>
          <w:szCs w:val="18"/>
          <w:color w:val="auto"/>
        </w:rPr>
        <w:t>In accordance with Accounting Standards Update 2014-15, Disclosure of Uncertainties about an Entity’s Ability to Continue as a Going Concern (Subtopic 205-40), we are required to evaluate whether there are conditions and events, considered in the aggregate, that raise substantial doubt about our ability to continue as a going concern from the issuance date, or reissuance, of our financial statements. Because our funds currently on hand and existing capacity under our Common Stock Purchase Agreement will not be sufficient to fund our operations, as currently planned, for more than one year beyond the filing date of this prospectus supplement, we have determined that there is substantial doubt regarding our ability to continue as a going concern. The future viability of the Company is dependent on its ability to generate cash flows from the sale of Symvess and raise additional capital to finance its operations. We plan to seek additional funding through private or public equity financings, debt financings, debt refinancings or restructurings, collaborations, strategic alliances, and marketing, distribution or licensing arrangements. Adequate capital may not be available to the Company when needed or on acceptable terms. If we are unable to raise capital, we could be forced to delay, reduce, suspend or cease certain of our planned research and development programs or any future commercialization efforts, which would have a negative impact on our business, prospects, operating results and financial condition.</w:t>
      </w:r>
    </w:p>
    <w:p>
      <w:pPr>
        <w:spacing w:after="0" w:line="200" w:lineRule="exact"/>
        <w:rPr>
          <w:sz w:val="20"/>
          <w:szCs w:val="20"/>
          <w:color w:val="auto"/>
        </w:rPr>
      </w:pPr>
    </w:p>
    <w:p>
      <w:pPr>
        <w:spacing w:after="0" w:line="20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48" w:lineRule="exact"/>
        <w:rPr>
          <w:sz w:val="20"/>
          <w:szCs w:val="20"/>
          <w:color w:val="auto"/>
        </w:rPr>
      </w:pPr>
    </w:p>
    <w:p>
      <w:pPr>
        <w:ind w:left="1280" w:right="399" w:firstLine="360"/>
        <w:spacing w:after="0" w:line="253" w:lineRule="auto"/>
        <w:rPr>
          <w:sz w:val="20"/>
          <w:szCs w:val="20"/>
          <w:color w:val="auto"/>
        </w:rPr>
      </w:pPr>
      <w:r>
        <w:rPr>
          <w:rFonts w:ascii="Times New Roman" w:cs="Times New Roman" w:eastAsia="Times New Roman" w:hAnsi="Times New Roman"/>
          <w:sz w:val="18"/>
          <w:szCs w:val="18"/>
          <w:color w:val="auto"/>
        </w:rPr>
        <w:t>We are a “smaller reporting company,” meaning that the market value of our stock held by non-affiliates was less than $700 million measured on the last business day of our most recently completed second fiscal quarter, and our annual revenue was less than $100 million during our most recently completed fiscal year. We may continue to be a smaller reporting company if either (i) the market value of our stock held by non-affiliates is less than $250 million measured on the last business day of our second fiscal quarter or (ii) our annual revenue was less than $100 million during the most recently completed fiscal year and the market value of our stock held by non-affiliates is less than $700 million measured on the last business day of our second fiscal quarter. For so long as we remain a smaller reporting company, we are permitted and intend to rely on exemptions from certain disclosure and other requirements that are applicable to other public companies that are not smaller reporting companies.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Common stock to be offered</w:t>
      </w:r>
    </w:p>
    <w:p>
      <w:pPr>
        <w:spacing w:after="0" w:line="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by us</w:t>
      </w:r>
    </w:p>
    <w:p>
      <w:pPr>
        <w:spacing w:after="0" w:line="95" w:lineRule="exact"/>
        <w:rPr>
          <w:sz w:val="20"/>
          <w:szCs w:val="20"/>
          <w:color w:val="auto"/>
        </w:rPr>
      </w:pPr>
    </w:p>
    <w:p>
      <w:pPr>
        <w:ind w:left="1460" w:right="2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46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Common stock to be outstanding after this offering</w:t>
      </w:r>
    </w:p>
    <w:p>
      <w:pPr>
        <w:spacing w:after="0" w:line="2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60" w:right="26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Nasdaq Global Select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Humacyte, Inc.</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granted the underwriters an option to purchase up to</w:t>
      </w:r>
    </w:p>
    <w:p>
      <w:pPr>
        <w:spacing w:after="0" w:line="27" w:lineRule="exact"/>
        <w:rPr>
          <w:sz w:val="20"/>
          <w:szCs w:val="20"/>
          <w:color w:val="auto"/>
        </w:rPr>
      </w:pPr>
    </w:p>
    <w:p>
      <w:pPr>
        <w:ind w:right="739" w:firstLine="2"/>
        <w:spacing w:after="0" w:line="255" w:lineRule="auto"/>
        <w:tabs>
          <w:tab w:leader="none" w:pos="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additional shares of our common stock. This option is exercisable, in whole or in part, for a period of 30 days from the date of this prospectus supplement.</w:t>
      </w:r>
    </w:p>
    <w:p>
      <w:pPr>
        <w:spacing w:after="0" w:line="293" w:lineRule="exact"/>
        <w:rPr>
          <w:rFonts w:ascii="Times New Roman" w:cs="Times New Roman" w:eastAsia="Times New Roman" w:hAnsi="Times New Roman"/>
          <w:sz w:val="18"/>
          <w:szCs w:val="18"/>
          <w:color w:val="auto"/>
        </w:rPr>
      </w:pPr>
    </w:p>
    <w:p>
      <w:pPr>
        <w:ind w:right="479" w:firstLine="2"/>
        <w:spacing w:after="0" w:line="282" w:lineRule="auto"/>
        <w:tabs>
          <w:tab w:leader="none" w:pos="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(or             shares if the underwriters exercise in full their option to purchase additional shares).</w:t>
      </w:r>
    </w:p>
    <w:p>
      <w:pPr>
        <w:spacing w:after="0" w:line="54" w:lineRule="exact"/>
        <w:rPr>
          <w:sz w:val="20"/>
          <w:szCs w:val="20"/>
          <w:color w:val="auto"/>
        </w:rPr>
      </w:pPr>
    </w:p>
    <w:p>
      <w:pPr>
        <w:ind w:right="459"/>
        <w:spacing w:after="0" w:line="258" w:lineRule="auto"/>
        <w:rPr>
          <w:sz w:val="20"/>
          <w:szCs w:val="20"/>
          <w:color w:val="auto"/>
        </w:rPr>
      </w:pPr>
      <w:r>
        <w:rPr>
          <w:rFonts w:ascii="Times New Roman" w:cs="Times New Roman" w:eastAsia="Times New Roman" w:hAnsi="Times New Roman"/>
          <w:sz w:val="18"/>
          <w:szCs w:val="18"/>
          <w:color w:val="auto"/>
        </w:rPr>
        <w:t>We estimate that the net proceeds we will receive from this offering will be approximately $            (or approximately $            if the underwriters exercise in full their option to purchase additional shares), after deducting underwriting discounts and commissions and estimated offering expenses payable by us.</w:t>
      </w:r>
    </w:p>
    <w:p>
      <w:pPr>
        <w:spacing w:after="0" w:line="116" w:lineRule="exact"/>
        <w:rPr>
          <w:sz w:val="20"/>
          <w:szCs w:val="20"/>
          <w:color w:val="auto"/>
        </w:rPr>
      </w:pPr>
    </w:p>
    <w:p>
      <w:pPr>
        <w:ind w:right="599"/>
        <w:spacing w:after="0" w:line="256" w:lineRule="auto"/>
        <w:rPr>
          <w:sz w:val="20"/>
          <w:szCs w:val="20"/>
          <w:color w:val="auto"/>
        </w:rPr>
      </w:pPr>
      <w:r>
        <w:rPr>
          <w:rFonts w:ascii="Times New Roman" w:cs="Times New Roman" w:eastAsia="Times New Roman" w:hAnsi="Times New Roman"/>
          <w:sz w:val="18"/>
          <w:szCs w:val="18"/>
          <w:color w:val="auto"/>
        </w:rPr>
        <w:t>We intend to use the net proceeds from this offering to fund the commercialization of Symvess, the planned filing of a BLA supplement in a hemodialysis indication and related activities, the development of the product candidates in our pipeline and for working capital and general corporate purposes. See “</w:t>
      </w:r>
      <w:r>
        <w:rPr>
          <w:rFonts w:ascii="Times New Roman" w:cs="Times New Roman" w:eastAsia="Times New Roman" w:hAnsi="Times New Roman"/>
          <w:sz w:val="18"/>
          <w:szCs w:val="18"/>
          <w:i w:val="1"/>
          <w:iCs w:val="1"/>
          <w:color w:val="auto"/>
        </w:rPr>
        <w:t>Use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Proceeds</w:t>
      </w:r>
      <w:r>
        <w:rPr>
          <w:rFonts w:ascii="Times New Roman" w:cs="Times New Roman" w:eastAsia="Times New Roman" w:hAnsi="Times New Roman"/>
          <w:sz w:val="18"/>
          <w:szCs w:val="18"/>
          <w:color w:val="auto"/>
        </w:rPr>
        <w:t>”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S-11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prospectus supplement.</w:t>
      </w:r>
    </w:p>
    <w:p>
      <w:pPr>
        <w:spacing w:after="0" w:line="79" w:lineRule="exact"/>
        <w:rPr>
          <w:sz w:val="20"/>
          <w:szCs w:val="20"/>
          <w:color w:val="auto"/>
        </w:rPr>
      </w:pPr>
    </w:p>
    <w:p>
      <w:pPr>
        <w:ind w:right="419"/>
        <w:spacing w:after="0" w:line="25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S-9</w:t>
      </w:r>
      <w:r>
        <w:rPr>
          <w:rFonts w:ascii="Times New Roman" w:cs="Times New Roman" w:eastAsia="Times New Roman" w:hAnsi="Times New Roman"/>
          <w:sz w:val="18"/>
          <w:szCs w:val="18"/>
          <w:color w:val="auto"/>
        </w:rPr>
        <w:t xml:space="preserve"> of this prospectus supplement and other information included in, or incorporated by reference into, this prospectus supplement and the accompanying prospectus for a discussion of factors you should carefully consider before deciding to invest in shares of our common stock.</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w:t>
      </w:r>
    </w:p>
    <w:p>
      <w:pPr>
        <w:spacing w:after="0" w:line="157" w:lineRule="exact"/>
        <w:rPr>
          <w:sz w:val="20"/>
          <w:szCs w:val="20"/>
          <w:color w:val="auto"/>
        </w:rPr>
      </w:pPr>
    </w:p>
    <w:p>
      <w:pPr>
        <w:sectPr>
          <w:pgSz w:w="11900" w:h="16838" w:orient="portrait"/>
          <w:cols w:equalWidth="0" w:num="2">
            <w:col w:w="3700" w:space="600"/>
            <w:col w:w="5579"/>
          </w:cols>
          <w:pgMar w:left="580" w:top="97" w:right="1440"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8"/>
          <w:szCs w:val="18"/>
          <w:color w:val="auto"/>
        </w:rPr>
        <w:t>The number of shares of common stock that will be outstanding after this offering is based on</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222,019,108 shares of common stock outstanding as of March 31, 2026, and excludes the following:</w:t>
      </w:r>
    </w:p>
    <w:p>
      <w:pPr>
        <w:spacing w:after="0" w:line="99" w:lineRule="exact"/>
        <w:rPr>
          <w:sz w:val="20"/>
          <w:szCs w:val="20"/>
          <w:color w:val="auto"/>
        </w:rPr>
      </w:pPr>
    </w:p>
    <w:p>
      <w:pPr>
        <w:ind w:left="1820" w:right="639" w:hanging="182"/>
        <w:spacing w:after="0" w:line="261"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17,315,516 shares of common stock issuable upon the exercise of stock options outstanding as of March 31, 2026, at a weighted-average exercise price of $4.21 per share, under our 2015 Omnibus Incentive Plan (the “2015 Plan”) and our 2021 Long-Term Incentive Plan (the “2021 Plan”), of which 8,490,916 options were vested as of March 31, 2026;</w:t>
      </w:r>
    </w:p>
    <w:p>
      <w:pPr>
        <w:spacing w:after="0" w:line="71" w:lineRule="exact"/>
        <w:rPr>
          <w:rFonts w:ascii="Times New Roman" w:cs="Times New Roman" w:eastAsia="Times New Roman" w:hAnsi="Times New Roman"/>
          <w:sz w:val="18"/>
          <w:szCs w:val="18"/>
          <w:color w:val="auto"/>
        </w:rPr>
      </w:pPr>
    </w:p>
    <w:p>
      <w:pPr>
        <w:ind w:left="1820" w:right="539" w:hanging="182"/>
        <w:spacing w:after="0" w:line="282"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1,985,390 shares of common stock issuable upon the vesting of restricted stock units outstanding as of March 31, 2026 under our 2021 Plan;</w:t>
      </w:r>
    </w:p>
    <w:p>
      <w:pPr>
        <w:spacing w:after="0" w:line="53" w:lineRule="exact"/>
        <w:rPr>
          <w:rFonts w:ascii="Times New Roman" w:cs="Times New Roman" w:eastAsia="Times New Roman" w:hAnsi="Times New Roman"/>
          <w:sz w:val="18"/>
          <w:szCs w:val="18"/>
          <w:color w:val="auto"/>
        </w:rPr>
      </w:pPr>
    </w:p>
    <w:p>
      <w:pPr>
        <w:ind w:left="1820" w:right="499" w:hanging="182"/>
        <w:spacing w:after="0" w:line="282"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411,006 shares of common stock issuable upon the exercise of warrants outstanding as of March 31, 2026, at an exercise price of $10.28 per share;</w:t>
      </w:r>
    </w:p>
    <w:p>
      <w:pPr>
        <w:spacing w:after="0" w:line="53" w:lineRule="exact"/>
        <w:rPr>
          <w:rFonts w:ascii="Times New Roman" w:cs="Times New Roman" w:eastAsia="Times New Roman" w:hAnsi="Times New Roman"/>
          <w:sz w:val="18"/>
          <w:szCs w:val="18"/>
          <w:color w:val="auto"/>
        </w:rPr>
      </w:pPr>
    </w:p>
    <w:p>
      <w:pPr>
        <w:ind w:left="1820" w:right="1179" w:hanging="182"/>
        <w:spacing w:after="0" w:line="282"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5,177,500 shares of common stock issuable upon the exercise of warrants outstanding as of March 31, 2026, at an exercise price of $11.50 per share;</w:t>
      </w:r>
    </w:p>
    <w:p>
      <w:pPr>
        <w:spacing w:after="0" w:line="53" w:lineRule="exact"/>
        <w:rPr>
          <w:rFonts w:ascii="Times New Roman" w:cs="Times New Roman" w:eastAsia="Times New Roman" w:hAnsi="Times New Roman"/>
          <w:sz w:val="18"/>
          <w:szCs w:val="18"/>
          <w:color w:val="auto"/>
        </w:rPr>
      </w:pPr>
    </w:p>
    <w:p>
      <w:pPr>
        <w:ind w:left="1820" w:right="499" w:hanging="182"/>
        <w:spacing w:after="0" w:line="282"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2,840,910 shares of common stock issuable to an investor upon the exercise of warrants outstanding as of March 31, 2026, at an exercise price of $5.28 per share;</w:t>
      </w:r>
    </w:p>
    <w:p>
      <w:pPr>
        <w:spacing w:after="0" w:line="53" w:lineRule="exact"/>
        <w:rPr>
          <w:rFonts w:ascii="Times New Roman" w:cs="Times New Roman" w:eastAsia="Times New Roman" w:hAnsi="Times New Roman"/>
          <w:sz w:val="18"/>
          <w:szCs w:val="18"/>
          <w:color w:val="auto"/>
        </w:rPr>
      </w:pPr>
    </w:p>
    <w:p>
      <w:pPr>
        <w:ind w:left="1820" w:right="499" w:hanging="182"/>
        <w:spacing w:after="0" w:line="282"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1,404,494 shares of common stock issuable to an investor upon the exercise of warrants outstanding as of March 31, 2026, at an exercise price of $5.34 per share;</w:t>
      </w:r>
    </w:p>
    <w:p>
      <w:pPr>
        <w:sectPr>
          <w:pgSz w:w="11900" w:h="16838" w:orient="portrait"/>
          <w:cols w:equalWidth="0" w:num="1">
            <w:col w:w="9879"/>
          </w:cols>
          <w:pgMar w:left="580" w:top="97" w:right="1440" w:bottom="1440" w:gutter="0" w:footer="0" w:header="0"/>
          <w:type w:val="continuous"/>
        </w:sectPr>
      </w:pPr>
    </w:p>
    <w:p>
      <w:pPr>
        <w:spacing w:after="0" w:line="37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559" w:hanging="182"/>
        <w:spacing w:after="0" w:line="282"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28,436,018 shares of common stock issuable to investors upon the exercise of warrants outstanding as of March 31, 2026, at an exercise price of $2.11 per share;</w:t>
      </w:r>
    </w:p>
    <w:p>
      <w:pPr>
        <w:spacing w:after="0" w:line="53" w:lineRule="exact"/>
        <w:rPr>
          <w:rFonts w:ascii="Times New Roman" w:cs="Times New Roman" w:eastAsia="Times New Roman" w:hAnsi="Times New Roman"/>
          <w:sz w:val="18"/>
          <w:szCs w:val="18"/>
          <w:color w:val="auto"/>
        </w:rPr>
      </w:pPr>
    </w:p>
    <w:p>
      <w:pPr>
        <w:ind w:left="1820" w:right="419" w:hanging="182"/>
        <w:spacing w:after="0" w:line="282"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9,270,695 shares of common stock reserved for future issuance as of March 31, 2026, under the 2015 Plan and the 2021 Plan;</w:t>
      </w:r>
    </w:p>
    <w:p>
      <w:pPr>
        <w:spacing w:after="0" w:line="53" w:lineRule="exact"/>
        <w:rPr>
          <w:rFonts w:ascii="Times New Roman" w:cs="Times New Roman" w:eastAsia="Times New Roman" w:hAnsi="Times New Roman"/>
          <w:sz w:val="18"/>
          <w:szCs w:val="18"/>
          <w:color w:val="auto"/>
        </w:rPr>
      </w:pPr>
    </w:p>
    <w:p>
      <w:pPr>
        <w:ind w:left="1820" w:right="579" w:hanging="182"/>
        <w:spacing w:after="0" w:line="282"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2,403,846 shares of common stock issuable as of March 31, 2026, pursuant to our Loan Agreement with Avenue;</w:t>
      </w:r>
    </w:p>
    <w:p>
      <w:pPr>
        <w:spacing w:after="0" w:line="53" w:lineRule="exact"/>
        <w:rPr>
          <w:rFonts w:ascii="Times New Roman" w:cs="Times New Roman" w:eastAsia="Times New Roman" w:hAnsi="Times New Roman"/>
          <w:sz w:val="18"/>
          <w:szCs w:val="18"/>
          <w:color w:val="auto"/>
        </w:rPr>
      </w:pPr>
    </w:p>
    <w:p>
      <w:pPr>
        <w:ind w:left="1820" w:right="799" w:hanging="182"/>
        <w:spacing w:after="0" w:line="282"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4,265,625 shares of common stock issuable as of March 31, 2026 upon the exercise of a warrant issued to Avenue at an exercise price equal to $0.80;</w:t>
      </w:r>
    </w:p>
    <w:p>
      <w:pPr>
        <w:spacing w:after="0" w:line="53" w:lineRule="exact"/>
        <w:rPr>
          <w:rFonts w:ascii="Times New Roman" w:cs="Times New Roman" w:eastAsia="Times New Roman" w:hAnsi="Times New Roman"/>
          <w:sz w:val="18"/>
          <w:szCs w:val="18"/>
          <w:color w:val="auto"/>
        </w:rPr>
      </w:pPr>
    </w:p>
    <w:p>
      <w:pPr>
        <w:ind w:left="1820" w:right="639" w:hanging="182"/>
        <w:spacing w:after="0" w:line="282"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12,000,000 shares of common stock issuable as of March 31, 2026, pursuant to our common stock purchase agreement with Lincoln Park Capital Fund, LLC (“Lincoln Park”); and</w:t>
      </w:r>
    </w:p>
    <w:p>
      <w:pPr>
        <w:spacing w:after="0" w:line="53" w:lineRule="exact"/>
        <w:rPr>
          <w:rFonts w:ascii="Times New Roman" w:cs="Times New Roman" w:eastAsia="Times New Roman" w:hAnsi="Times New Roman"/>
          <w:sz w:val="18"/>
          <w:szCs w:val="18"/>
          <w:color w:val="auto"/>
        </w:rPr>
      </w:pPr>
    </w:p>
    <w:p>
      <w:pPr>
        <w:ind w:left="1820" w:right="619" w:hanging="182"/>
        <w:spacing w:after="0" w:line="266"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 shares of our common stock issuable as of March 31, 2026 as contingent consideration upon the occurrence of certain triggering events in connection with our August 2021 merger with Alpha Healthcare Acquisition Corp.</w:t>
      </w:r>
    </w:p>
    <w:p>
      <w:pPr>
        <w:spacing w:after="0" w:line="108" w:lineRule="exact"/>
        <w:rPr>
          <w:sz w:val="20"/>
          <w:szCs w:val="20"/>
          <w:color w:val="auto"/>
        </w:rPr>
      </w:pPr>
    </w:p>
    <w:p>
      <w:pPr>
        <w:ind w:left="1280" w:right="659" w:firstLine="360"/>
        <w:spacing w:after="0" w:line="266" w:lineRule="auto"/>
        <w:rPr>
          <w:sz w:val="20"/>
          <w:szCs w:val="20"/>
          <w:color w:val="auto"/>
        </w:rPr>
      </w:pPr>
      <w:r>
        <w:rPr>
          <w:rFonts w:ascii="Times New Roman" w:cs="Times New Roman" w:eastAsia="Times New Roman" w:hAnsi="Times New Roman"/>
          <w:sz w:val="18"/>
          <w:szCs w:val="18"/>
          <w:color w:val="auto"/>
        </w:rPr>
        <w:t>Except as otherwise indicated, the information in this prospectus supplement assumes no exercise of the outstanding stock options or warrants described above after March 31, 2026, and no exercise by the underwriters of their option to purchase additional shares of our common stock.</w:t>
      </w:r>
    </w:p>
    <w:p>
      <w:pPr>
        <w:spacing w:after="0" w:line="108" w:lineRule="exact"/>
        <w:rPr>
          <w:sz w:val="20"/>
          <w:szCs w:val="20"/>
          <w:color w:val="auto"/>
        </w:rPr>
      </w:pPr>
    </w:p>
    <w:p>
      <w:pPr>
        <w:jc w:val="both"/>
        <w:ind w:left="1280" w:right="419" w:firstLine="360"/>
        <w:spacing w:after="0" w:line="266" w:lineRule="auto"/>
        <w:rPr>
          <w:sz w:val="20"/>
          <w:szCs w:val="20"/>
          <w:color w:val="auto"/>
        </w:rPr>
      </w:pPr>
      <w:r>
        <w:rPr>
          <w:rFonts w:ascii="Times New Roman" w:cs="Times New Roman" w:eastAsia="Times New Roman" w:hAnsi="Times New Roman"/>
          <w:sz w:val="18"/>
          <w:szCs w:val="18"/>
          <w:color w:val="auto"/>
        </w:rPr>
        <w:t>In addition, the number of shares of common stock outstanding after the offering also excludes 240,000 shares of common stock issuable pursuant to a warrant issued on May 27, 2026 at an exercise price equal to $1.11.</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Before deciding whether to invest in our common stock, you should carefully consider the risks described below and those discussed in the documents incorporated by reference in this prospectus supplement and the accompanying prospectus, together with other information in this prospectus supplement, the accompanying prospectus and the information and documents incorporated by reference herein and therein. If any of these risks actually occurs, our business, financial condition, results of operations or cash flow could be seriously harmed. This could cause the trading price of our common stock to decline, resulting in a loss of all or part of your investment in our common stock.</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left="1260" w:right="10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Management will have broad discretion over the use of the proceeds from this offering, and may not use the proceeds effectively.</w:t>
      </w:r>
    </w:p>
    <w:p>
      <w:pPr>
        <w:spacing w:after="0" w:line="90"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Because we have not designated the amount of net proceeds from this offering to be used for any particular purpose, our management will have broad discretion as to the application of the net proceeds from this offering and could use them for purposes other than those contemplated at the time of the offering. Pending use, we may invest any net proceeds from this offering in a manner that does not produce income or loses value. Our management may use the net proceeds for corporate purposes that may not improve our financial condition or market value.</w:t>
      </w:r>
    </w:p>
    <w:p>
      <w:pPr>
        <w:spacing w:after="0" w:line="176" w:lineRule="exact"/>
        <w:rPr>
          <w:sz w:val="20"/>
          <w:szCs w:val="20"/>
          <w:color w:val="auto"/>
        </w:rPr>
      </w:pPr>
    </w:p>
    <w:p>
      <w:pPr>
        <w:ind w:left="1260" w:right="6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As an investor participating in this offering, you will experience immediate substantial dilution in the net tangible book value per share of the common stock you purchase.</w:t>
      </w:r>
    </w:p>
    <w:p>
      <w:pPr>
        <w:spacing w:after="0" w:line="9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price per share of our common stock being offered is substantially higher than the net tangible book deficit per share of our common stock outstanding prior to this offering. As a result, investors purchasing common stock in this offering will experience dilution to the extent of the difference between the public offering price per share and the net tangible book value (deficit) per share of our common stock. After giving effect to the sale of             shares of our common stock in this offering at the public offering price of $            per share and based on our net tangible book value as of March 31, 2026 of $0.05 per share, if you purchase shares of common stock in this offering you will suffer substantial and immediate dilution of $            per share in the net tangible book value of the common stock. The future exercise of outstanding options and warrants and the vesting of outstanding restricted stock units will result in further dilution of your investment. Additionally, we are party to (i) the Loan Agreement, pursuant to which we may issue up to 2,403,846 shares of our common stock to Avenue and (ii) the Purchase Agreement with Lincoln Park, pursuant to which we have sold and may continue to sell shares of common stock to Lincoln Park for gross proceeds of up to $50 million from time to time through an equity line of credit. To the extent we sell additional shares of our common stock under the Purchase Agreement, you could experience further dilution. See the section entitled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below for a more detailed discussion of the dilution you will incur if you purchase common stock in this offering.</w:t>
      </w:r>
    </w:p>
    <w:p>
      <w:pPr>
        <w:spacing w:after="0" w:line="389" w:lineRule="exact"/>
        <w:rPr>
          <w:sz w:val="20"/>
          <w:szCs w:val="20"/>
          <w:color w:val="auto"/>
        </w:rPr>
      </w:pPr>
    </w:p>
    <w:p>
      <w:pPr>
        <w:ind w:left="12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 future transactions for which we issue our common stock or other securities as consideration, or upon exercise or conversion of certain of our outstanding securities.</w:t>
      </w:r>
    </w:p>
    <w:p>
      <w:pPr>
        <w:spacing w:after="0" w:line="107"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To raise additional capital, we may in the future offer or issue as consideration in transactions, including, but not limited to, debt financings or similar arrangements,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In addition, we have outstanding securities convertible into or exchangeable for our common stock which, if exercised or converted by the applicable holders, may dilute your ownership interest in our common stock.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stock may be volatile.</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The trading price of our common stock has been, and may continue to be, volatile and could be subject to wide fluctuations in response to various factors, some of which are beyond our control. To date during 2026, the closing price of our common stock has ranged from $0.57 and $1.49 per share. In addition, the trading volume of our common stock may fluctuate and cause significant price variations to occur. In addition to the factors discussed in this “Risk Factors” section and elsewhere in this prospectus supplement or the documents incorporated by reference herein, these factors include:</w:t>
      </w:r>
    </w:p>
    <w:p>
      <w:pPr>
        <w:spacing w:after="0" w:line="79" w:lineRule="exact"/>
        <w:rPr>
          <w:sz w:val="20"/>
          <w:szCs w:val="20"/>
          <w:color w:val="auto"/>
        </w:rPr>
      </w:pPr>
    </w:p>
    <w:p>
      <w:pPr>
        <w:ind w:left="1800" w:right="103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and annual results and those of other public companies in our industry;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strategic alliances in the industry in which we operate;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and conditions in the industry in which we operate;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military conflicts or acts of terrorism;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Humacyte or our competitors;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state of the securities markets.</w:t>
      </w:r>
    </w:p>
    <w:p>
      <w:pPr>
        <w:spacing w:after="0" w:line="158"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These market and industry factors may materially reduce the market price of our common stock, regardless of our operating performance.</w:t>
      </w:r>
    </w:p>
    <w:p>
      <w:pPr>
        <w:spacing w:after="0" w:line="81"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The stock market in general has, from time to time, experienced extreme price and volume fluctuations. In addition, in the past, following periods of volatility in the overall market and decreases in the market price of a company’s securities, securities class action litigation has often been instituted against these companies. We have been in the past, and may continue to be, subject to securities litigation. Any litigation that may be brought against us could result in substantial costs and a diversion of our management’s attention and resources.</w:t>
      </w:r>
    </w:p>
    <w:p>
      <w:pPr>
        <w:spacing w:after="0" w:line="400"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i w:val="1"/>
          <w:iCs w:val="1"/>
          <w:color w:val="auto"/>
        </w:rPr>
        <w:t>We have concluded that a substantial doubt is deemed to exist concerning our ability to continue as a going concern.</w:t>
      </w:r>
    </w:p>
    <w:p>
      <w:pPr>
        <w:spacing w:after="0" w:line="160"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As discussed in the section entitled “</w:t>
      </w:r>
      <w:r>
        <w:rPr>
          <w:rFonts w:ascii="Times New Roman" w:cs="Times New Roman" w:eastAsia="Times New Roman" w:hAnsi="Times New Roman"/>
          <w:sz w:val="18"/>
          <w:szCs w:val="18"/>
          <w:i w:val="1"/>
          <w:iCs w:val="1"/>
          <w:color w:val="auto"/>
        </w:rPr>
        <w:t>Prospectus Supplement Summary — Cash Runway Statement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Ability to Continue as a Going Concern</w:t>
      </w:r>
      <w:r>
        <w:rPr>
          <w:rFonts w:ascii="Times New Roman" w:cs="Times New Roman" w:eastAsia="Times New Roman" w:hAnsi="Times New Roman"/>
          <w:sz w:val="18"/>
          <w:szCs w:val="18"/>
          <w:color w:val="auto"/>
        </w:rPr>
        <w:t>,” substantial doubt is deemed to exist about our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as a going concern. Our financial statements do not include any adjustments relating to the recoverability and classification of recorded asset amounts or the amounts and classification of liabilities that might be necessary should we be unable to continue as a going concern. Our ability to continue as a going concern will require us to generate positive cash flow from operations, obtain additional financing, enter into strategic alliances, or sell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 $            , or approximately $            if the underwriters exercise their option to purchase             additional shares, in each case, after deducting underwriting discounts and commissions and the estimated offering expenses payable by us.</w:t>
      </w:r>
    </w:p>
    <w:p>
      <w:pPr>
        <w:spacing w:after="0" w:line="112"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 fund the commercialization of Symvess, the planned filing of a BLA supplement in a hemodialysis indication and related activities, the development of the product candidates in our pipeline and for working capital and general corporate purposes. Pending these uses, we may invest the net proceeds in short-term U.S. treasury money market mutual funds.</w:t>
      </w:r>
    </w:p>
    <w:p>
      <w:pPr>
        <w:spacing w:after="0" w:line="102"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including the progress of our clinical trials and other development efforts and other factors described under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 this prospectus supplement and the documents incorporated by reference herein and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accompanying prospectus, as well as the amount of cash used in our operations. We may find it necessary or advisable to use the net proceeds for other purposes, and we will have broad discretion in the application of the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diluted immediately to the extent of the difference between the public offering price per share of our common stock and the as adjusted net tangible book value per share of our common stock immediately after this offering.</w:t>
      </w:r>
    </w:p>
    <w:p>
      <w:pPr>
        <w:spacing w:after="0" w:line="108"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As of March 31, 2026, our historical net tangible book value (deficit) was $11.6 million, or $0.05 per share. Historical net tangible book value (deficit) per share represents our historical net tangible book (deficit) value divided by the 222,019,108 shares of our common stock outstanding as of March 31, 2026.</w:t>
      </w:r>
    </w:p>
    <w:p>
      <w:pPr>
        <w:spacing w:after="0" w:line="95"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3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After giving effect to our issuance and sale of</w:t>
            </w:r>
          </w:p>
        </w:tc>
        <w:tc>
          <w:tcPr>
            <w:tcW w:w="4220" w:type="dxa"/>
            <w:vAlign w:val="bottom"/>
            <w:gridSpan w:val="8"/>
          </w:tcPr>
          <w:p>
            <w:pPr>
              <w:ind w:left="360"/>
              <w:spacing w:after="0"/>
              <w:rPr>
                <w:sz w:val="20"/>
                <w:szCs w:val="20"/>
                <w:color w:val="auto"/>
              </w:rPr>
            </w:pPr>
            <w:r>
              <w:rPr>
                <w:rFonts w:ascii="Times New Roman" w:cs="Times New Roman" w:eastAsia="Times New Roman" w:hAnsi="Times New Roman"/>
                <w:sz w:val="18"/>
                <w:szCs w:val="18"/>
                <w:color w:val="auto"/>
              </w:rPr>
              <w:t>shares of our common stock in this offering at 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 offering price of $</w:t>
            </w:r>
          </w:p>
        </w:tc>
        <w:tc>
          <w:tcPr>
            <w:tcW w:w="586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per share of common stock, and after deducting underwriting discounts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commissions and estimated offering expenses payable by us, our as adjusted net tangible book value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(deficit) as of March 31, 2026 would have been $</w:t>
            </w:r>
          </w:p>
        </w:tc>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or $</w:t>
            </w:r>
          </w:p>
        </w:tc>
        <w:tc>
          <w:tcPr>
            <w:tcW w:w="342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per share. This represents an immediate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increase in as adjusted net tangible book value (deficit) per share of $</w:t>
            </w:r>
          </w:p>
        </w:tc>
        <w:tc>
          <w:tcPr>
            <w:tcW w:w="268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to existing stockholders and an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immediate dilution of $            in as adjusted net tangible book value (deficit) per share to investors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purchasing common stock in this offering. Dilution per share to investors purchasing common stock in this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offering is determined by subtracting as adjusted net tangible book value per share after this offering from</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public offering price per share paid by investors. The following table illustrates this dilution on a per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basis:</w:t>
            </w:r>
          </w:p>
        </w:tc>
        <w:tc>
          <w:tcPr>
            <w:tcW w:w="1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340" w:type="dxa"/>
            <w:vAlign w:val="bottom"/>
            <w:gridSpan w:val="2"/>
          </w:tcPr>
          <w:p>
            <w:pPr>
              <w:spacing w:after="0"/>
              <w:rPr>
                <w:sz w:val="16"/>
                <w:szCs w:val="16"/>
                <w:color w:val="auto"/>
              </w:rPr>
            </w:pPr>
          </w:p>
        </w:tc>
        <w:tc>
          <w:tcPr>
            <w:tcW w:w="1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3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​Public offering price per share</w:t>
            </w:r>
          </w:p>
        </w:tc>
        <w:tc>
          <w:tcPr>
            <w:tcW w:w="16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 ​​ ​</w:t>
            </w:r>
          </w:p>
        </w:tc>
        <w:tc>
          <w:tcPr>
            <w:tcW w:w="7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 xml:space="preserve">​​ ​​$         </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Net tangible book value (deficit) per share as of March 31, 2026</w:t>
            </w: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​​$0.05​​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40" w:type="dxa"/>
            <w:vAlign w:val="bottom"/>
            <w:shd w:val="clear" w:color="auto" w:fill="CCEEFF"/>
          </w:tcPr>
          <w:p>
            <w:pPr>
              <w:spacing w:after="0"/>
              <w:rPr>
                <w:sz w:val="19"/>
                <w:szCs w:val="19"/>
                <w:color w:val="auto"/>
              </w:rPr>
            </w:pPr>
          </w:p>
        </w:tc>
        <w:tc>
          <w:tcPr>
            <w:tcW w:w="666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net tangible book value (deficit) per share attributable to investors</w:t>
            </w:r>
          </w:p>
        </w:tc>
        <w:tc>
          <w:tcPr>
            <w:tcW w:w="640" w:type="dxa"/>
            <w:vAlign w:val="bottom"/>
            <w:gridSpan w:val="2"/>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purchasing shares in this offering</w:t>
            </w:r>
          </w:p>
        </w:tc>
        <w:tc>
          <w:tcPr>
            <w:tcW w:w="8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7020" w:type="dxa"/>
            <w:vAlign w:val="bottom"/>
            <w:tcBorders>
              <w:top w:val="single" w:sz="8" w:color="CCEEFF"/>
            </w:tcBorders>
            <w:gridSpan w:val="8"/>
          </w:tcPr>
          <w:p>
            <w:pPr>
              <w:spacing w:after="0"/>
              <w:rPr>
                <w:sz w:val="20"/>
                <w:szCs w:val="20"/>
                <w:color w:val="auto"/>
              </w:rPr>
            </w:pPr>
            <w:r>
              <w:rPr>
                <w:rFonts w:ascii="Times New Roman" w:cs="Times New Roman" w:eastAsia="Times New Roman" w:hAnsi="Times New Roman"/>
                <w:sz w:val="18"/>
                <w:szCs w:val="18"/>
                <w:color w:val="auto"/>
              </w:rPr>
              <w:t>As adjusted net tangible book value (deficit) per share as of March 31, 2026, after giving</w:t>
            </w: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to this offering</w:t>
            </w:r>
          </w:p>
        </w:tc>
        <w:tc>
          <w:tcPr>
            <w:tcW w:w="1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60" w:type="dxa"/>
            <w:vAlign w:val="bottom"/>
            <w:gridSpan w:val="6"/>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purchasing our common stock in this offering</w:t>
            </w:r>
          </w:p>
        </w:tc>
        <w:tc>
          <w:tcPr>
            <w:tcW w:w="940" w:type="dxa"/>
            <w:vAlign w:val="bottom"/>
            <w:shd w:val="clear" w:color="auto" w:fill="CCEEFF"/>
          </w:tcPr>
          <w:p>
            <w:pPr>
              <w:spacing w:after="0"/>
              <w:rPr>
                <w:sz w:val="18"/>
                <w:szCs w:val="18"/>
                <w:color w:val="auto"/>
              </w:rPr>
            </w:pPr>
          </w:p>
        </w:tc>
        <w:tc>
          <w:tcPr>
            <w:tcW w:w="6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220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3"/>
                <w:szCs w:val="3"/>
                <w:b w:val="1"/>
                <w:bCs w:val="1"/>
                <w:color w:val="auto"/>
              </w:rPr>
              <w:t>​</w:t>
            </w:r>
            <w:r>
              <w:rPr>
                <w:rFonts w:ascii="Times New Roman" w:cs="Times New Roman" w:eastAsia="Times New Roman" w:hAnsi="Times New Roman"/>
                <w:sz w:val="3"/>
                <w:szCs w:val="3"/>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gridSpan w:val="6"/>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40" w:type="dxa"/>
            <w:vAlign w:val="bottom"/>
          </w:tcPr>
          <w:p>
            <w:pPr>
              <w:spacing w:after="0"/>
              <w:rPr>
                <w:sz w:val="24"/>
                <w:szCs w:val="24"/>
                <w:color w:val="auto"/>
              </w:rPr>
            </w:pPr>
          </w:p>
        </w:tc>
        <w:tc>
          <w:tcPr>
            <w:tcW w:w="8060" w:type="dxa"/>
            <w:vAlign w:val="bottom"/>
            <w:gridSpan w:val="10"/>
          </w:tcPr>
          <w:p>
            <w:pPr>
              <w:ind w:left="220"/>
              <w:spacing w:after="0"/>
              <w:rPr>
                <w:sz w:val="20"/>
                <w:szCs w:val="20"/>
                <w:color w:val="auto"/>
              </w:rPr>
            </w:pPr>
            <w:r>
              <w:rPr>
                <w:rFonts w:ascii="Times New Roman" w:cs="Times New Roman" w:eastAsia="Times New Roman" w:hAnsi="Times New Roman"/>
                <w:sz w:val="18"/>
                <w:szCs w:val="18"/>
                <w:color w:val="auto"/>
              </w:rPr>
              <w:t>If the underwriters exercise their option to purchase additional shares of common stock, after deducting</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underwriting discounts and commissions and estimated offering expenses payable by us, our as adjusted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tangible book value at March 31, 2026 would be approximately $</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rPr>
              <w:t>or approximately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38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per share, representing an increase in net tangible book value of $</w:t>
            </w:r>
          </w:p>
        </w:tc>
        <w:tc>
          <w:tcPr>
            <w:tcW w:w="340" w:type="dxa"/>
            <w:vAlign w:val="bottom"/>
          </w:tcPr>
          <w:p>
            <w:pPr>
              <w:spacing w:after="0"/>
              <w:rPr>
                <w:sz w:val="18"/>
                <w:szCs w:val="18"/>
                <w:color w:val="auto"/>
              </w:rPr>
            </w:pPr>
          </w:p>
        </w:tc>
        <w:tc>
          <w:tcPr>
            <w:tcW w:w="2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per share to existing</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stockholders and immediate dilution in net tangible book value of $</w:t>
            </w:r>
          </w:p>
        </w:tc>
        <w:tc>
          <w:tcPr>
            <w:tcW w:w="26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per share to investors in this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offering at the public offering price.</w:t>
            </w: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-1182370</wp:posOffset>
            </wp:positionV>
            <wp:extent cx="48602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4860290" cy="8890"/>
                    </a:xfrm>
                    <a:prstGeom prst="rect">
                      <a:avLst/>
                    </a:prstGeom>
                    <a:noFill/>
                  </pic:spPr>
                </pic:pic>
              </a:graphicData>
            </a:graphic>
          </wp:anchor>
        </w:drawing>
      </w:r>
    </w:p>
    <w:p>
      <w:pPr>
        <w:spacing w:after="0" w:line="110"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foregoing table and calculations are based on 222,019,108 shares of common stock outstanding as of March 31, 2026, and exclude the following:</w:t>
      </w:r>
    </w:p>
    <w:p>
      <w:pPr>
        <w:spacing w:after="0" w:line="54" w:lineRule="exact"/>
        <w:rPr>
          <w:sz w:val="20"/>
          <w:szCs w:val="20"/>
          <w:color w:val="auto"/>
        </w:rPr>
      </w:pPr>
    </w:p>
    <w:p>
      <w:pPr>
        <w:ind w:left="1800" w:right="659" w:hanging="180"/>
        <w:spacing w:after="0" w:line="261"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17,315,516 shares of common stock issuable upon the exercise of stock options outstanding as of March 31, 2026, at a weighted-average exercise price of $4.21 per share, under our 2015 Omnibus Incentive Plan (the “2015 Plan”) and our 2021 Long-Term Incentive Plan (the “2021 Plan”), of which 8,490,916 options were vested as of March 31, 2026;</w:t>
      </w:r>
    </w:p>
    <w:p>
      <w:pPr>
        <w:spacing w:after="0" w:line="85"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1,985,390 shares of common stock issuable upon the vesting of restricted stock units outstanding as of March 31, 2026 under our 2021 Plan;</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411,006 shares of common stock issuable upon the exercise of warrants outstanding as of March 31, 2026, at an exercise price of $10.28 per share;</w:t>
      </w:r>
    </w:p>
    <w:p>
      <w:pPr>
        <w:spacing w:after="0" w:line="67" w:lineRule="exact"/>
        <w:rPr>
          <w:rFonts w:ascii="Times New Roman" w:cs="Times New Roman" w:eastAsia="Times New Roman" w:hAnsi="Times New Roman"/>
          <w:sz w:val="18"/>
          <w:szCs w:val="18"/>
          <w:color w:val="auto"/>
        </w:rPr>
      </w:pPr>
    </w:p>
    <w:p>
      <w:pPr>
        <w:ind w:left="1800" w:right="119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5,177,500 shares of common stock issuable upon the exercise of warrants outstanding as of March 31, 2026, at an exercise price of $11.50 per share;</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2,840,910 shares of common stock issuable to an investor upon the exercise of warrants outstanding as of March 31, 2026, at an exercise price of $5.28 per share;</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1,404,494 shares of common stock issuable to an investor upon the exercise of warrants outstanding as of March 31, 2026, at an exercise price of $5.34 per share;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28,436,018 shares of common stock issuable to investors upon the exercise of warrants outstanding as of March 31, 2026, at an exercise price of $2.11 per share;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9,270,695 shares of common stock reserved for future issuance as of March 31, 2026, under the 2015 Plan and the 2021 Plan;</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2,403,846 shares of common stock issuable as of March 31, 2026, pursuant to Loan Agreement with Avenue;</w:t>
      </w:r>
    </w:p>
    <w:p>
      <w:pPr>
        <w:spacing w:after="0" w:line="53"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4,265,625 shares of common stock issuable as of March 31, 2026, upon the exercise of a warrant issued to Avenue at an exercise price equal to $0.80;</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12,000,000 shares of common stock issuable as of March 31, 2026, pursuant to our common stock purchase agreement with Lincoln Park; and</w:t>
      </w:r>
    </w:p>
    <w:p>
      <w:pPr>
        <w:spacing w:after="0" w:line="53"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 shares of our common stock issuable as of March 31, 2026 as contingent consideration upon the occurrence of certain triggering events in connection with our August 2021 merger with Alpha Healthcare Acquisition Corp.</w:t>
      </w:r>
    </w:p>
    <w:p>
      <w:pPr>
        <w:spacing w:after="0" w:line="108"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Except as otherwise indicated, the information in this prospectus supplement assumes no exercise of the outstanding stock options or warrants described above after March 31, 2026, and no exercise by the underwriters of their option to purchase additional shares of our common stock.</w:t>
      </w:r>
    </w:p>
    <w:p>
      <w:pPr>
        <w:spacing w:after="0" w:line="108"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In addition, the number of shares of common stock outstanding after the offering also excludes 240,000 shares of common stock issuable pursuant to a warrant issued on May 27, 2026 at an exercise price equal to $1.11.</w:t>
      </w:r>
    </w:p>
    <w:p>
      <w:pPr>
        <w:spacing w:after="0" w:line="95"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To the extent that we issue additional shares of our common stock, outstanding options or warrants are exercised or outstanding restricted stock units vest, investors purchasing shares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equity-based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NON-U.S. HOLDERS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of the purchase, ownership and disposition of our common stock by Non-U.S. Holders (as defined below) that acquire our common stock in this offering and hold it as a capital asset within the meaning of Section 1221 of the Internal Revenue Code of 1986, as amended, (“the Code”) (generally, property held for investment). This discussion does not purport to be a complete analysis of all potential tax effects. The effects of other U.S. federal tax laws, such as estate and gift tax laws, and any applicable state, local or non -U.S. tax laws are not discussed. This discussion is based on the Code, Treasury Regulations promulgated thereunder, judicial decisions, and published rulings and administrative pronouncements of the Internal Revenue Service (“IRS”), in each case in effect as of the date of this prospectus supplement. These authorities may change or be subject to differing interpretations at any time. Any such change or differing interpretation may be applied retroactively in a manner that could adversely affect a Non-U.S. Holder of our common stock. We have not sought and will not seek any rulings from the IRS regarding the statements made and the conclusions reached in the discussion below. There can be no assurance the IRS or a court will agree with our position discussed below regarding the U.S. federal income tax consequences of the purchase, ownership and disposition of our common stock. We cannot assure you that a change in law will not significantly alter the tax considerations described in this discussion.</w:t>
      </w:r>
    </w:p>
    <w:p>
      <w:pPr>
        <w:spacing w:after="0" w:line="325"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This discussion does not address all U.S. federal income tax consequences that may be relevant to a Non-U.S. Holder’s particular circumstances, including the alternative minimum tax and the impact of the Medicare contribution tax on net investment income. In addition, it does not address consequences relevant to Non-U.S. Holders subject to special rules, including, without limitation:</w:t>
      </w:r>
    </w:p>
    <w:p>
      <w:pPr>
        <w:spacing w:after="0" w:line="69" w:lineRule="exact"/>
        <w:rPr>
          <w:sz w:val="20"/>
          <w:szCs w:val="20"/>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90"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have elected to mark securities to market or who hold our common stock as part of a hedge, straddle or other risk reduction strategy or as part of a conversion transaction or other integrated investment;</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mutual funds and other financial institutions;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or entities wholly owned by a “qualified foreign pension fund”;</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103" w:lineRule="exact"/>
        <w:rPr>
          <w:rFonts w:ascii="Times New Roman" w:cs="Times New Roman" w:eastAsia="Times New Roman" w:hAnsi="Times New Roman"/>
          <w:sz w:val="18"/>
          <w:szCs w:val="18"/>
          <w:color w:val="auto"/>
        </w:rPr>
      </w:pPr>
    </w:p>
    <w:p>
      <w:pPr>
        <w:ind w:left="1800" w:right="137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pension plans, tax-qualified retirement plans, or governmental organizations; and</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158"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our common stock, the tax treatment of a partner in the partnership will depend on the status of the partner and the activities of the partnership. Accordingly, partnerships (and other entities or arrangements so treated for U.S. federal income tax purposes) holding our common stock and the partners in such partnerships should consult their tax advisors regarding the U.S. federal income tax consequences to them.</w:t>
      </w:r>
    </w:p>
    <w:p>
      <w:pPr>
        <w:spacing w:after="0" w:line="110" w:lineRule="exact"/>
        <w:rPr>
          <w:sz w:val="20"/>
          <w:szCs w:val="20"/>
          <w:color w:val="auto"/>
        </w:rPr>
      </w:pPr>
    </w:p>
    <w:p>
      <w:pPr>
        <w:ind w:left="1260" w:right="659" w:firstLine="360"/>
        <w:spacing w:after="0" w:line="246" w:lineRule="auto"/>
        <w:rPr>
          <w:sz w:val="20"/>
          <w:szCs w:val="20"/>
          <w:color w:val="auto"/>
        </w:rPr>
      </w:pPr>
      <w:r>
        <w:rPr>
          <w:rFonts w:ascii="Times New Roman" w:cs="Times New Roman" w:eastAsia="Times New Roman" w:hAnsi="Times New Roman"/>
          <w:sz w:val="18"/>
          <w:szCs w:val="18"/>
          <w:b w:val="1"/>
          <w:bCs w:val="1"/>
          <w:color w:val="auto"/>
        </w:rPr>
        <w:t>THIS DISCUSSION IS FOR INFORMATION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Definition of a Non-U.S. Holder</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common stock that is, or is treated as, for U.S. federal income tax purposes:</w:t>
      </w:r>
    </w:p>
    <w:p>
      <w:pPr>
        <w:spacing w:after="0" w:line="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a non-resident alien;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 any other foreign entity treated as a corporation for U.S. federal income tax purposes);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not subject to U.S. federal income taxation regardless of its source; or</w:t>
      </w:r>
    </w:p>
    <w:p>
      <w:pPr>
        <w:spacing w:after="0" w:line="314"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does not have in effect a valid election under the U.S. Treasury Regulations, to be treated as a United States person and either (i) no court within the United States is able to exercise primary</w:t>
      </w:r>
    </w:p>
    <w:p>
      <w:pPr>
        <w:jc w:val="both"/>
        <w:ind w:left="1800" w:right="6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over the trust’s administration or (ii) no “United States person” (within​ the meaning of Section 7701(a)(30) of the Code) has the authority to control all substantial decisions of that trust.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 on Common Stock</w:t>
      </w:r>
    </w:p>
    <w:p>
      <w:pPr>
        <w:spacing w:after="0" w:line="16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Distributions of cash or property on our common stock will generally constitute dividends for U.S. federal income tax purposes to the extent of our current or accumulated earnings and profits, as determined under U.S. federal income tax principles. Amounts not treated as dividends for U.S. federal income tax purposes will first constitute a tax-free return of capital to the extent of a Non-U.S. Holder’s adjusted tax basis in its common stock and thereafter capital gain, which is subject to the tax treatment described below in the section entitled “— Sale or Other Taxable Disposition”.</w:t>
      </w:r>
    </w:p>
    <w:p>
      <w:pPr>
        <w:spacing w:after="0" w:line="11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Subject to the discussion below in the sections entitled “— Information Reporting and Backup</w:t>
      </w:r>
    </w:p>
    <w:p>
      <w:pPr>
        <w:spacing w:after="0" w:line="27"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Withholding” and “— FATCA Withholding” and the discussion below on effectively connected income, dividends paid to a Non-U.S. Holder will generally be subject to U.S. federal withholding tax at a rate of 30% of the gross amount of the dividends or such lower rate specified by an applicable income tax treaty. To receive a reduced withholding rate, a Non-U.S. Holder must furnish a valid IRS Form W-8BEN or W-8BEN-E, as applicable, (or other applicable documentation) certifying qualification for the lower treaty rate. A Non-U.S. Holder that holds our common stock through a financial institution or other agent will be required to provide appropriate documentation to the financial institution or other agent, which then will be required to provide certification to us or our paying agent either directly or through other intermediaries. A Non-U.S. Holder that does not timely furnish the required documentation, but that qualifies for a reduced income tax treaty rate, may obtain a refund of any excess amounts withheld by timely filing an appropriate claim for refund with the IRS.</w:t>
      </w:r>
    </w:p>
    <w:p>
      <w:pPr>
        <w:spacing w:after="0" w:line="328"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United States (and, as provided by an applicable income tax treaty, attributable to a permanent establishment or fixed base maintained by the Non-U.S. Holder in the United States),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14"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Any such effectively connected dividends will be subject to U.S. federal income tax on a net income basis at the regular rates that also apply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Sale or Other Taxable Disposition</w:t>
      </w:r>
    </w:p>
    <w:p>
      <w:pPr>
        <w:spacing w:after="0" w:line="162" w:lineRule="exact"/>
        <w:rPr>
          <w:sz w:val="20"/>
          <w:szCs w:val="20"/>
          <w:color w:val="auto"/>
        </w:rPr>
      </w:pPr>
    </w:p>
    <w:p>
      <w:pPr>
        <w:ind w:left="1260" w:right="719" w:firstLine="360"/>
        <w:spacing w:after="0" w:line="246" w:lineRule="auto"/>
        <w:rPr>
          <w:sz w:val="20"/>
          <w:szCs w:val="20"/>
          <w:color w:val="auto"/>
        </w:rPr>
      </w:pPr>
      <w:r>
        <w:rPr>
          <w:rFonts w:ascii="Times New Roman" w:cs="Times New Roman" w:eastAsia="Times New Roman" w:hAnsi="Times New Roman"/>
          <w:sz w:val="18"/>
          <w:szCs w:val="18"/>
          <w:color w:val="auto"/>
        </w:rPr>
        <w:t>Subject to the discussion below under “— Information Reporting and Backup Withholding” and “— FATCA Withholding,” a Non-U.S. Holder generally will not be subject to U.S. federal income tax or withholding tax on any gain realized upon the sale or other taxable disposition of our common stock (including a redemption, but only if the redemption would be treated as a sale or exchange rather than a distribution for U.S. federal income tax purposes) unless:</w:t>
      </w:r>
    </w:p>
    <w:p>
      <w:pPr>
        <w:spacing w:after="0" w:line="87" w:lineRule="exact"/>
        <w:rPr>
          <w:sz w:val="20"/>
          <w:szCs w:val="20"/>
          <w:color w:val="auto"/>
        </w:rPr>
      </w:pPr>
    </w:p>
    <w:p>
      <w:pPr>
        <w:ind w:left="1800" w:right="499" w:hanging="180"/>
        <w:spacing w:after="0" w:line="261"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attributable to a permanent establishment or fixed base maintained by the Non-U.S. Holder in the United States), in which case the Non-U.S. Holder generally will be subject to U.S. federal income tax on a net income basis with</w:t>
      </w: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spacing w:after="0" w:line="250" w:lineRule="auto"/>
        <w:rPr>
          <w:sz w:val="20"/>
          <w:szCs w:val="20"/>
          <w:color w:val="auto"/>
        </w:rPr>
      </w:pPr>
      <w:r>
        <w:rPr>
          <w:rFonts w:ascii="Times New Roman" w:cs="Times New Roman" w:eastAsia="Times New Roman" w:hAnsi="Times New Roman"/>
          <w:sz w:val="18"/>
          <w:szCs w:val="18"/>
          <w:color w:val="auto"/>
        </w:rPr>
        <w:t>respect to such gain in the same manner as if such holder were a resident of the United States and, if the Non-U.S. Holder is a corporation for U.S. federal income tax purposes, may, under certain circumstances, be subject to an additional “branch profits tax” at a 30% rate (or at a lower rate under an applicable income tax treaty) on its “effectively connected” gains;</w:t>
      </w:r>
    </w:p>
    <w:p>
      <w:pPr>
        <w:spacing w:after="0" w:line="69" w:lineRule="exact"/>
        <w:rPr>
          <w:sz w:val="20"/>
          <w:szCs w:val="20"/>
          <w:color w:val="auto"/>
        </w:rPr>
      </w:pPr>
    </w:p>
    <w:p>
      <w:pPr>
        <w:ind w:left="1800" w:right="479" w:hanging="180"/>
        <w:spacing w:after="0" w:line="258"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in which case the Non-U.S. Holder generally will be subject to U.S. federal income tax at a 30% rate (or at a lower rate under an applicable income tax treaty) on the gain derived from the sale, which gain may be offset by U.S.-source capital losses for the year; or</w:t>
      </w:r>
    </w:p>
    <w:p>
      <w:pPr>
        <w:spacing w:after="0" w:line="75" w:lineRule="exact"/>
        <w:rPr>
          <w:rFonts w:ascii="Times New Roman" w:cs="Times New Roman" w:eastAsia="Times New Roman" w:hAnsi="Times New Roman"/>
          <w:sz w:val="18"/>
          <w:szCs w:val="18"/>
          <w:color w:val="auto"/>
        </w:rPr>
      </w:pPr>
    </w:p>
    <w:p>
      <w:pPr>
        <w:ind w:left="1800" w:right="479" w:hanging="180"/>
        <w:spacing w:after="0" w:line="257"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(“USRPHC” as described below) at any time within the shorter of the five-year period preceding the disposition or the Non-U.S. Holder’s holding period for our common stock (the “relevant period”) and the Non-U.S. Holder</w:t>
      </w:r>
    </w:p>
    <w:p>
      <w:pPr>
        <w:spacing w:after="0" w:line="1" w:lineRule="exact"/>
        <w:rPr>
          <w:rFonts w:ascii="Times New Roman" w:cs="Times New Roman" w:eastAsia="Times New Roman" w:hAnsi="Times New Roman"/>
          <w:sz w:val="18"/>
          <w:szCs w:val="18"/>
          <w:color w:val="auto"/>
        </w:rPr>
      </w:pPr>
    </w:p>
    <w:p>
      <w:pPr>
        <w:ind w:left="1800" w:right="4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disposes of our common stock during a calendar year when our common stock is no longer regularly traded on an established securities market or (ii) owned (actually and constructively) more than 5% of our common stock at any time during the relevant period, in which case such a Non-U.S. Holder will be subject to tax on the gain on the disposition of shares generally as if the gain were effectively connected with the conduct of a trade or business in the United States, except that the “branch profits tax” will not apply.</w:t>
      </w:r>
    </w:p>
    <w:p>
      <w:pPr>
        <w:spacing w:after="0" w:line="109"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believe we currently are not, and do not anticipate becoming, a USRPHC. Generally, a corporation is a USRPHC only if the fair market value of its United States real property interests (as defined in the Code) equals or exceeds 50% of the sum of the fair market value of its worldwide real property interests and its other assets used or held for use in a trade or business.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4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Payments of dividends on our common stock and the payment of the proceeds from the sale of our common stock effected at a U.S. office of a broker generally will not be subject to backup withholding and the payment of proceeds from the sale of our common stock effected at a U.S. office of a broker will generally not be subject to information reporting, provided the applicable withholding agent does not have actual knowledge or reason to know the Non- U.S. Holder is a United States person and the Non-U.S. Holder either certifies its non-U.S. status, such as by furnishing a valid IRS Form W-8BEN or W-8BEN-E, as applicable, or other documentation upon which it may rely to treat the payments as made to a non-U.S. person in accordance with Treasury Regulations or otherwise establishes an exemption.</w:t>
      </w:r>
    </w:p>
    <w:p>
      <w:pPr>
        <w:spacing w:after="0" w:line="11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However, we are required to file information returns with the IRS in connection with any distribution on our common stock paid to a Non-U.S. Holder, regardless of whether any tax was actually withheld. Copies of information returns that are filed with the IRS may also be made available under the provisions of an applicable treaty or agreement to the tax authorities of the country in which the Non-U.S. Holder resides or is established.</w:t>
      </w:r>
    </w:p>
    <w:p>
      <w:pPr>
        <w:spacing w:after="0" w:line="32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Payment of the proceeds from the sale of our common stock effected at a foreign office of a broker generally will not be subject to information reporting or backup withholding. However, a sale of our common stock by a Non-U.S. Holder that is effected at a foreign office of a broker will be subject to information reporting and backup withholding if (i) the proceeds are transferred to an account maintained by the Non-U.S. Holder in the United States, (ii) the payment of proceeds or the confirmation of the sale is mailed to the Non-U.S. Holder at a U.S. address or (iii) the sale has some other specified connection with the United States as provided in the Treasury Regulations, unless, in each case, the broker does not have actual knowledge or reason to know that the holder is a United States person and the documentation requirements described above are met or the Non-U.S. Holder otherwise establishes an exemption.</w:t>
      </w:r>
    </w:p>
    <w:p>
      <w:pPr>
        <w:spacing w:after="0" w:line="11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addition, a sale of our common stock will be subject to information reporting if it is effected at a foreign office of a broker that is (i) a United States person, (ii) a “controlled foreign corporation” for U.S. federal income tax purposes, (iii) a foreign person 50% or more of whose gross income is effectively connected with the conduct of a U.S. trade or business for a specified three- year period or (iv) a foreign partnership, if at any time during its tax year (a) one or more of its partners are “U.S. persons,” as defined in the Treasury Regulations, who in the aggregate hold more than 50% of the income or capital interest in the partnership</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or (b) such foreign partnership is engaged in the conduct of a trade or business in the United States, in each case unless the broker does not have actual knowledge or reason to know that the holder is a United States person and the documentation requirements described above are met or an exemption is otherwise established. Backup withholding will apply if the sale is subject to information reporting and the broker has actual knowledge that the holder is a United States person.</w:t>
      </w:r>
    </w:p>
    <w:p>
      <w:pPr>
        <w:spacing w:after="0" w:line="116"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FATCA Withholding</w:t>
      </w:r>
    </w:p>
    <w:p>
      <w:pPr>
        <w:spacing w:after="0" w:line="162" w:lineRule="exact"/>
        <w:rPr>
          <w:sz w:val="20"/>
          <w:szCs w:val="20"/>
          <w:color w:val="auto"/>
        </w:rPr>
      </w:pPr>
    </w:p>
    <w:p>
      <w:pPr>
        <w:ind w:left="1260" w:right="679" w:firstLine="360"/>
        <w:spacing w:after="0" w:line="259" w:lineRule="auto"/>
        <w:rPr>
          <w:sz w:val="20"/>
          <w:szCs w:val="20"/>
          <w:color w:val="auto"/>
        </w:rPr>
      </w:pPr>
      <w:r>
        <w:rPr>
          <w:rFonts w:ascii="Times New Roman" w:cs="Times New Roman" w:eastAsia="Times New Roman" w:hAnsi="Times New Roman"/>
          <w:sz w:val="18"/>
          <w:szCs w:val="18"/>
          <w:color w:val="auto"/>
        </w:rPr>
        <w:t>Sections 1471 through 1474 of the Code and the Treasury Regulations issued thereunder (commonly referred to as the Foreign Account Tax Compliance Act (“FATCA”)) impose a 30% withholding tax on dividends paid on our shares to, and (subject to the proposed Treasury Regulations discussed below) the gross proceeds derived from the sale or other disposition of our shares by, a foreign entity if the foreign entity is:</w:t>
      </w:r>
    </w:p>
    <w:p>
      <w:pPr>
        <w:spacing w:after="0" w:line="295" w:lineRule="exact"/>
        <w:rPr>
          <w:sz w:val="20"/>
          <w:szCs w:val="20"/>
          <w:color w:val="auto"/>
        </w:rPr>
      </w:pPr>
    </w:p>
    <w:p>
      <w:pPr>
        <w:ind w:left="1800" w:right="519" w:hanging="180"/>
        <w:spacing w:after="0" w:line="255"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financial institution” (as​ defined under FATCA) that does not furnish proper documentation, typically on IRS Form W-8BEN-E, evidencing either (i) an exemption from FATCA withholding or (ii) its compliance (or deemed compliance) with specified due diligence, reporting, withholding and certification obligations under FATCA or (iii) residence in a jurisdiction that has entered into an intergovernmental agreement with the United States relating to FATCA and compliance with the diligence and reporting requirements of the intergovernmental agreement and local implementing rules; or</w:t>
      </w:r>
    </w:p>
    <w:p>
      <w:pPr>
        <w:spacing w:after="0" w:line="80" w:lineRule="exact"/>
        <w:rPr>
          <w:rFonts w:ascii="Times New Roman" w:cs="Times New Roman" w:eastAsia="Times New Roman" w:hAnsi="Times New Roman"/>
          <w:sz w:val="18"/>
          <w:szCs w:val="18"/>
          <w:color w:val="auto"/>
        </w:rPr>
      </w:pPr>
    </w:p>
    <w:p>
      <w:pPr>
        <w:ind w:left="1800" w:right="519" w:hanging="180"/>
        <w:spacing w:after="0" w:line="263"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“non-financial foreign entity” (as​ defined under FATCA) that does not provide sufficient documentation, typically on IRS Form W-8BEN-E, evidencing either (i) an exemption from FATCA or (ii) adequate information regarding substantial United States beneficial owners of such entity (if any).</w:t>
      </w:r>
    </w:p>
    <w:p>
      <w:pPr>
        <w:spacing w:after="0" w:line="319"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Withholding under FATCA generally applies to payments of dividends on our shares and to payments of gross proceeds from a sale or other disposition of our shares. Withholding agents may, however, rely on proposed U.S. Treasury Regulations that would no longer require FATCA withholding on payments of gross proceeds. A withholding agent such as a broker, and not the Company, will determine whether or not to implement gross proceeds FATCA withholding.</w:t>
      </w:r>
    </w:p>
    <w:p>
      <w:pPr>
        <w:spacing w:after="0" w:line="116"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If a dividend payment is subject to withholding both under FATCA and the withholding tax rules discussed above in the section entitled “— Distributions on Common Stock,” the withholding under FATCA may be credited against, and therefore reduce, such other withholding tax. Holders of shares should consult their own tax advisors regarding these requirements and whether they may be relevant to their ownership and disposition of the shares.</w:t>
      </w:r>
    </w:p>
    <w:p>
      <w:pPr>
        <w:spacing w:after="0" w:line="116" w:lineRule="exact"/>
        <w:rPr>
          <w:sz w:val="20"/>
          <w:szCs w:val="20"/>
          <w:color w:val="auto"/>
        </w:rPr>
      </w:pPr>
    </w:p>
    <w:p>
      <w:pPr>
        <w:ind w:left="1260" w:right="599" w:firstLine="360"/>
        <w:spacing w:after="0" w:line="263" w:lineRule="auto"/>
        <w:rPr>
          <w:sz w:val="20"/>
          <w:szCs w:val="20"/>
          <w:color w:val="auto"/>
        </w:rPr>
      </w:pPr>
      <w:r>
        <w:rPr>
          <w:rFonts w:ascii="Times New Roman" w:cs="Times New Roman" w:eastAsia="Times New Roman" w:hAnsi="Times New Roman"/>
          <w:sz w:val="18"/>
          <w:szCs w:val="18"/>
          <w:color w:val="auto"/>
        </w:rPr>
        <w:t>Under certain circumstances, a Non-U.S. Holder will be eligible for refunds or credits of withholding taxes imposed under FATCA by filing a United States federal income tax return. Prospective investors should consult their tax advisors regarding the effect of FATCA on their ownership and disposition of our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48" w:lineRule="exact"/>
        <w:rPr>
          <w:sz w:val="20"/>
          <w:szCs w:val="20"/>
          <w:color w:val="auto"/>
        </w:rPr>
      </w:pPr>
    </w:p>
    <w:p>
      <w:pPr>
        <w:ind w:left="1260" w:right="479" w:firstLine="360"/>
        <w:spacing w:after="0"/>
        <w:rPr>
          <w:sz w:val="20"/>
          <w:szCs w:val="20"/>
          <w:color w:val="auto"/>
        </w:rPr>
      </w:pPr>
      <w:r>
        <w:rPr>
          <w:rFonts w:ascii="Times New Roman" w:cs="Times New Roman" w:eastAsia="Times New Roman" w:hAnsi="Times New Roman"/>
          <w:sz w:val="18"/>
          <w:szCs w:val="18"/>
          <w:color w:val="auto"/>
        </w:rPr>
        <w:t>We and the underwriters for the offering named below have entered into an underwriting agreement with respect to the common stock being offered by this prospectus supplement. Subject to the terms and conditions of the underwriting agreement, each underwriter has severally agreed to purchase from us the number of shares of our common stock set forth opposite its name below. Barclays Capital Inc., BTIG, LLC and Titan Partners Group LLC, a division of American Capital Partners, LLC, are the representatives of the underwriters.</w:t>
      </w:r>
    </w:p>
    <w:p>
      <w:pPr>
        <w:spacing w:after="0" w:line="185"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5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3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r>
              <w:rPr>
                <w:rFonts w:ascii="Times New Roman" w:cs="Times New Roman" w:eastAsia="Times New Roman" w:hAnsi="Times New Roman"/>
                <w:sz w:val="28"/>
                <w:szCs w:val="28"/>
                <w:b w:val="1"/>
                <w:bCs w:val="1"/>
                <w:color w:val="auto"/>
                <w:vertAlign w:val="subscript"/>
              </w:rPr>
              <w:t>​</w:t>
            </w:r>
          </w:p>
        </w:tc>
      </w:tr>
      <w:tr>
        <w:trPr>
          <w:trHeight w:val="250"/>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3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top w:val="single" w:sz="8" w:color="auto"/>
            </w:tcBorders>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BTIG, LLC</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Titan Partners Group LLC, a division of American Capital Partners, LLC</w:t>
            </w:r>
          </w:p>
        </w:tc>
        <w:tc>
          <w:tcPr>
            <w:tcW w:w="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4957445</wp:posOffset>
            </wp:positionH>
            <wp:positionV relativeFrom="paragraph">
              <wp:posOffset>-711200</wp:posOffset>
            </wp:positionV>
            <wp:extent cx="137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ind w:left="1260" w:right="479" w:firstLine="360"/>
        <w:spacing w:after="0" w:line="235"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are subject to certain conditions precedent and that the underwriters have agreed, severally and not jointly, to purchase all of the shares sold under the underwriting agreement if any of these shares are purchased, other than those shares covered by the option to purchase additional shares described below. If an underwriter defaults, the underwriting agreement provides that the purchase commitments of the non-defaulting underwriters may be increased or the underwriting agreement may be terminated.</w:t>
      </w:r>
    </w:p>
    <w:p>
      <w:pPr>
        <w:spacing w:after="0" w:line="120" w:lineRule="exact"/>
        <w:rPr>
          <w:sz w:val="20"/>
          <w:szCs w:val="20"/>
          <w:color w:val="auto"/>
        </w:rPr>
      </w:pPr>
    </w:p>
    <w:p>
      <w:pPr>
        <w:ind w:left="1260" w:right="659" w:firstLine="360"/>
        <w:spacing w:after="0" w:line="264" w:lineRule="auto"/>
        <w:rPr>
          <w:sz w:val="20"/>
          <w:szCs w:val="20"/>
          <w:color w:val="auto"/>
        </w:rPr>
      </w:pPr>
      <w:r>
        <w:rPr>
          <w:rFonts w:ascii="Times New Roman" w:cs="Times New Roman" w:eastAsia="Times New Roman" w:hAnsi="Times New Roman"/>
          <w:sz w:val="18"/>
          <w:szCs w:val="18"/>
          <w:color w:val="auto"/>
        </w:rPr>
        <w:t>We have agreed to indemnify the underwriters against specified liabilities, including liabilities under the Securities Act, and to contribute to payments the underwriters may be required to make in respect thereof.</w:t>
      </w:r>
    </w:p>
    <w:p>
      <w:pPr>
        <w:spacing w:after="0" w:line="314"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08" w:lineRule="exact"/>
        <w:rPr>
          <w:sz w:val="20"/>
          <w:szCs w:val="20"/>
          <w:color w:val="auto"/>
        </w:rPr>
      </w:pPr>
    </w:p>
    <w:p>
      <w:pPr>
        <w:ind w:left="1620"/>
        <w:spacing w:after="0"/>
        <w:tabs>
          <w:tab w:leader="none" w:pos="4660" w:val="left"/>
        </w:tabs>
        <w:rPr>
          <w:sz w:val="20"/>
          <w:szCs w:val="20"/>
          <w:color w:val="auto"/>
        </w:rPr>
      </w:pPr>
      <w:r>
        <w:rPr>
          <w:rFonts w:ascii="Times New Roman" w:cs="Times New Roman" w:eastAsia="Times New Roman" w:hAnsi="Times New Roman"/>
          <w:sz w:val="18"/>
          <w:szCs w:val="18"/>
          <w:i w:val="1"/>
          <w:iCs w:val="1"/>
          <w:color w:val="auto"/>
        </w:rPr>
        <w:t>Option to Purchase Additional Shares.</w:t>
      </w:r>
      <w:r>
        <w:rPr>
          <w:sz w:val="20"/>
          <w:szCs w:val="20"/>
          <w:color w:val="auto"/>
        </w:rPr>
        <w:tab/>
      </w:r>
      <w:r>
        <w:rPr>
          <w:rFonts w:ascii="Times New Roman" w:cs="Times New Roman" w:eastAsia="Times New Roman" w:hAnsi="Times New Roman"/>
          <w:sz w:val="18"/>
          <w:szCs w:val="18"/>
          <w:color w:val="auto"/>
        </w:rPr>
        <w:t>We have granted to the underwriters an option to purchase up</w:t>
      </w:r>
    </w:p>
    <w:p>
      <w:pPr>
        <w:spacing w:after="0" w:line="18" w:lineRule="exact"/>
        <w:rPr>
          <w:sz w:val="20"/>
          <w:szCs w:val="20"/>
          <w:color w:val="auto"/>
        </w:rPr>
      </w:pPr>
    </w:p>
    <w:p>
      <w:pPr>
        <w:ind w:left="1260" w:right="579"/>
        <w:spacing w:after="0" w:line="242" w:lineRule="auto"/>
        <w:rPr>
          <w:sz w:val="20"/>
          <w:szCs w:val="20"/>
          <w:color w:val="auto"/>
        </w:rPr>
      </w:pPr>
      <w:r>
        <w:rPr>
          <w:rFonts w:ascii="Times New Roman" w:cs="Times New Roman" w:eastAsia="Times New Roman" w:hAnsi="Times New Roman"/>
          <w:sz w:val="18"/>
          <w:szCs w:val="18"/>
          <w:color w:val="auto"/>
        </w:rPr>
        <w:t>to an additional shares of common stock at the public offering price, less the underwriting discounts and commissions. This option is exercisable for a period of 30 days. To the extent that the underwriters exercise this option, the underwriters will purchase additional shares from us in approximately the same proportion as shown in the table above.</w:t>
      </w:r>
    </w:p>
    <w:p>
      <w:pPr>
        <w:spacing w:after="0" w:line="115"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Discounts and Commissions. </w:t>
      </w:r>
      <w:r>
        <w:rPr>
          <w:rFonts w:ascii="Times New Roman" w:cs="Times New Roman" w:eastAsia="Times New Roman" w:hAnsi="Times New Roman"/>
          <w:sz w:val="18"/>
          <w:szCs w:val="18"/>
          <w:color w:val="auto"/>
        </w:rPr>
        <w:t>The underwriters propose to offer the shares of common stock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at the public offering price set forth on the cover of this prospectus supplement. The underwriters may offer the shares of common stock to securities dealers at the public offering price less a concession not in excess of $            per share. If all of the shares are not sold at the public offering price, the underwriters may change the offering price and other selling terms. Sales of any shares of common stock may be made by affiliates of the underwriters.</w:t>
      </w:r>
    </w:p>
    <w:p>
      <w:pPr>
        <w:spacing w:after="0" w:line="114"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discounts and commissions and proceeds, before expenses to us. These amounts are shown assuming both no exercise and full exercise of the underwriters’ option to purchase additional shares.</w:t>
      </w:r>
    </w:p>
    <w:p>
      <w:pPr>
        <w:spacing w:after="0" w:line="109"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36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5"/>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Per Share </w:t>
            </w:r>
            <w:r>
              <w:rPr>
                <w:rFonts w:ascii="Times New Roman" w:cs="Times New Roman" w:eastAsia="Times New Roman" w:hAnsi="Times New Roman"/>
                <w:sz w:val="27"/>
                <w:szCs w:val="27"/>
                <w:b w:val="1"/>
                <w:bCs w:val="1"/>
                <w:color w:val="auto"/>
                <w:vertAlign w:val="subscript"/>
              </w:rPr>
              <w:t>​</w:t>
            </w:r>
          </w:p>
        </w:tc>
        <w:tc>
          <w:tcPr>
            <w:tcW w:w="2080" w:type="dxa"/>
            <w:vAlign w:val="bottom"/>
            <w:gridSpan w:val="7"/>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Without Option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With Option </w:t>
            </w:r>
            <w:r>
              <w:rPr>
                <w:rFonts w:ascii="Times New Roman" w:cs="Times New Roman" w:eastAsia="Times New Roman" w:hAnsi="Times New Roman"/>
                <w:sz w:val="27"/>
                <w:szCs w:val="27"/>
                <w:b w:val="1"/>
                <w:bCs w:val="1"/>
                <w:color w:val="auto"/>
                <w:vertAlign w:val="subscript"/>
              </w:rPr>
              <w:t>​</w:t>
            </w:r>
          </w:p>
        </w:tc>
      </w:tr>
      <w:tr>
        <w:trPr>
          <w:trHeight w:val="20"/>
        </w:trPr>
        <w:tc>
          <w:tcPr>
            <w:tcW w:w="38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25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0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1"/>
                <w:szCs w:val="21"/>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0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0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-161925</wp:posOffset>
            </wp:positionV>
            <wp:extent cx="4749165"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-496570</wp:posOffset>
            </wp:positionV>
            <wp:extent cx="474916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9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estimate that the total expenses of the offering, excluding underwriting discounts and commissions,</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will be approximately $            and are payable by us. We have agreed to reimburse the underwriters for</w:t>
      </w:r>
    </w:p>
    <w:p>
      <w:pPr>
        <w:ind w:left="1260"/>
        <w:spacing w:after="0" w:line="234" w:lineRule="auto"/>
        <w:rPr>
          <w:sz w:val="20"/>
          <w:szCs w:val="20"/>
          <w:color w:val="auto"/>
        </w:rPr>
      </w:pPr>
      <w:r>
        <w:rPr>
          <w:rFonts w:ascii="Times New Roman" w:cs="Times New Roman" w:eastAsia="Times New Roman" w:hAnsi="Times New Roman"/>
          <w:sz w:val="18"/>
          <w:szCs w:val="18"/>
          <w:color w:val="auto"/>
        </w:rPr>
        <w:t>certain expenses such as for their FINRA counsel fee and blue sky expenses in an amount not to exceed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$20,000. In accordance with FINRA Rule 5110, this reimbursed fee is deemed underwriting compensation</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this offering.</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Discretionary Accounts. </w:t>
      </w:r>
      <w:r>
        <w:rPr>
          <w:rFonts w:ascii="Times New Roman" w:cs="Times New Roman" w:eastAsia="Times New Roman" w:hAnsi="Times New Roman"/>
          <w:sz w:val="18"/>
          <w:szCs w:val="18"/>
          <w:color w:val="auto"/>
        </w:rPr>
        <w:t>The underwriters do not intend to confirm sales of the shares to any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which they have discretionary authority.</w:t>
      </w:r>
    </w:p>
    <w:p>
      <w:pPr>
        <w:spacing w:after="0" w:line="77" w:lineRule="exact"/>
        <w:rPr>
          <w:sz w:val="20"/>
          <w:szCs w:val="20"/>
          <w:color w:val="auto"/>
        </w:rPr>
      </w:pPr>
    </w:p>
    <w:p>
      <w:pPr>
        <w:ind w:left="1620"/>
        <w:spacing w:after="0"/>
        <w:tabs>
          <w:tab w:leader="none" w:pos="3280" w:val="left"/>
        </w:tabs>
        <w:rPr>
          <w:sz w:val="20"/>
          <w:szCs w:val="20"/>
          <w:color w:val="auto"/>
        </w:rPr>
      </w:pPr>
      <w:r>
        <w:rPr>
          <w:rFonts w:ascii="Times New Roman" w:cs="Times New Roman" w:eastAsia="Times New Roman" w:hAnsi="Times New Roman"/>
          <w:sz w:val="18"/>
          <w:szCs w:val="18"/>
          <w:i w:val="1"/>
          <w:iCs w:val="1"/>
          <w:color w:val="auto"/>
        </w:rPr>
        <w:t>Market Information.</w:t>
      </w:r>
      <w:r>
        <w:rPr>
          <w:sz w:val="20"/>
          <w:szCs w:val="20"/>
          <w:color w:val="auto"/>
        </w:rPr>
        <w:tab/>
      </w:r>
      <w:r>
        <w:rPr>
          <w:rFonts w:ascii="Times New Roman" w:cs="Times New Roman" w:eastAsia="Times New Roman" w:hAnsi="Times New Roman"/>
          <w:sz w:val="18"/>
          <w:szCs w:val="18"/>
          <w:color w:val="auto"/>
        </w:rPr>
        <w:t>Our common stock is traded on Nasdaq under the symbol “HUMA.”</w:t>
      </w:r>
    </w:p>
    <w:p>
      <w:pPr>
        <w:spacing w:after="0" w:line="144" w:lineRule="exact"/>
        <w:rPr>
          <w:sz w:val="20"/>
          <w:szCs w:val="20"/>
          <w:color w:val="auto"/>
        </w:rPr>
      </w:pPr>
    </w:p>
    <w:p>
      <w:pPr>
        <w:ind w:left="1260" w:right="69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Stabilization. </w:t>
      </w:r>
      <w:r>
        <w:rPr>
          <w:rFonts w:ascii="Times New Roman" w:cs="Times New Roman" w:eastAsia="Times New Roman" w:hAnsi="Times New Roman"/>
          <w:sz w:val="18"/>
          <w:szCs w:val="18"/>
          <w:color w:val="auto"/>
        </w:rPr>
        <w:t>In connection with this offering, the underwriters (and their affiliates) may engage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stabilizing transactions, overallotment transactions, syndicate covering transactions, penalty bids and purchases to cover positions created by short sales.</w:t>
      </w:r>
    </w:p>
    <w:p>
      <w:pPr>
        <w:spacing w:after="0" w:line="61" w:lineRule="exact"/>
        <w:rPr>
          <w:sz w:val="20"/>
          <w:szCs w:val="20"/>
          <w:color w:val="auto"/>
        </w:rPr>
      </w:pPr>
    </w:p>
    <w:p>
      <w:pPr>
        <w:ind w:left="1800" w:right="699" w:hanging="180"/>
        <w:spacing w:after="0" w:line="266"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w:t>
      </w:r>
    </w:p>
    <w:p>
      <w:pPr>
        <w:spacing w:after="0" w:line="54" w:lineRule="exact"/>
        <w:rPr>
          <w:rFonts w:ascii="Times New Roman" w:cs="Times New Roman" w:eastAsia="Times New Roman" w:hAnsi="Times New Roman"/>
          <w:sz w:val="18"/>
          <w:szCs w:val="18"/>
          <w:color w:val="auto"/>
        </w:rPr>
      </w:pPr>
    </w:p>
    <w:p>
      <w:pPr>
        <w:ind w:left="1800" w:right="479" w:hanging="180"/>
        <w:spacing w:after="0" w:line="254"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Overallotment transactions involve sales by the underwriters of shares of common stock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in the option to purchase additional shares. In a naked short position, the number of shares involved is greater than the number of shares in the option to purchase additional shares. The underwriters may close out any short position by exercising their option to purchase additional shares and/or purchasing shares in the open market.</w:t>
      </w:r>
    </w:p>
    <w:p>
      <w:pPr>
        <w:spacing w:after="0" w:line="83" w:lineRule="exact"/>
        <w:rPr>
          <w:rFonts w:ascii="Times New Roman" w:cs="Times New Roman" w:eastAsia="Times New Roman" w:hAnsi="Times New Roman"/>
          <w:sz w:val="18"/>
          <w:szCs w:val="18"/>
          <w:color w:val="auto"/>
        </w:rPr>
      </w:pPr>
    </w:p>
    <w:p>
      <w:pPr>
        <w:ind w:left="1800" w:right="419" w:hanging="180"/>
        <w:spacing w:after="0" w:line="253"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option to purchase additional shares. If the underwriters sell more shares than could be covered by exercise of the option to purchase additional shares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p>
    <w:p>
      <w:pPr>
        <w:spacing w:after="0" w:line="86" w:lineRule="exact"/>
        <w:rPr>
          <w:rFonts w:ascii="Times New Roman" w:cs="Times New Roman" w:eastAsia="Times New Roman" w:hAnsi="Times New Roman"/>
          <w:sz w:val="18"/>
          <w:szCs w:val="18"/>
          <w:color w:val="auto"/>
        </w:rPr>
      </w:pPr>
    </w:p>
    <w:p>
      <w:pPr>
        <w:ind w:left="1800" w:right="819" w:hanging="180"/>
        <w:spacing w:after="0" w:line="266"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representatives to reclaim a selling concession from a syndicate member when the common stock originally sold by that syndicate member is purchased in stabilizing or syndicate covering transactions to cover syndicate short positions.</w:t>
      </w:r>
    </w:p>
    <w:p>
      <w:pPr>
        <w:spacing w:after="0" w:line="10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These stabilizing transactions, syndicate covering transactions and penalty bids may have the effect of raising or maintaining the market price of our common stock or preventing or retarding a decline in the market price of our common stock. As a result, the price of our common stock in the open market may be higher than it would otherwise be in the absence of these transactions. Neither we nor the underwriters make any representation or prediction as to the effect that the transactions described above may have on the price of our common stock. These transactions may be effected on Nasdaq, in the over-the-counter market or otherwise and, if commenced, may be discontinued at any time.</w:t>
      </w:r>
    </w:p>
    <w:p>
      <w:pPr>
        <w:spacing w:after="0" w:line="112"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Lock -Up Agreements. </w:t>
      </w:r>
      <w:r>
        <w:rPr>
          <w:rFonts w:ascii="Times New Roman" w:cs="Times New Roman" w:eastAsia="Times New Roman" w:hAnsi="Times New Roman"/>
          <w:sz w:val="18"/>
          <w:szCs w:val="18"/>
          <w:color w:val="auto"/>
        </w:rPr>
        <w:t>Pursuant to certain lock- up agreements, we and our executive officers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have agreed, subject to certain exceptions, not to offer, sell, assign, transfer, pledge, contract to sell, lend or otherwise dispose of, or announce the intention to otherwise dispose of, or enter into, or announce the intention to enter into any swap, hedge or similar agreement or arrangement (including, without limitation, the purchase or sale of, or entry into, any put or call option, or combination thereof, forward, swap or any other derivative transaction or instrument, however described or defined) that transfers, is designed to transfer or reasonably could be expected to transfer (whether by the stockholder or someone other than the stockholder) in whole or in part, directly or indirectly the economic consequence of ownership of, directly or indirectly, or make any demand or request or exercise any right with respect to the registration of, or file with the SEC a registration statement under the Securities Act relating to, any common stock or securities convertible into or exchangeable or exercisable for any common stock without the prior written consent of Barclays Capital Inc., for a period of 60 days after the date of the pricing of the offering.</w:t>
      </w:r>
    </w:p>
    <w:p>
      <w:pPr>
        <w:spacing w:after="0" w:line="329"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This lock-up provision applies to common stock and to securities convertible into or exchangeable or exercisable for common stock. It also applies to common stock owned now or acquired later by the person</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1" w:lineRule="auto"/>
        <w:rPr>
          <w:sz w:val="20"/>
          <w:szCs w:val="20"/>
          <w:color w:val="auto"/>
        </w:rPr>
      </w:pPr>
      <w:r>
        <w:rPr>
          <w:rFonts w:ascii="Times New Roman" w:cs="Times New Roman" w:eastAsia="Times New Roman" w:hAnsi="Times New Roman"/>
          <w:sz w:val="18"/>
          <w:szCs w:val="18"/>
          <w:color w:val="auto"/>
        </w:rPr>
        <w:t>executing the agreement or for which the person executing the agreement later acquires the power of disposition. The exceptions permit us, among other things and subject to restrictions, to: (a) issue common stock, restricted stock units (“RSUs”) and options to purchase common stock, shares of common stock underlying options or RSUs granted and other securities, each pursuant to our employee benefit plans in effect as of the date of the underwriting agreement and described in this prospectus supplement, (b) file any registration statement on Form S-8 relating to the common stock granted pursuant to or reserved for issuance under our employee benefit plans, (c) issue common stock pursuant to the conversion of securities, the exercise of options or warrants or the vesting of RSUs, which securities, options, RSUs or warrants are currently outstanding and described in this prospectus supplement, (d) issue common stock or other securities to a third party in connection with a bona fide commercial relationship (including strategic partnerships, joint ventures, marketing or distribution arrangements, collaboration agreements or acquisition or license of any business products, technology or intellectual property) or any bona fide acquisition of assets of not less than a majority or controlling portion of the equity of another entity, provided that the aggregate number of shares of common stock that we may sell or issue or agree to sell or issue shall not exceed 5.0% of the total number of shares of common stock issued and outstanding immediately subsequent to the completion of the transactions contemplated by the underwriting agreement, and provided further that it shall be a condition to the sale, issuance or transfer of shares of any such securities that the transferee executes and delivers to the representatives a lock-up agreement, and provided further that such shares of common stock are issued as “restricted securities” (as​ defined in Rule 144 under the Securities Act) and carry no registration rights that require or permit the filing of any registration statement in connection therewith during the 60-day lock-up period, (e) adopt a new equity incentive plan or amend a current equity incentive plan, and file a registration statement on Form S-8 under the Securities Act to register the offer and sale of securities to be issued pursuant to such new or amended equity incentive plan, and issue securities pursuant to such new or amended equity incentive plan (including, without limitation, the issuance of shares of common stock upon the exercise of options or other securities issued pursuant to such new or amended equity incentive plan), and (f) file any registration statement on Form S-3, provided that no securities are issued pursuant to any such registration statement during the 60-day lock-up period. The exceptions permit parties to the lock-up agreements, among other things and subject to restrictions, to:</w:t>
      </w:r>
    </w:p>
    <w:p>
      <w:pPr>
        <w:spacing w:after="0" w:line="222" w:lineRule="exact"/>
        <w:rPr>
          <w:sz w:val="20"/>
          <w:szCs w:val="20"/>
          <w:color w:val="auto"/>
        </w:rPr>
      </w:pPr>
    </w:p>
    <w:p>
      <w:pPr>
        <w:ind w:left="1260" w:right="459"/>
        <w:spacing w:after="0" w:line="250" w:lineRule="auto"/>
        <w:tabs>
          <w:tab w:leader="none" w:pos="151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gifts, make transfers to a trust, make transfers by will or intestate succession, make transfers pursuant to a domestic order, divorce settlement, divorce decree or separation agreement, and make transfers by operation of law pursuant to order of a court, (b) make transfers to a corporation, limited liability company or partnership wholly owned by the party and/or any member of the party’s immediate family, provided that no public announcement or filing is made regarding such transfer during the 60-day lock-up period, (c) if the party is a corporation, partnership, limited liability company or other business entity, make transfers to any stockholder, partner, member or manager of, or owner of a similar equity interest in, the party, or to an affiliate of the party, or to an investment fund or other entity that controls or manages, is controlled by, or is under common control with the party, as the case may be, if, in any such case, such transfer is not for value, (d) if the party is a corporation, partnership, limited liability company or other business entity, make transfers in connection with the sale or transfer of all or substantially all of the party’s capital stock, partnership interests, membership interests or other similar equity interests, as the case may be, or all or substantially all of the party’s assets, or to another corporation, partnership, limited liability company or other business entity provided the transferee is an affiliate of the party and such transfer is not for value, (e) make transfers pursuant to a bona fide third-party tender offer, merger, consolidation or other similar transaction involving a change of control of us, (f) enter into transactions relating to shares of common stock or other securities convertible into or exercisable or exchangeable for common stock acquired in this offering or in open market transactions after completion of this offering, provided that no public announcement or filing is made regarding such transaction during the 60-day lock-up period, (g) establish a 10b5-1 trading plan, provided that such plan does not permit the sale of any common stock during the 60-day lock-up period, and that no public announcement or filing is made or required during such period regarding such plan, except as required pursuant to the securities laws, (h) sell shares of common stock pursuant to a 10b5-1 trading plan that has been disclosed to the representatives prior to the execution of the underwriting agreement, provided that to the extent a public announcement or filing under the Exchange Act is required, such announcement or filing will state that such sales have been executed under a 10b5-1 trading plan and (i) make transfers to us to satisfy tax withholding obligations pursuant to our equity incentive plans disclosed in this prospectus supplement.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Barclays Capital Inc., in its sole discretion, may release our common stock and other securities subject to the lock-up agreements described above in whole or in part at any time. When determining whether or not to release our common stock and other securities from lock-up agreements, Barclays Capital Inc. will consider, among other factors, the holder’s reasons for requesting the release, the number of shares for which the release is being requested and market conditions at the time of the request.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Selling Restrictions</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160"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The common stock may be sold only to purchasers purchasing, or deemed to be purchasing, as principal that are accredited investors, as defined in National Instrument 45- 106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common stock must be made in accordance with an exemption from, or in a transaction not subject to, the prospectus requirements of applicable securities laws.</w:t>
      </w:r>
    </w:p>
    <w:p>
      <w:pPr>
        <w:spacing w:after="0" w:line="114" w:lineRule="exact"/>
        <w:rPr>
          <w:sz w:val="20"/>
          <w:szCs w:val="20"/>
          <w:color w:val="auto"/>
        </w:rPr>
      </w:pPr>
    </w:p>
    <w:p>
      <w:pPr>
        <w:ind w:left="1260" w:right="839" w:firstLine="360"/>
        <w:spacing w:after="0" w:line="247"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0" w:lineRule="exact"/>
        <w:rPr>
          <w:sz w:val="20"/>
          <w:szCs w:val="20"/>
          <w:color w:val="auto"/>
        </w:rPr>
      </w:pPr>
    </w:p>
    <w:p>
      <w:pPr>
        <w:ind w:left="1260" w:right="979" w:firstLine="360"/>
        <w:spacing w:after="0" w:line="259" w:lineRule="auto"/>
        <w:rPr>
          <w:sz w:val="20"/>
          <w:szCs w:val="20"/>
          <w:color w:val="auto"/>
        </w:rPr>
      </w:pPr>
      <w:r>
        <w:rPr>
          <w:rFonts w:ascii="Times New Roman" w:cs="Times New Roman" w:eastAsia="Times New Roman" w:hAnsi="Times New Roman"/>
          <w:sz w:val="18"/>
          <w:szCs w:val="18"/>
          <w:color w:val="auto"/>
        </w:rPr>
        <w:t xml:space="preserve">Pursuant to section 3A.3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Switzerland</w:t>
      </w:r>
    </w:p>
    <w:p>
      <w:pPr>
        <w:spacing w:after="0" w:line="16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securities may not be publicly offered in Switzerland and will not be listed on the SIX Swiss Exchange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securities or the offering may be publicly distributed or otherwise made publicly available in Switzerland.</w:t>
      </w:r>
    </w:p>
    <w:p>
      <w:pPr>
        <w:spacing w:after="0" w:line="328"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Neither this prospectus supplement nor any other offering or marketing material relating to the offering, the Company or the securities have been or will be filed with or approved by any Swiss regulatory authority. In particular, this prospectus supplement will not be filed with, and the offer of the securities will not be supervised by, the Swiss Financial Market Supervisory Authority FINMA, and the offer of the securities has not been and will not be authorized under the Swiss Federal Act on Collective Investment Schemes (“CISA”). The investor protection afforded to acquirers of interests in collective investment schemes under the CISA does not extend to acquirers of the securities.</w:t>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European Economic Area</w:t>
      </w:r>
    </w:p>
    <w:p>
      <w:pPr>
        <w:spacing w:after="0" w:line="146"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EU Prospectus Regulation, except that shares may be offered to the public in that Member State at any time:</w:t>
      </w:r>
    </w:p>
    <w:p>
      <w:pPr>
        <w:spacing w:after="0" w:line="120" w:lineRule="exact"/>
        <w:rPr>
          <w:sz w:val="20"/>
          <w:szCs w:val="20"/>
          <w:color w:val="auto"/>
        </w:rPr>
      </w:pPr>
    </w:p>
    <w:p>
      <w:pPr>
        <w:ind w:left="1620" w:right="579" w:firstLine="360"/>
        <w:spacing w:after="0" w:line="282" w:lineRule="auto"/>
        <w:tabs>
          <w:tab w:leader="none" w:pos="23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the EU Prospectus Regulation;</w:t>
      </w: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39" w:firstLine="360"/>
        <w:spacing w:after="0" w:line="258" w:lineRule="auto"/>
        <w:tabs>
          <w:tab w:leader="none" w:pos="229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the EU Prospectus Regulation), subject to obtaining the prior consent of the representatives for any such offer; or</w:t>
      </w:r>
    </w:p>
    <w:p>
      <w:pPr>
        <w:spacing w:after="0" w:line="101" w:lineRule="exact"/>
        <w:rPr>
          <w:rFonts w:ascii="Times New Roman" w:cs="Times New Roman" w:eastAsia="Times New Roman" w:hAnsi="Times New Roman"/>
          <w:sz w:val="18"/>
          <w:szCs w:val="18"/>
          <w:color w:val="auto"/>
        </w:rPr>
      </w:pPr>
    </w:p>
    <w:p>
      <w:pPr>
        <w:ind w:left="2300" w:hanging="320"/>
        <w:spacing w:after="0"/>
        <w:tabs>
          <w:tab w:leader="none" w:pos="2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EU Prospectus Regulation,</w:t>
      </w:r>
    </w:p>
    <w:p>
      <w:pPr>
        <w:spacing w:after="0" w:line="158" w:lineRule="exact"/>
        <w:rPr>
          <w:sz w:val="20"/>
          <w:szCs w:val="20"/>
          <w:color w:val="auto"/>
        </w:rPr>
      </w:pPr>
    </w:p>
    <w:p>
      <w:pPr>
        <w:ind w:left="1260" w:right="699"/>
        <w:spacing w:after="0" w:line="250" w:lineRule="auto"/>
        <w:rPr>
          <w:sz w:val="20"/>
          <w:szCs w:val="20"/>
          <w:color w:val="auto"/>
        </w:rPr>
      </w:pPr>
      <w:r>
        <w:rPr>
          <w:rFonts w:ascii="Times New Roman" w:cs="Times New Roman" w:eastAsia="Times New Roman" w:hAnsi="Times New Roman"/>
          <w:sz w:val="18"/>
          <w:szCs w:val="18"/>
          <w:color w:val="auto"/>
        </w:rPr>
        <w:t>provided that no such offer of the shares shall require us or any of the representatives to publish a prospectus pursuant to Article 3 of the EU Prospectus Regulation or supplement a prospectus pursuant to Article 23 of the EU Prospectus Regulation.</w:t>
      </w:r>
    </w:p>
    <w:p>
      <w:pPr>
        <w:spacing w:after="0" w:line="109"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shares in any Member State means the communication in any form and by any means of sufficient information on the terms of the offer and any shares to be offered so as to enable an investor to decide to purchase or subscribe for any shares, and the expression “EU Prospectus Regulation” means Regulation (EU) 2017/1129.</w:t>
      </w:r>
    </w:p>
    <w:p>
      <w:pPr>
        <w:spacing w:after="0" w:line="1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146" w:lineRule="exact"/>
        <w:rPr>
          <w:sz w:val="20"/>
          <w:szCs w:val="20"/>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No shares of common stock have been offered or will be offered pursuant to the offering to the public in the United Kingdom except that the shares of common stock may be offered to the public in the United Kingdom at any time:</w:t>
      </w:r>
    </w:p>
    <w:p>
      <w:pPr>
        <w:spacing w:after="0" w:line="88" w:lineRule="exact"/>
        <w:rPr>
          <w:sz w:val="20"/>
          <w:szCs w:val="20"/>
          <w:color w:val="auto"/>
        </w:rPr>
      </w:pPr>
    </w:p>
    <w:p>
      <w:pPr>
        <w:ind w:left="2340" w:right="479" w:hanging="360"/>
        <w:spacing w:after="0" w:line="266" w:lineRule="auto"/>
        <w:tabs>
          <w:tab w:leader="none" w:pos="2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where the offer is conditional on the admission of the shares of common stock to trading on the London Stock Exchange plc’s main market (in reliance on the exception in paragraph 6(a) of Schedule 1 of the </w:t>
      </w:r>
      <w:r>
        <w:rPr>
          <w:rFonts w:ascii="Times New Roman" w:cs="Times New Roman" w:eastAsia="Times New Roman" w:hAnsi="Times New Roman"/>
          <w:sz w:val="18"/>
          <w:szCs w:val="18"/>
          <w:i w:val="1"/>
          <w:iCs w:val="1"/>
          <w:color w:val="auto"/>
        </w:rPr>
        <w:t>POATR</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under paragraph 15 of Schedule 1 of the POATR;</w:t>
      </w:r>
    </w:p>
    <w:p>
      <w:pPr>
        <w:spacing w:after="0" w:line="144" w:lineRule="exact"/>
        <w:rPr>
          <w:rFonts w:ascii="Times New Roman" w:cs="Times New Roman" w:eastAsia="Times New Roman" w:hAnsi="Times New Roman"/>
          <w:sz w:val="18"/>
          <w:szCs w:val="18"/>
          <w:color w:val="auto"/>
        </w:rPr>
      </w:pPr>
    </w:p>
    <w:p>
      <w:pPr>
        <w:jc w:val="both"/>
        <w:ind w:left="2340" w:right="699" w:hanging="360"/>
        <w:spacing w:after="0" w:line="266" w:lineRule="auto"/>
        <w:tabs>
          <w:tab w:leader="none" w:pos="2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fewer than 150 persons (other than qualified investors as defined under paragraph 15 of Schedule 1 of the </w:t>
      </w:r>
      <w:r>
        <w:rPr>
          <w:rFonts w:ascii="Times New Roman" w:cs="Times New Roman" w:eastAsia="Times New Roman" w:hAnsi="Times New Roman"/>
          <w:sz w:val="18"/>
          <w:szCs w:val="18"/>
          <w:i w:val="1"/>
          <w:iCs w:val="1"/>
          <w:color w:val="auto"/>
        </w:rPr>
        <w:t>POATR</w:t>
      </w:r>
      <w:r>
        <w:rPr>
          <w:rFonts w:ascii="Times New Roman" w:cs="Times New Roman" w:eastAsia="Times New Roman" w:hAnsi="Times New Roman"/>
          <w:sz w:val="18"/>
          <w:szCs w:val="18"/>
          <w:color w:val="auto"/>
        </w:rPr>
        <w:t>), subject to obtaining the prior consent of the representatives for any such offer; or</w:t>
      </w:r>
    </w:p>
    <w:p>
      <w:pPr>
        <w:spacing w:after="0" w:line="92"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other circumstances falling within Part 1 of Schedule 1 of the </w:t>
      </w:r>
      <w:r>
        <w:rPr>
          <w:rFonts w:ascii="Times New Roman" w:cs="Times New Roman" w:eastAsia="Times New Roman" w:hAnsi="Times New Roman"/>
          <w:sz w:val="18"/>
          <w:szCs w:val="18"/>
          <w:i w:val="1"/>
          <w:iCs w:val="1"/>
          <w:color w:val="auto"/>
        </w:rPr>
        <w:t>POATR</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60" w:right="719" w:firstLine="360"/>
        <w:spacing w:after="0" w:line="24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of common stock in the United Kingdom means the communication to any person which presents sufficient information on: (a) the shares of common stock to be offered; and (b) the terms on which they are to be offered, to enable an investor to buy or subscribe for the shares of common stock and the expressions “</w:t>
      </w:r>
      <w:r>
        <w:rPr>
          <w:rFonts w:ascii="Times New Roman" w:cs="Times New Roman" w:eastAsia="Times New Roman" w:hAnsi="Times New Roman"/>
          <w:sz w:val="18"/>
          <w:szCs w:val="18"/>
          <w:i w:val="1"/>
          <w:iCs w:val="1"/>
          <w:color w:val="auto"/>
        </w:rPr>
        <w:t>POATR</w:t>
      </w:r>
      <w:r>
        <w:rPr>
          <w:rFonts w:ascii="Times New Roman" w:cs="Times New Roman" w:eastAsia="Times New Roman" w:hAnsi="Times New Roman"/>
          <w:sz w:val="18"/>
          <w:szCs w:val="18"/>
          <w:color w:val="auto"/>
        </w:rPr>
        <w:t>” means the Public Offers and Admissions to Trading Regulations 2024.</w:t>
      </w:r>
    </w:p>
    <w:p>
      <w:pPr>
        <w:spacing w:after="0" w:line="1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146"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3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160"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Each underwriter has acknowledged that this prospectus supplement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1" w:lineRule="auto"/>
        <w:rPr>
          <w:sz w:val="20"/>
          <w:szCs w:val="20"/>
          <w:color w:val="auto"/>
        </w:rPr>
      </w:pPr>
      <w:r>
        <w:rPr>
          <w:rFonts w:ascii="Times New Roman" w:cs="Times New Roman" w:eastAsia="Times New Roman" w:hAnsi="Times New Roman"/>
          <w:sz w:val="18"/>
          <w:szCs w:val="18"/>
          <w:color w:val="auto"/>
        </w:rPr>
        <w:t>an invitation for subscription or purchase, and has not circulated or distributed, nor will it circulate or distribute, this prospectus supplement or any other document or material in connection with the offer or sale, or invitation for subscription or purchase, of the shares, whether directly or indirectly, to any person in Singapore other than:</w:t>
      </w:r>
    </w:p>
    <w:p>
      <w:pPr>
        <w:spacing w:after="0" w:line="323" w:lineRule="exact"/>
        <w:rPr>
          <w:sz w:val="20"/>
          <w:szCs w:val="20"/>
          <w:color w:val="auto"/>
        </w:rPr>
      </w:pPr>
    </w:p>
    <w:p>
      <w:pPr>
        <w:ind w:left="1620" w:right="999" w:firstLine="360"/>
        <w:spacing w:after="0" w:line="258" w:lineRule="auto"/>
        <w:tabs>
          <w:tab w:leader="none" w:pos="23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101" w:lineRule="exact"/>
        <w:rPr>
          <w:rFonts w:ascii="Times New Roman" w:cs="Times New Roman" w:eastAsia="Times New Roman" w:hAnsi="Times New Roman"/>
          <w:sz w:val="18"/>
          <w:szCs w:val="18"/>
          <w:color w:val="auto"/>
        </w:rPr>
      </w:pPr>
    </w:p>
    <w:p>
      <w:pPr>
        <w:ind w:left="1620" w:right="519" w:firstLine="360"/>
        <w:spacing w:after="0" w:line="258" w:lineRule="auto"/>
        <w:tabs>
          <w:tab w:leader="none" w:pos="229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01" w:lineRule="exact"/>
        <w:rPr>
          <w:rFonts w:ascii="Times New Roman" w:cs="Times New Roman" w:eastAsia="Times New Roman" w:hAnsi="Times New Roman"/>
          <w:sz w:val="18"/>
          <w:szCs w:val="18"/>
          <w:color w:val="auto"/>
        </w:rPr>
      </w:pPr>
    </w:p>
    <w:p>
      <w:pPr>
        <w:ind w:left="1620" w:right="1179" w:firstLine="360"/>
        <w:spacing w:after="0" w:line="266" w:lineRule="auto"/>
        <w:tabs>
          <w:tab w:leader="none" w:pos="229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w:t>
      </w:r>
    </w:p>
    <w:p>
      <w:pPr>
        <w:spacing w:after="0" w:line="124" w:lineRule="exact"/>
        <w:rPr>
          <w:sz w:val="20"/>
          <w:szCs w:val="20"/>
          <w:color w:val="auto"/>
        </w:rPr>
      </w:pPr>
    </w:p>
    <w:p>
      <w:pPr>
        <w:jc w:val="both"/>
        <w:ind w:left="1620" w:right="579" w:firstLine="360"/>
        <w:spacing w:after="0" w:line="258" w:lineRule="auto"/>
        <w:tabs>
          <w:tab w:leader="none" w:pos="23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1" w:lineRule="exact"/>
        <w:rPr>
          <w:rFonts w:ascii="Times New Roman" w:cs="Times New Roman" w:eastAsia="Times New Roman" w:hAnsi="Times New Roman"/>
          <w:sz w:val="18"/>
          <w:szCs w:val="18"/>
          <w:color w:val="auto"/>
        </w:rPr>
      </w:pPr>
    </w:p>
    <w:p>
      <w:pPr>
        <w:ind w:left="1620" w:right="1199" w:firstLine="360"/>
        <w:spacing w:after="0" w:line="266" w:lineRule="auto"/>
        <w:tabs>
          <w:tab w:leader="none" w:pos="22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95" w:lineRule="exact"/>
        <w:rPr>
          <w:sz w:val="20"/>
          <w:szCs w:val="20"/>
          <w:color w:val="auto"/>
        </w:rPr>
      </w:pPr>
    </w:p>
    <w:p>
      <w:pPr>
        <w:jc w:val="both"/>
        <w:ind w:left="1260" w:right="439"/>
        <w:spacing w:after="0" w:line="250"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(however described) in that trust shall not be transferred within six months after that corporation or that trust has acquired the shares pursuant to an offer made under Section 275 of the SFA except:</w:t>
      </w:r>
    </w:p>
    <w:p>
      <w:pPr>
        <w:spacing w:after="0" w:line="110" w:lineRule="exact"/>
        <w:rPr>
          <w:sz w:val="20"/>
          <w:szCs w:val="20"/>
          <w:color w:val="auto"/>
        </w:rPr>
      </w:pPr>
    </w:p>
    <w:p>
      <w:pPr>
        <w:ind w:left="1620" w:right="919" w:firstLine="360"/>
        <w:spacing w:after="0" w:line="266" w:lineRule="auto"/>
        <w:tabs>
          <w:tab w:leader="none" w:pos="230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94" w:lineRule="exact"/>
        <w:rPr>
          <w:rFonts w:ascii="Times New Roman" w:cs="Times New Roman" w:eastAsia="Times New Roman" w:hAnsi="Times New Roman"/>
          <w:sz w:val="18"/>
          <w:szCs w:val="18"/>
          <w:color w:val="auto"/>
        </w:rPr>
      </w:pPr>
    </w:p>
    <w:p>
      <w:pPr>
        <w:ind w:left="2360" w:hanging="380"/>
        <w:spacing w:after="0"/>
        <w:tabs>
          <w:tab w:leader="none" w:pos="2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57" w:lineRule="exact"/>
        <w:rPr>
          <w:rFonts w:ascii="Times New Roman" w:cs="Times New Roman" w:eastAsia="Times New Roman" w:hAnsi="Times New Roman"/>
          <w:sz w:val="18"/>
          <w:szCs w:val="18"/>
          <w:color w:val="auto"/>
        </w:rPr>
      </w:pPr>
    </w:p>
    <w:p>
      <w:pPr>
        <w:ind w:left="2420" w:hanging="440"/>
        <w:spacing w:after="0"/>
        <w:tabs>
          <w:tab w:leader="none" w:pos="2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57" w:lineRule="exact"/>
        <w:rPr>
          <w:rFonts w:ascii="Times New Roman" w:cs="Times New Roman" w:eastAsia="Times New Roman" w:hAnsi="Times New Roman"/>
          <w:sz w:val="18"/>
          <w:szCs w:val="18"/>
          <w:color w:val="auto"/>
        </w:rPr>
      </w:pPr>
    </w:p>
    <w:p>
      <w:pPr>
        <w:ind w:left="2400" w:hanging="420"/>
        <w:spacing w:after="0"/>
        <w:tabs>
          <w:tab w:leader="none" w:pos="2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44" w:lineRule="exact"/>
        <w:rPr>
          <w:rFonts w:ascii="Times New Roman" w:cs="Times New Roman" w:eastAsia="Times New Roman" w:hAnsi="Times New Roman"/>
          <w:sz w:val="18"/>
          <w:szCs w:val="18"/>
          <w:color w:val="auto"/>
        </w:rPr>
      </w:pPr>
    </w:p>
    <w:p>
      <w:pPr>
        <w:ind w:left="1620" w:right="1179" w:firstLine="360"/>
        <w:spacing w:after="0" w:line="282" w:lineRule="auto"/>
        <w:tabs>
          <w:tab w:leader="none" w:pos="23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81"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Singapore SFA Product Classification — 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Israel</w:t>
      </w:r>
    </w:p>
    <w:p>
      <w:pPr>
        <w:spacing w:after="0" w:line="146"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the State of Israel this prospectus supplement shall not be regarded as an offer to the public to purchase shares of common stock under the Israeli Securities Law, 5728 – 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w:t>
      </w:r>
    </w:p>
    <w:p>
      <w:pPr>
        <w:spacing w:after="0" w:line="3" w:lineRule="exact"/>
        <w:rPr>
          <w:sz w:val="20"/>
          <w:szCs w:val="20"/>
          <w:color w:val="auto"/>
        </w:rPr>
      </w:pPr>
    </w:p>
    <w:p>
      <w:pPr>
        <w:ind w:left="1260" w:right="519"/>
        <w:spacing w:after="0"/>
        <w:tabs>
          <w:tab w:leader="none" w:pos="15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w:t>
      </w:r>
    </w:p>
    <w:p>
      <w:pPr>
        <w:spacing w:after="0" w:line="110"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w:t>
      </w:r>
    </w:p>
    <w:p>
      <w:pPr>
        <w:spacing w:after="0" w:line="5" w:lineRule="exact"/>
        <w:rPr>
          <w:sz w:val="20"/>
          <w:szCs w:val="20"/>
          <w:color w:val="auto"/>
        </w:rPr>
      </w:pPr>
    </w:p>
    <w:p>
      <w:pPr>
        <w:ind w:left="1260" w:right="439"/>
        <w:spacing w:after="0" w:line="241" w:lineRule="auto"/>
        <w:tabs>
          <w:tab w:leader="none" w:pos="159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329" w:lineRule="exact"/>
        <w:rPr>
          <w:sz w:val="20"/>
          <w:szCs w:val="20"/>
          <w:color w:val="auto"/>
        </w:rPr>
      </w:pPr>
    </w:p>
    <w:p>
      <w:pPr>
        <w:jc w:val="both"/>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We have not authorized and do not authorize the making of any offer of securities through any financial intermediary on our behalf, other than offers made by the underwriters and their respective affiliates, with a view to the final placement of the securities as contemplated in this document. Accordingly, no purchaser of the shares, other than the underwriters, is authorized to make any further offer of shares on our behalf or on behalf of the underwriters.</w:t>
      </w:r>
    </w:p>
    <w:p>
      <w:pPr>
        <w:spacing w:after="0" w:line="11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Passive Market Making. </w:t>
      </w:r>
      <w:r>
        <w:rPr>
          <w:rFonts w:ascii="Times New Roman" w:cs="Times New Roman" w:eastAsia="Times New Roman" w:hAnsi="Times New Roman"/>
          <w:sz w:val="18"/>
          <w:szCs w:val="18"/>
          <w:color w:val="auto"/>
        </w:rPr>
        <w:t>In connection with the offering, underwriters and selling group members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 in passive market making transactions in the common stock on Nasdaq in accordance with Rule 103 of Regulation M under the Exchange Act during the period before the commencement of offers or sales of common stock and extending through the completion of distribution. A passive market maker must display its bids at a price not in excess of the highest independent bid of the security. However, if all independent bids are lowered below the passive market maker’s bid that bid must be lowered when specified purchase limits are exceeded.</w:t>
      </w:r>
    </w:p>
    <w:p>
      <w:pPr>
        <w:spacing w:after="0" w:line="325"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Electronic Offer, Sale and Distribution of Shares. </w:t>
      </w:r>
      <w:r>
        <w:rPr>
          <w:rFonts w:ascii="Times New Roman" w:cs="Times New Roman" w:eastAsia="Times New Roman" w:hAnsi="Times New Roman"/>
          <w:sz w:val="18"/>
          <w:szCs w:val="18"/>
          <w:color w:val="auto"/>
        </w:rPr>
        <w:t>A prospectus in electronic format may be made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on the websites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supplement or the registration statement of which this prospectus supplement forms a part, has not been approved or endorsed by us or any underwriter in its capacity as underwriter, and should not be relied upon by investors.</w:t>
      </w:r>
    </w:p>
    <w:p>
      <w:pPr>
        <w:spacing w:after="0" w:line="11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Other Relationships. </w:t>
      </w:r>
      <w:r>
        <w:rPr>
          <w:rFonts w:ascii="Times New Roman" w:cs="Times New Roman" w:eastAsia="Times New Roman" w:hAnsi="Times New Roman"/>
          <w:sz w:val="18"/>
          <w:szCs w:val="18"/>
          <w:color w:val="auto"/>
        </w:rPr>
        <w:t>Certain of the underwriters and their affiliates have provided, and may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provide, various investment banking, commercial banking and other financial services for us and our affiliates for which they have received, and may in the future receive, customary fees. 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The underwriters and certain of their affiliates may also communicate independent investment recommendations, market color or trading ideas and/or publish or express independent research views in</w:t>
      </w:r>
    </w:p>
    <w:p>
      <w:pPr>
        <w:spacing w:after="0" w:line="3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99"/>
        <w:spacing w:after="0" w:line="282" w:lineRule="auto"/>
        <w:rPr>
          <w:sz w:val="20"/>
          <w:szCs w:val="20"/>
          <w:color w:val="auto"/>
        </w:rPr>
      </w:pPr>
      <w:r>
        <w:rPr>
          <w:rFonts w:ascii="Times New Roman" w:cs="Times New Roman" w:eastAsia="Times New Roman" w:hAnsi="Times New Roman"/>
          <w:sz w:val="18"/>
          <w:szCs w:val="18"/>
          <w:color w:val="auto"/>
        </w:rPr>
        <w:t>respect of such securities or instruments and may at any time hold, or recommend to clients that they acquire, long and/or short positions in such securities and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The validity of the securities offered by this prospectus supplement will be passed upon for us by Covington &amp; Burling LLP, Washington, D.C. Paul Hastings LLP, New York, New York is counsel for the underwriters in connection with this offering.</w:t>
      </w:r>
    </w:p>
    <w:p>
      <w:pPr>
        <w:spacing w:after="0" w:line="16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519" w:firstLine="360"/>
        <w:spacing w:after="0" w:line="246" w:lineRule="auto"/>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auto"/>
          </w:rPr>
          <w:t xml:space="preserve">The financial statements incorporated in this prospectus supplement by reference to the </w:t>
        </w:r>
        <w:r>
          <w:rPr>
            <w:rFonts w:ascii="Times New Roman" w:cs="Times New Roman" w:eastAsia="Times New Roman" w:hAnsi="Times New Roman"/>
            <w:sz w:val="18"/>
            <w:szCs w:val="18"/>
            <w:u w:val="single" w:color="auto"/>
            <w:color w:val="0000EE"/>
          </w:rPr>
          <w:t>Annual Report</w:t>
        </w:r>
      </w:hyperlink>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u w:val="single" w:color="auto"/>
            <w:color w:val="0000EE"/>
          </w:rPr>
          <w:t>on Form 10-K for the year ended December 31,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have been so incorporated in reliance on the report</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w:t>
      </w:r>
    </w:p>
    <w:p>
      <w:pPr>
        <w:spacing w:after="0" w:line="17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the registration statement on Form S-3 we filed with the SEC under the Securities Act and do not contain all the information set forth in the registration statement. Whenever a reference is made in this prospectus supplement or the accompanying prospectus to any of our contracts, agreements or other documents, the reference may not be complete and you should refer to the exhibits that are a part of the registration statement or the exhibits to the reports or other documents incorporated by reference in this prospectus supplement and the accompanying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We maintain a website at www.humacyte.com. The information contained in, or that can be accessed through, our website is not incorporated by reference herein and is not part of this prospectus supplement or the accompanying prospectus.</w:t>
      </w:r>
    </w:p>
    <w:p>
      <w:pPr>
        <w:spacing w:after="0" w:line="18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and the accompanying prospectus much of the information in documents we file with the SEC, which means that we can disclose important information to you by referring you to those documents. The information incorporated by reference is considered to be a part of this prospectus supplement and the accompanying prospectus and should be read with the same care. When we update the information contained in documents that have been incorporated by reference by making future filings with the SEC, the information incorporated by reference into this prospectus supplement is considered to be automatically updated and superseded. In other words, in all cases, if you are considering whether to rely on information contained in this prospectus supplement and the accompanying prospectus or information incorporated by reference herein and therein, you should rely on the information contained in the document that was filed later. We incorporate by reference (other than any information furnished to, rather than filed with, the SEC, unless expressly stated otherwise therein) the documents listed below (File No. 001-39532 unless otherwise stated), which are considered to be a part of this prospectus supplement:</w:t>
      </w:r>
    </w:p>
    <w:p>
      <w:pPr>
        <w:spacing w:after="0" w:line="287" w:lineRule="exact"/>
        <w:rPr>
          <w:sz w:val="20"/>
          <w:szCs w:val="20"/>
          <w:color w:val="auto"/>
        </w:rPr>
      </w:pPr>
    </w:p>
    <w:p>
      <w:pPr>
        <w:ind w:left="1800" w:right="719" w:hanging="180"/>
        <w:spacing w:after="0" w:line="26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2025, filed with the SEC on March 27, 2026 (including the portions of our </w:t>
      </w:r>
      <w:hyperlink r:id="rId66">
        <w:r>
          <w:rPr>
            <w:rFonts w:ascii="Times New Roman" w:cs="Times New Roman" w:eastAsia="Times New Roman" w:hAnsi="Times New Roman"/>
            <w:sz w:val="18"/>
            <w:szCs w:val="18"/>
            <w:u w:val="single" w:color="auto"/>
            <w:color w:val="0000EE"/>
          </w:rPr>
          <w:t>Definitive Proxy Statement on Schedule 14A</w:t>
        </w:r>
      </w:hyperlink>
      <w:r>
        <w:rPr>
          <w:rFonts w:ascii="Times New Roman" w:cs="Times New Roman" w:eastAsia="Times New Roman" w:hAnsi="Times New Roman"/>
          <w:sz w:val="18"/>
          <w:szCs w:val="18"/>
          <w:color w:val="auto"/>
        </w:rPr>
        <w:t>, filed with the SEC on April 28, 2026, incorporated by reference therein);</w:t>
      </w:r>
    </w:p>
    <w:p>
      <w:pPr>
        <w:spacing w:after="0" w:line="6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w:t>
      </w:r>
      <w:hyperlink r:id="rId67">
        <w:r>
          <w:rPr>
            <w:rFonts w:ascii="Times New Roman" w:cs="Times New Roman" w:eastAsia="Times New Roman" w:hAnsi="Times New Roman"/>
            <w:sz w:val="18"/>
            <w:szCs w:val="18"/>
            <w:u w:val="single" w:color="auto"/>
            <w:color w:val="0000EE"/>
          </w:rPr>
          <w:t>quarter ended March 31, 2026</w:t>
        </w:r>
      </w:hyperlink>
      <w:r>
        <w:rPr>
          <w:rFonts w:ascii="Times New Roman" w:cs="Times New Roman" w:eastAsia="Times New Roman" w:hAnsi="Times New Roman"/>
          <w:sz w:val="18"/>
          <w:szCs w:val="18"/>
          <w:color w:val="auto"/>
        </w:rPr>
        <w:t>, filed with the SEC on May 13, 2026;</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7"/>
        </w:numPr>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March 19,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19,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24,</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9">
        <w:r>
          <w:rPr>
            <w:rFonts w:ascii="Times New Roman" w:cs="Times New Roman" w:eastAsia="Times New Roman" w:hAnsi="Times New Roman"/>
            <w:sz w:val="18"/>
            <w:szCs w:val="18"/>
            <w:u w:val="single" w:color="auto"/>
            <w:color w:val="0000EE"/>
          </w:rPr>
          <w:t>May 8, 2026</w:t>
        </w:r>
      </w:hyperlink>
      <w:hyperlink r:id="rId6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0">
        <w:r>
          <w:rPr>
            <w:rFonts w:ascii="Times New Roman" w:cs="Times New Roman" w:eastAsia="Times New Roman" w:hAnsi="Times New Roman"/>
            <w:sz w:val="18"/>
            <w:szCs w:val="18"/>
            <w:u w:val="single" w:color="auto"/>
            <w:color w:val="0000EE"/>
          </w:rPr>
          <w:t>June 5, 2026</w:t>
        </w:r>
      </w:hyperlink>
      <w:hyperlink r:id="rId6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1">
        <w:r>
          <w:rPr>
            <w:rFonts w:ascii="Times New Roman" w:cs="Times New Roman" w:eastAsia="Times New Roman" w:hAnsi="Times New Roman"/>
            <w:sz w:val="18"/>
            <w:szCs w:val="18"/>
            <w:u w:val="single" w:color="auto"/>
            <w:color w:val="0000EE"/>
          </w:rPr>
          <w:t xml:space="preserve">June 9, 2026 </w:t>
        </w:r>
      </w:hyperlink>
      <w:hyperlink r:id="rId68">
        <w:r>
          <w:rPr>
            <w:rFonts w:ascii="Times New Roman" w:cs="Times New Roman" w:eastAsia="Times New Roman" w:hAnsi="Times New Roman"/>
            <w:sz w:val="18"/>
            <w:szCs w:val="18"/>
            <w:color w:val="000000"/>
          </w:rPr>
          <w:t>and June 10, 2026; and</w:t>
        </w:r>
      </w:hyperlink>
    </w:p>
    <w:p>
      <w:pPr>
        <w:spacing w:after="0" w:line="53" w:lineRule="exact"/>
        <w:rPr>
          <w:rFonts w:ascii="Times New Roman" w:cs="Times New Roman" w:eastAsia="Times New Roman" w:hAnsi="Times New Roman"/>
          <w:sz w:val="18"/>
          <w:szCs w:val="18"/>
          <w:color w:val="0000EE"/>
        </w:rPr>
      </w:pPr>
    </w:p>
    <w:p>
      <w:pPr>
        <w:ind w:left="1800" w:right="67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w:t>
      </w:r>
      <w:hyperlink r:id="rId72">
        <w:r>
          <w:rPr>
            <w:rFonts w:ascii="Times New Roman" w:cs="Times New Roman" w:eastAsia="Times New Roman" w:hAnsi="Times New Roman"/>
            <w:sz w:val="18"/>
            <w:szCs w:val="18"/>
            <w:u w:val="single" w:color="auto"/>
            <w:color w:val="0000EE"/>
          </w:rPr>
          <w:t>Exhibit 4.6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2023, filed with the SEC on March 28, 2024.</w:t>
      </w:r>
    </w:p>
    <w:p>
      <w:pPr>
        <w:spacing w:after="0" w:line="81" w:lineRule="exact"/>
        <w:rPr>
          <w:rFonts w:ascii="Times New Roman" w:cs="Times New Roman" w:eastAsia="Times New Roman" w:hAnsi="Times New Roman"/>
          <w:sz w:val="18"/>
          <w:szCs w:val="18"/>
          <w:color w:val="0000EE"/>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All reports and other documents we subsequently file with the SEC under Sections 13(a), 13(c), 14 or 15(d) of the Exchange Act until our offering is completed will also be incorporated by reference into this</w:t>
      </w:r>
    </w:p>
    <w:p>
      <w:pPr>
        <w:sectPr>
          <w:pgSz w:w="11900" w:h="16838" w:orient="portrait"/>
          <w:cols w:equalWidth="0" w:num="1">
            <w:col w:w="9879"/>
          </w:cols>
          <w:pgMar w:left="580" w:top="97" w:right="1440" w:bottom="1440" w:gutter="0" w:footer="0" w:header="0"/>
        </w:sectPr>
      </w:pPr>
    </w:p>
    <w:p>
      <w:pPr>
        <w:spacing w:after="0" w:line="324" w:lineRule="exact"/>
        <w:rPr>
          <w:rFonts w:ascii="Times New Roman" w:cs="Times New Roman" w:eastAsia="Times New Roman" w:hAnsi="Times New Roman"/>
          <w:sz w:val="18"/>
          <w:szCs w:val="18"/>
          <w:color w:val="0000EE"/>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3" w:lineRule="auto"/>
        <w:rPr>
          <w:sz w:val="20"/>
          <w:szCs w:val="20"/>
          <w:color w:val="auto"/>
        </w:rPr>
      </w:pPr>
      <w:r>
        <w:rPr>
          <w:rFonts w:ascii="Times New Roman" w:cs="Times New Roman" w:eastAsia="Times New Roman" w:hAnsi="Times New Roman"/>
          <w:sz w:val="18"/>
          <w:szCs w:val="18"/>
          <w:color w:val="auto"/>
        </w:rPr>
        <w:t>prospectus supplement and deemed to be part hereof (other than any information furnished to, rather than filed with, the SEC, unless expressly stated otherwise therein). The information contained in any such filing will be deemed to be a part of this prospectus supplement commencing on the date on which the document is filed.</w:t>
      </w:r>
    </w:p>
    <w:p>
      <w:pPr>
        <w:spacing w:after="0" w:line="33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Any documents incorporated by reference into this prospectus supplement are available without charge to you, upon written request by contacting our Investor Relations department at Investor Relations, Humacyte, Inc., 2525 East North Carolina Highway 54, Durham, North Carolina 27713.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1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5"/>
          <w:szCs w:val="25"/>
          <w:b w:val="1"/>
          <w:bCs w:val="1"/>
          <w:color w:val="auto"/>
        </w:rPr>
        <w:t>$350,000,000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127000</wp:posOffset>
            </wp:positionV>
            <wp:extent cx="2151380" cy="436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215138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3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Warrants</w:t>
      </w:r>
    </w:p>
    <w:p>
      <w:pPr>
        <w:jc w:val="center"/>
        <w:ind w:right="-800"/>
        <w:spacing w:after="0" w:line="236" w:lineRule="auto"/>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1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21" w:lineRule="exact"/>
        <w:rPr>
          <w:sz w:val="20"/>
          <w:szCs w:val="20"/>
          <w:color w:val="auto"/>
        </w:rPr>
      </w:pPr>
    </w:p>
    <w:p>
      <w:pPr>
        <w:ind w:left="1260" w:right="839" w:firstLine="360"/>
        <w:spacing w:after="0" w:line="226" w:lineRule="exact"/>
        <w:rPr>
          <w:sz w:val="20"/>
          <w:szCs w:val="20"/>
          <w:color w:val="auto"/>
        </w:rPr>
      </w:pPr>
      <w:r>
        <w:rPr>
          <w:rFonts w:ascii="Times New Roman" w:cs="Times New Roman" w:eastAsia="Times New Roman" w:hAnsi="Times New Roman"/>
          <w:sz w:val="18"/>
          <w:szCs w:val="18"/>
          <w:color w:val="auto"/>
        </w:rPr>
        <w:t>From time to time, we may offer and sell up to $350,000,000 in the aggregate of the securities identified above, either individually or in combination, at prices and on terms described in one or more supplements to this prospectus. We may also offer securities as may be issuable upon conversion, redemption, repurchase, exchange or exercise of any securities registered hereunder, including any applicable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dilution provisions.</w:t>
      </w:r>
    </w:p>
    <w:p>
      <w:pPr>
        <w:spacing w:after="0" w:line="9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This prospectus describes the general terms of these securities and the general manner in which they may be offered. Each time we offer any securities pursuant to this prospectus, we will provide you with a prospectus supplement that will describe the specific amounts, prices and terms of the securities being offered and the specific manner in which they may be offered. The prospectus supplement and any related free writing prospectus may also add, update or change information contained in this prospectus. You should read this prospectus, the information incorporated by reference in this prospectus, the accompanying prospectus supplement, including any information incorporated by reference therein, and any applicable free writing prospectus carefully before you invest in the securities described in the applicable prospectus supplement.</w:t>
      </w:r>
    </w:p>
    <w:p>
      <w:pPr>
        <w:spacing w:after="0" w:line="340"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(“Nasdaq”) under the symbol “HUMA.” On September 17, 2025, the last reported sale price per share of our common stock was $1.53 per share. The applicable prospectus supplement will contain information, where applicable, as to other listings, if any, on Nasdaq or other securities exchange of the securities covered by the prospectus supplement.</w:t>
      </w:r>
    </w:p>
    <w:p>
      <w:pPr>
        <w:spacing w:after="0" w:line="11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may offer and sell these securities to or through one or more underwriters, dealers and agents, directly to purchasers or through a combination of these methods, on a continuous or delayed basis from time to time.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 and in the applicable prospectus supplement. The names of any underwriters, dealers or agents involved in the distribution of our securities, their compensation and any option they hold to acquire additional securities will be described in the applicable prospectus supplement. Net proceeds from the sale of securities will be set forth in the applicable prospectus supplement.</w:t>
      </w:r>
    </w:p>
    <w:p>
      <w:pPr>
        <w:spacing w:after="0" w:line="318"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investing in our securities, you should carefully consider the risks and uncertainties described under the caption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EE"/>
        </w:rPr>
        <w:t>7</w:t>
      </w:r>
      <w:r>
        <w:rPr>
          <w:rFonts w:ascii="Times New Roman" w:cs="Times New Roman" w:eastAsia="Times New Roman" w:hAnsi="Times New Roman"/>
          <w:sz w:val="18"/>
          <w:szCs w:val="18"/>
          <w:b w:val="1"/>
          <w:bCs w:val="1"/>
          <w:color w:val="auto"/>
        </w:rPr>
        <w:t xml:space="preserve"> of this prospectus and any similar section contained in the applicable prospectus supplement and in any free writing prospectus we have authorized for use in connection with a specific offering, and under similar headings in the documents incorporated by reference in this prospectus.</w:t>
      </w:r>
    </w:p>
    <w:p>
      <w:pPr>
        <w:spacing w:after="0" w:line="112" w:lineRule="exact"/>
        <w:rPr>
          <w:sz w:val="20"/>
          <w:szCs w:val="20"/>
          <w:color w:val="auto"/>
        </w:rPr>
      </w:pPr>
    </w:p>
    <w:p>
      <w:pPr>
        <w:ind w:left="1260" w:right="4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255905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-119380</wp:posOffset>
            </wp:positionV>
            <wp:extent cx="5212080" cy="1282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5212080" cy="12827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MARKET,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INDUSTRY AND OTHER DATA</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BY REFERENCE</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CASH</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RUNWAY STATEMENT AND OUR ABILITY TO CONTINUE AS A GOING CONCERN</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05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PREFERRED STOCK</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CERTAIN ANTI-TAKEOVER PROVISIONS OF DELAWARE LAW AND OUR CHARTER AND</w:t>
      </w:r>
    </w:p>
    <w:p>
      <w:pPr>
        <w:spacing w:after="0" w:line="27" w:lineRule="exact"/>
        <w:rPr>
          <w:sz w:val="20"/>
          <w:szCs w:val="20"/>
          <w:color w:val="auto"/>
        </w:rPr>
      </w:pPr>
    </w:p>
    <w:p>
      <w:pPr>
        <w:ind w:left="1440" w:hanging="180"/>
        <w:spacing w:after="0"/>
        <w:tabs>
          <w:tab w:leader="none" w:pos="1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DEBT SECURITIES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SUBSCRIPTION RIGHTS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05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26</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28</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auto"/>
        </w:rPr>
        <w:t>​</w:t>
      </w:r>
    </w:p>
    <w:p>
      <w:pPr>
        <w:sectPr>
          <w:pgSz w:w="11900" w:h="16838" w:orient="portrait"/>
          <w:cols w:equalWidth="0" w:num="2">
            <w:col w:w="8760" w:space="360"/>
            <w:col w:w="75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U.S. Securities and Exchange Commission (“SEC”), using a “shelf” registration process under the Securities Act of 1933, as amended (the “Securities Act”). Under this shelf registration statement, we may offer and sell from time to time, separately or together, any combination of our common stock, preferred stock, warrants, subscription rights, and units in one or more offerings at an aggregate offering price of up to $350,000,000. The preferred stock, debt securities, warrants, subscription rights and units may be convertible into, or exercisable or exchangeable for, our common or preferred stock or other securities issued by us.</w:t>
      </w:r>
    </w:p>
    <w:p>
      <w:pPr>
        <w:spacing w:after="0" w:line="114" w:lineRule="exact"/>
        <w:rPr>
          <w:sz w:val="20"/>
          <w:szCs w:val="20"/>
          <w:color w:val="auto"/>
        </w:rPr>
      </w:pPr>
    </w:p>
    <w:p>
      <w:pPr>
        <w:ind w:left="1260" w:right="639" w:firstLine="360"/>
        <w:spacing w:after="0" w:line="244"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offer and sell securities, we will provide a prospectus supplement that will contain specific information about the terms of that offering. The prospectus supplement may also add, update or change information contained in this prospectus. You should read this prospectus and the applicable prospectus supplement together with the additional information described under the heading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We may also prepare free writing prospectuses that describe particular securities. Any 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writing prospectus should also be read in connection with this prospectus and any prospectus supplement referred to therein. For purposes of this prospectus, any reference to an applicable prospectus supplement may also refer to a free writing prospectus, unless the context otherwise requires.</w:t>
      </w:r>
    </w:p>
    <w:p>
      <w:pPr>
        <w:spacing w:after="0" w:line="11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prospectus to “we,” “our,” “us,” “our company” and “the Company” refer to Humacyte, Inc. and its consolidated subsidiaries.</w:t>
      </w:r>
    </w:p>
    <w:p>
      <w:pPr>
        <w:spacing w:after="0" w:line="95"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This prospectus describes the terms of this offering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 (for example, a document incorporated by reference into this prospectus) the statement in the document having the later date modifies or supersedes the earlier statement. The information contained in this prospectus or any free writing prospectus, or incorporated by reference herein or therein, is accurate only as of the respective dates thereof, regardless of the time of delivery of this prospectus or of any sale of our shares of common stock. Our business, financial condition, results of operations and prospects may have changed since those dates.</w:t>
      </w:r>
    </w:p>
    <w:p>
      <w:pPr>
        <w:spacing w:after="0" w:line="121"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21"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registration statement of which this prospectus forms a part, including the exhibits to the registration statement, contains additional information about us and the securities offered under this prospectus. The registration statement can be obtained from the SEC’s website, www.sec.gov. Copies of information filed by us with the SEC are also available on our website at www.humacyte.com. The reference to our website is not intended to be an active link and the information on, or that can be accessed through, our website is not, and you must not consider the information to be, a part of this prospectus or any other filings we make with the SEC.</w:t>
      </w:r>
    </w:p>
    <w:p>
      <w:pPr>
        <w:spacing w:after="0" w:line="31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We have not authorized anyone to provide you with information that is different from or in addition to that contained or incorporated by reference in this prospectus or any applicable prospectus supplement or free writing prospectus prepared by us or on our behalf. We do not take any responsibility for, and can provide no assurance as to the reliability of, any information that others may give. We are not making an offer to sell or soliciting an offer to buy our securities under any circumstances where the offer or solicitation is not permitted. You should not assume that the information in this prospectus, any applicable prospectus supplement or any free writing</w:t>
      </w:r>
    </w:p>
    <w:p>
      <w:pPr>
        <w:spacing w:after="0" w:line="37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59"/>
        <w:spacing w:after="0" w:line="259" w:lineRule="auto"/>
        <w:rPr>
          <w:sz w:val="20"/>
          <w:szCs w:val="20"/>
          <w:color w:val="auto"/>
        </w:rPr>
      </w:pPr>
      <w:r>
        <w:rPr>
          <w:rFonts w:ascii="Times New Roman" w:cs="Times New Roman" w:eastAsia="Times New Roman" w:hAnsi="Times New Roman"/>
          <w:sz w:val="18"/>
          <w:szCs w:val="18"/>
          <w:b w:val="1"/>
          <w:bCs w:val="1"/>
          <w:color w:val="auto"/>
        </w:rPr>
        <w:t>prospectus that we have prepared is accurate as of any date other than the respective date of each of those documents, or that any information in documents that we have incorporated by reference is accurate as of any date other than the date of the document incorporated by reference, regardless of the time of delivery of this prospectus or any prospectus supplement or any sale of a security. Our business, financial condition, results of operations and prospects may have changed since those dates.</w:t>
      </w:r>
    </w:p>
    <w:p>
      <w:pPr>
        <w:spacing w:after="0" w:line="116"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The distribution of this prospectus and any applicable prospectus supplement and the offering of the securities in certain jurisdictions may be restricted by law. Persons who obtain this prospectus and any applicable prospectus supplement should inform themselves about, and observe, any such restrictions. This prospectus and any applicable prospectus supplement do not constitute, and may not be used in connection with, an offer or solicitation by anyone in any jurisdiction in which such offer or solicitation is not permitted or in which the person making such offer or solicitation is not qualified to do so or to any person to whom it is unlawful to make such offer or solicitation.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within the meaning of Section 27A of the Securities Act, and Section 21E of the Securities Exchange Act of 1934, as amended (the “Exchange Act”). These forward-looking statements reflect our current views with respect to, among other things, future events and our financial performance. Any statements about our management’s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All forward-looking statements, expressed or implied, included herewith are expressly qualified in their entirety by the cautionary statements contained or referred to herein. The inclusion of forward-looking information in this prospectus and the documents incorporated by reference herein should not be regarded as a representation by us or any other person that the future plans, estimates or expectations contemplated by us will be achieved. We have based these forward-looking statements largely on our current expectations and projections about future events and financial trends that we believe may affect our financial condition, results of operations, business strategy and financial needs. Factors that may affect our results are disclosed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 xml:space="preserve"> of this prospectus, and in the documents incorporated by reference into this prospectus and included or incorporated by reference in this prospectus. Some of the risks and uncertainties that may cause our actual results, performance or achievements to differ materially from those expressed include, but are not limited to, the following:</w:t>
      </w:r>
    </w:p>
    <w:p>
      <w:pPr>
        <w:spacing w:after="0" w:line="290" w:lineRule="exact"/>
        <w:rPr>
          <w:sz w:val="20"/>
          <w:szCs w:val="20"/>
          <w:color w:val="auto"/>
        </w:rPr>
      </w:pPr>
    </w:p>
    <w:p>
      <w:pPr>
        <w:ind w:left="1800" w:right="61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commercialize Symvess™ (acellular tissue engineered vessel-tyod or “ATEV™”) and, if approved by regulatory authorities, our product candidates, successfully and on our anticipated timelines;</w:t>
      </w:r>
    </w:p>
    <w:p>
      <w:pPr>
        <w:spacing w:after="0" w:line="6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market acceptance of and the availability of third-party coverage and reimbursement for Symvess and, if approved by regulatory authorities, our product candidates;</w:t>
      </w:r>
    </w:p>
    <w:p>
      <w:pPr>
        <w:spacing w:after="0" w:line="53" w:lineRule="exact"/>
        <w:rPr>
          <w:rFonts w:ascii="Times New Roman" w:cs="Times New Roman" w:eastAsia="Times New Roman" w:hAnsi="Times New Roman"/>
          <w:sz w:val="18"/>
          <w:szCs w:val="18"/>
          <w:color w:val="auto"/>
        </w:rPr>
      </w:pPr>
    </w:p>
    <w:p>
      <w:pPr>
        <w:ind w:left="1800" w:right="123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Symvess and, if approved by regulatory authorities, our product candidates, in sufficient quantities to satisfy our clinical trial and commercial needs;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size of the target populations for Symvess and, if approved by regulatory authorities, our product candidates;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our ATEVs relative to existing alternatives;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assessment of the competitive landscape;</w:t>
      </w:r>
    </w:p>
    <w:p>
      <w:pPr>
        <w:spacing w:after="0" w:line="117" w:lineRule="exact"/>
        <w:rPr>
          <w:rFonts w:ascii="Times New Roman" w:cs="Times New Roman" w:eastAsia="Times New Roman" w:hAnsi="Times New Roman"/>
          <w:sz w:val="18"/>
          <w:szCs w:val="18"/>
          <w:color w:val="auto"/>
        </w:rPr>
      </w:pPr>
    </w:p>
    <w:p>
      <w:pPr>
        <w:ind w:left="1800" w:right="12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execute product development, process development and preclinical development efforts successfully and on our anticipated timelines;</w:t>
      </w:r>
    </w:p>
    <w:p>
      <w:pPr>
        <w:spacing w:after="0" w:line="53" w:lineRule="exact"/>
        <w:rPr>
          <w:rFonts w:ascii="Times New Roman" w:cs="Times New Roman" w:eastAsia="Times New Roman" w:hAnsi="Times New Roman"/>
          <w:sz w:val="18"/>
          <w:szCs w:val="18"/>
          <w:color w:val="auto"/>
        </w:rPr>
      </w:pPr>
    </w:p>
    <w:p>
      <w:pPr>
        <w:jc w:val="both"/>
        <w:ind w:left="1800" w:right="73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anticipated timeline and ability to file applications for, and obtain marketing approvals from, the United States Food and Drug Administration (“FDA”) and other regulatory authorities, including the European Medicines Agency, for our ATEVs and product candidates;</w:t>
      </w:r>
    </w:p>
    <w:p>
      <w:pPr>
        <w:spacing w:after="0" w:line="67"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initiate and successfully complete clinical trials and other studies for our product candidates and our plans and expectations regarding our ongoing or planned clinical trials, including for our V007 and V012 Phase 3 clinical trials;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and achieve the expected benefits of our cost-saving measures and whether our efforts will result in further actions or additional asset impairment charges that adversely affect our business;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our ongoing discussions with the FDA concerning the design of our clinical trials;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rate and market opportunities;</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proprietary scientific technology platform to build a pipeline of additional product candidates;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characteristics and performance of our ATEVs and the public perception thereof;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63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strategic partnership with Fresenius Medical Care Holdings, Inc. to sell, market and distribute our 6 millimeter ATEV for certain specified indications and in specified markets, if approved by regulatory authorities;</w:t>
      </w:r>
    </w:p>
    <w:p>
      <w:pPr>
        <w:spacing w:after="0" w:line="54"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other third parties on which we rely, including our third-party manufacturers, our licensors, our suppliers and the organizations conducting our clinical trials;</w:t>
      </w:r>
    </w:p>
    <w:p>
      <w:pPr>
        <w:spacing w:after="0" w:line="26" w:lineRule="exact"/>
        <w:rPr>
          <w:rFonts w:ascii="Times New Roman" w:cs="Times New Roman" w:eastAsia="Times New Roman" w:hAnsi="Times New Roman"/>
          <w:sz w:val="18"/>
          <w:szCs w:val="18"/>
          <w:color w:val="auto"/>
        </w:rPr>
      </w:pPr>
    </w:p>
    <w:p>
      <w:pPr>
        <w:jc w:val="both"/>
        <w:ind w:left="1800" w:right="51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 as well as our ability to operate our business without infringing, misappropriating or otherwise violating the intellectual property rights of others;</w:t>
      </w:r>
    </w:p>
    <w:p>
      <w:pPr>
        <w:spacing w:after="0" w:line="54"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confidentiality of our trade secrets, particularly with respect to our manufacturing process;</w:t>
      </w:r>
    </w:p>
    <w:p>
      <w:pPr>
        <w:spacing w:after="0" w:line="26"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laws and regulatory requirements, including FDA regulations, healthcare laws and regulations, and anti-corruption laws;</w:t>
      </w:r>
    </w:p>
    <w:p>
      <w:pPr>
        <w:spacing w:after="0" w:line="26" w:lineRule="exact"/>
        <w:rPr>
          <w:rFonts w:ascii="Times New Roman" w:cs="Times New Roman" w:eastAsia="Times New Roman" w:hAnsi="Times New Roman"/>
          <w:sz w:val="18"/>
          <w:szCs w:val="18"/>
          <w:color w:val="auto"/>
        </w:rPr>
      </w:pPr>
    </w:p>
    <w:p>
      <w:pPr>
        <w:ind w:left="1800" w:right="759" w:hanging="180"/>
        <w:spacing w:after="0" w:line="261"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existing or potential claims and legal and administrative proceedings, and the merits, potential outcomes and effects of both existing and potential claims and legal and administrative proceedings, as well as regulatory determinations, on our business, prospects, financial condition and results of operations;</w:t>
      </w:r>
    </w:p>
    <w:p>
      <w:pPr>
        <w:spacing w:after="0" w:line="5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qualified personnel and to manage our growth effectively;</w:t>
      </w:r>
    </w:p>
    <w:p>
      <w:pPr>
        <w:spacing w:after="0" w:line="90"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how long our existing cash and cash equivalents will be sufficient to fund our anticipated operating expenses, capital expenditures and debt service obligations;</w:t>
      </w:r>
    </w:p>
    <w:p>
      <w:pPr>
        <w:spacing w:after="0" w:line="26"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capital requirements, including our ability to raise additional capital in the future;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and maintain effective internal controls;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liquidity and trading of our securities;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overall global economy and increasing interest rates and inflation on our business.</w:t>
      </w:r>
    </w:p>
    <w:p>
      <w:pPr>
        <w:spacing w:after="0" w:line="90"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 and the documents incorporated by reference herein.</w:t>
      </w:r>
    </w:p>
    <w:p>
      <w:pPr>
        <w:spacing w:after="0" w:line="13"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These forward-looking statements are only predictions based on our current expectations and projections about future events and are subject to a number of risks, uncertainties and assumptions, including those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 and the documents incorporated by reference herein. Moreover, we operate in a competitive industry, and new risks emerge from time to time. It is not possible for the management of Humacyte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and the documents incorporated by reference herein may not occur, and actual results could differ materially and adversely from those anticipated or implied in the forward-looking statements in this prospectus and the documents incorporated by reference herein.</w:t>
      </w:r>
    </w:p>
    <w:p>
      <w:pPr>
        <w:spacing w:after="0" w:line="61"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forward-looking statements included in this prospectus and the documents incorporated by reference herein are made only as of the date of the respective document. You should not rely upon forward-looking statements as predictions of future events. Although we believe that the expectations reflected in our forward- looking statements are reasonable, we cannot guarantee that the future results, levels of activity, performance or events and circumstances reflected in the forward -looking statements will be achieved or occur. We do not undertake any obligation to update publicly any forward-looking statements for any reason after the date of this prospectus to conform these statements to actual results or to changes in expectations, except as required by law.</w:t>
      </w:r>
    </w:p>
    <w:p>
      <w:pPr>
        <w:spacing w:after="0" w:line="274"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You should read this prospectus, the documents that have been filed as exhibits to the registration statement of which this prospectus forms a part, any accompanying prospectus supplement, and the documents incorporated by reference herein and therein, with the understanding that the actual future results, levels of activity, performance, events and circumstances of Humacyte may be materially different from what is expected.</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162" w:lineRule="exact"/>
        <w:rPr>
          <w:sz w:val="20"/>
          <w:szCs w:val="20"/>
          <w:color w:val="auto"/>
        </w:rPr>
      </w:pPr>
    </w:p>
    <w:p>
      <w:pPr>
        <w:ind w:left="1260" w:right="659" w:firstLine="360"/>
        <w:spacing w:after="0" w:line="243" w:lineRule="auto"/>
        <w:rPr>
          <w:sz w:val="20"/>
          <w:szCs w:val="20"/>
          <w:color w:val="auto"/>
        </w:rPr>
      </w:pPr>
      <w:r>
        <w:rPr>
          <w:rFonts w:ascii="Times New Roman" w:cs="Times New Roman" w:eastAsia="Times New Roman" w:hAnsi="Times New Roman"/>
          <w:sz w:val="18"/>
          <w:szCs w:val="18"/>
          <w:color w:val="auto"/>
        </w:rPr>
        <w:t>Certain information contained in this prospectus, and any applicable prospectus supplement, and the information incorporated by reference herein and therein, relates to or is based on studies, publications, surveys and other data obtained from third-party sources and Humacyte’s own internal estimates and research. While our management is responsible for the accuracy of such statement and we believe these third-party sources to be reliable as of the date of this prospectus, we have not independently verified the market and industry data contained in this prospectus or the underlying assumptions relied on therein. Finally, while we believe our own internal research is reliable, such research has not been verified by any independent source.</w:t>
      </w:r>
    </w:p>
    <w:p>
      <w:pPr>
        <w:spacing w:after="0" w:line="200" w:lineRule="exact"/>
        <w:rPr>
          <w:sz w:val="20"/>
          <w:szCs w:val="20"/>
          <w:color w:val="auto"/>
        </w:rPr>
      </w:pPr>
    </w:p>
    <w:p>
      <w:pPr>
        <w:spacing w:after="0" w:line="20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us and our securities offered by this prospectus, we refer you to the registration statement and its exhibits.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 this prospectus for a copy of such contract, agreement or other document.</w:t>
      </w:r>
    </w:p>
    <w:p>
      <w:pPr>
        <w:spacing w:after="0" w:line="11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We maintain a website at www.humacyte.com. The information contained in, or that can be accessed through, our website is not incorporated by reference herein and is not part of this prospectus.</w:t>
      </w:r>
    </w:p>
    <w:p>
      <w:pPr>
        <w:spacing w:after="0" w:line="17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62"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much of the information in documents we file with the SEC, which means that we can disclose important information to you by referring you to those documents.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into this prospectus is considered to be automatically updated and superseded. In other words, in all cases, if you are considering whether to rely on information contained in this prospectus or information incorporated by reference herein, you should rely on the information contained in the document that was filed later. We incorporate by reference (other than any information furnished to, rather than filed with, the SEC, unless expressly stated otherwise therein) the documents listed below (File No.</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001-39532 unless otherwise stated), which are considered to be a part of this prospectus:</w:t>
      </w:r>
    </w:p>
    <w:p>
      <w:pPr>
        <w:spacing w:after="0" w:line="84" w:lineRule="exact"/>
        <w:rPr>
          <w:sz w:val="20"/>
          <w:szCs w:val="20"/>
          <w:color w:val="auto"/>
        </w:rPr>
      </w:pPr>
    </w:p>
    <w:p>
      <w:pPr>
        <w:ind w:left="1800" w:right="719" w:hanging="180"/>
        <w:spacing w:after="0" w:line="266" w:lineRule="auto"/>
        <w:tabs>
          <w:tab w:leader="none" w:pos="1800" w:val="left"/>
        </w:tabs>
        <w:numPr>
          <w:ilvl w:val="0"/>
          <w:numId w:val="31"/>
        </w:numPr>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u w:val="single" w:color="auto"/>
            <w:color w:val="0000EE"/>
          </w:rPr>
          <w:t>Annual Report on Form 10-K for the year ended December 31, 2024, filed with the SEC on</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u w:val="single" w:color="auto"/>
            <w:color w:val="0000EE"/>
          </w:rPr>
          <w:t>March 31,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(including the portions of our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Definitive Proxy Statement on Schedule 14A, filed</w:t>
        </w:r>
      </w:hyperlink>
      <w:r>
        <w:rPr>
          <w:rFonts w:ascii="Times New Roman" w:cs="Times New Roman" w:eastAsia="Times New Roman" w:hAnsi="Times New Roman"/>
          <w:sz w:val="18"/>
          <w:szCs w:val="18"/>
          <w:color w:val="0000EE"/>
        </w:rPr>
        <w:t xml:space="preserve"> </w:t>
      </w:r>
      <w:hyperlink r:id="rId93">
        <w:r>
          <w:rPr>
            <w:rFonts w:ascii="Times New Roman" w:cs="Times New Roman" w:eastAsia="Times New Roman" w:hAnsi="Times New Roman"/>
            <w:sz w:val="18"/>
            <w:szCs w:val="18"/>
            <w:u w:val="single" w:color="auto"/>
            <w:color w:val="0000EE"/>
          </w:rPr>
          <w:t>with the SEC on April 29, 2025</w:t>
        </w:r>
        <w:r>
          <w:rPr>
            <w:rFonts w:ascii="Times New Roman" w:cs="Times New Roman" w:eastAsia="Times New Roman" w:hAnsi="Times New Roman"/>
            <w:sz w:val="18"/>
            <w:szCs w:val="18"/>
            <w:color w:val="000000"/>
          </w:rPr>
          <w:t>, incorporated by reference therein);</w:t>
        </w:r>
      </w:hyperlink>
    </w:p>
    <w:p>
      <w:pPr>
        <w:spacing w:after="0" w:line="67" w:lineRule="exact"/>
        <w:rPr>
          <w:rFonts w:ascii="Times New Roman" w:cs="Times New Roman" w:eastAsia="Times New Roman" w:hAnsi="Times New Roman"/>
          <w:sz w:val="18"/>
          <w:szCs w:val="18"/>
          <w:color w:val="0000EE"/>
        </w:rPr>
      </w:pPr>
    </w:p>
    <w:p>
      <w:pPr>
        <w:ind w:left="1800" w:right="699" w:hanging="180"/>
        <w:spacing w:after="0" w:line="282" w:lineRule="auto"/>
        <w:tabs>
          <w:tab w:leader="none" w:pos="1800" w:val="left"/>
        </w:tabs>
        <w:numPr>
          <w:ilvl w:val="0"/>
          <w:numId w:val="3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 ended March 31, 2025, filed with the SEC on </w:t>
      </w:r>
      <w:hyperlink r:id="rId94">
        <w:r>
          <w:rPr>
            <w:rFonts w:ascii="Times New Roman" w:cs="Times New Roman" w:eastAsia="Times New Roman" w:hAnsi="Times New Roman"/>
            <w:sz w:val="18"/>
            <w:szCs w:val="18"/>
            <w:u w:val="single" w:color="auto"/>
            <w:color w:val="0000EE"/>
          </w:rPr>
          <w:t>May 13,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the quarter ended June 30, 2025, filed with the SEC on</w:t>
      </w:r>
      <w:r>
        <w:rPr>
          <w:rFonts w:ascii="Times New Roman" w:cs="Times New Roman" w:eastAsia="Times New Roman" w:hAnsi="Times New Roman"/>
          <w:sz w:val="18"/>
          <w:szCs w:val="18"/>
          <w:color w:val="0000EE"/>
        </w:rPr>
        <w:t xml:space="preserve"> </w:t>
      </w:r>
      <w:hyperlink r:id="rId95">
        <w:r>
          <w:rPr>
            <w:rFonts w:ascii="Times New Roman" w:cs="Times New Roman" w:eastAsia="Times New Roman" w:hAnsi="Times New Roman"/>
            <w:sz w:val="18"/>
            <w:szCs w:val="18"/>
            <w:u w:val="single" w:color="auto"/>
            <w:color w:val="0000EE"/>
          </w:rPr>
          <w:t>August 11, 2025</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800" w:right="619" w:hanging="180"/>
        <w:spacing w:after="0" w:line="282" w:lineRule="auto"/>
        <w:tabs>
          <w:tab w:leader="none" w:pos="1800" w:val="left"/>
        </w:tabs>
        <w:numPr>
          <w:ilvl w:val="0"/>
          <w:numId w:val="31"/>
        </w:numPr>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March 25,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26,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11,</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97">
        <w:r>
          <w:rPr>
            <w:rFonts w:ascii="Times New Roman" w:cs="Times New Roman" w:eastAsia="Times New Roman" w:hAnsi="Times New Roman"/>
            <w:sz w:val="18"/>
            <w:szCs w:val="18"/>
            <w:u w:val="single" w:color="auto"/>
            <w:color w:val="0000EE"/>
          </w:rPr>
          <w:t>September 18, 2025</w:t>
        </w:r>
      </w:hyperlink>
      <w:hyperlink r:id="rId96">
        <w:r>
          <w:rPr>
            <w:rFonts w:ascii="Times New Roman" w:cs="Times New Roman" w:eastAsia="Times New Roman" w:hAnsi="Times New Roman"/>
            <w:sz w:val="18"/>
            <w:szCs w:val="18"/>
            <w:color w:val="000000"/>
          </w:rPr>
          <w:t>; and</w:t>
        </w:r>
      </w:hyperlink>
    </w:p>
    <w:p>
      <w:pPr>
        <w:spacing w:after="0" w:line="40" w:lineRule="exact"/>
        <w:rPr>
          <w:rFonts w:ascii="Times New Roman" w:cs="Times New Roman" w:eastAsia="Times New Roman" w:hAnsi="Times New Roman"/>
          <w:sz w:val="18"/>
          <w:szCs w:val="18"/>
          <w:color w:val="0000EE"/>
        </w:rPr>
      </w:pPr>
    </w:p>
    <w:p>
      <w:pPr>
        <w:ind w:left="1800" w:right="67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w:t>
      </w:r>
      <w:hyperlink r:id="rId72">
        <w:r>
          <w:rPr>
            <w:rFonts w:ascii="Times New Roman" w:cs="Times New Roman" w:eastAsia="Times New Roman" w:hAnsi="Times New Roman"/>
            <w:sz w:val="18"/>
            <w:szCs w:val="18"/>
            <w:u w:val="single" w:color="auto"/>
            <w:color w:val="0000EE"/>
          </w:rPr>
          <w:t>Exhibit 4.6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Form 10-K for the fiscal year ended December 31, 2023, filed with the SEC on </w:t>
      </w:r>
      <w:hyperlink r:id="rId98">
        <w:r>
          <w:rPr>
            <w:rFonts w:ascii="Times New Roman" w:cs="Times New Roman" w:eastAsia="Times New Roman" w:hAnsi="Times New Roman"/>
            <w:sz w:val="18"/>
            <w:szCs w:val="18"/>
            <w:u w:val="single" w:color="auto"/>
            <w:color w:val="0000EE"/>
          </w:rPr>
          <w:t>March 28, 2024</w:t>
        </w:r>
      </w:hyperlink>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All reports and other documents we subsequently file with the SEC under Sections 13(a), 13(c), 14 or 15(d) of the Exchange Act until our offering is completed, including all such reports and other documents filed with the SEC after the date of the initial filing of the registration statement of which this prospectus forms a part and prior to the effectiveness of such registration statement, will also be incorporated by reference into this prospectus and deemed to be part hereof (other than any information furnished to, rather</w:t>
      </w:r>
    </w:p>
    <w:p>
      <w:pPr>
        <w:sectPr>
          <w:pgSz w:w="11900" w:h="16838" w:orient="portrait"/>
          <w:cols w:equalWidth="0" w:num="1">
            <w:col w:w="9879"/>
          </w:cols>
          <w:pgMar w:left="580" w:top="97" w:right="1440" w:bottom="1440" w:gutter="0" w:footer="0" w:header="0"/>
        </w:sectPr>
      </w:pPr>
    </w:p>
    <w:p>
      <w:pPr>
        <w:spacing w:after="0" w:line="370" w:lineRule="exact"/>
        <w:rPr>
          <w:rFonts w:ascii="Times New Roman" w:cs="Times New Roman" w:eastAsia="Times New Roman" w:hAnsi="Times New Roman"/>
          <w:sz w:val="18"/>
          <w:szCs w:val="18"/>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75" w:lineRule="auto"/>
        <w:rPr>
          <w:sz w:val="20"/>
          <w:szCs w:val="20"/>
          <w:color w:val="auto"/>
        </w:rPr>
      </w:pPr>
      <w:r>
        <w:rPr>
          <w:rFonts w:ascii="Times New Roman" w:cs="Times New Roman" w:eastAsia="Times New Roman" w:hAnsi="Times New Roman"/>
          <w:sz w:val="18"/>
          <w:szCs w:val="18"/>
          <w:color w:val="auto"/>
        </w:rPr>
        <w:t>than filed with, the SEC, unless expressly stated otherwise therein). The information contained in any such filing will be deemed to be a part of this prospectus commencing on the date on which the document is filed.</w:t>
      </w:r>
    </w:p>
    <w:p>
      <w:pPr>
        <w:spacing w:after="0" w:line="32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Any documents incorporated by reference into this prospectus are available without charge to you, upon written request by contacting our Investor Relations department at Investor Relations, Humacyte, Inc., 2525 East North Carolina Highway 54, Durham, North Carolina 27713.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Humacyte is a commercial-stage biotechnology platform company developing universally implantable, bioengineered human tissues at commercial scale, and in the first quarter of 2025 commenced the United States commercial launch of our first FDA-approved product. We are pioneering the development and manufacture of off-the-shelf, universally implantable, bioengineered human tissues, advanced tissue constructs and organ systems with the goal of improving the lives of patients and transforming the practice of medicine. We believe our regenerative medicine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bioengineered, acellular human tissues for use in the treatment of diseases and conditions across a range of anatomic locations in multiple therapeutic areas.</w:t>
      </w:r>
    </w:p>
    <w:p>
      <w:pPr>
        <w:spacing w:after="0" w:line="127"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Our common stock is traded on Nasdaq under the symbol “HUMA.” The mailing address of our principal executive office is 2525 East North Carolina Highway 54, Durham, North Carolina 27713, and our telephone number is (919) 313-9633. Our website address is http://www.humacyte.com. The information contained in, or that can be accessed through, our website is not part of this prospectus. We make available free of charge on our website our annual, quarterly and current reports, including amendments to such reports, as soon as reasonably practicable after we electronically file such material with, or furnish such material to, the SEC.</w:t>
      </w:r>
    </w:p>
    <w:p>
      <w:pPr>
        <w:spacing w:after="0" w:line="322" w:lineRule="exact"/>
        <w:rPr>
          <w:sz w:val="20"/>
          <w:szCs w:val="20"/>
          <w:color w:val="auto"/>
        </w:rPr>
      </w:pPr>
    </w:p>
    <w:p>
      <w:pPr>
        <w:ind w:left="1260" w:right="1119" w:firstLine="360"/>
        <w:spacing w:after="0" w:line="266" w:lineRule="auto"/>
        <w:rPr>
          <w:sz w:val="20"/>
          <w:szCs w:val="20"/>
          <w:color w:val="auto"/>
        </w:rPr>
      </w:pPr>
      <w:r>
        <w:rPr>
          <w:rFonts w:ascii="Times New Roman" w:cs="Times New Roman" w:eastAsia="Times New Roman" w:hAnsi="Times New Roman"/>
          <w:sz w:val="18"/>
          <w:szCs w:val="18"/>
          <w:color w:val="auto"/>
        </w:rPr>
        <w:t>Additional information about us and our subsidiaries is included in documents incorporated by reference in this prospectus.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CASH RUNWAY STATEMENT AND OUR ABILITY TO CONTINUE AS A GOING CONCERN</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Based on our current plans and excluding any contribution from external financing (including the proceeds from any securities offered under this prospectus), we believe that our available cash and cash equivalents on hand and existing capacity under our Common Stock Purchase Agreement, dated as of September 24, 2024, with Lincoln Park Capital Fund, LLC (the “Common Stock Purchase Agreement”) will be sufficient to fund our operations into August 2026.</w:t>
      </w:r>
    </w:p>
    <w:p>
      <w:pPr>
        <w:spacing w:after="0" w:line="116"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accordance with Accounting Standards Update 2014-15, Disclosure of Uncertainties about an Entity’s Ability to Continue as a Going Concern (Subtopic 205-40), we are required to evaluate whether there are conditions and events, considered in the aggregate, that raise substantial doubt about our ability to continue as a going concern from the issuance date, or reissuance, of our financial statements. Because our funds currently on hand and existing capacity under our Common Stock Purchase Agreement will not be sufficient to fund our operations, as currently planned, for more than one year beyond the filing date of this registration statement, we have determined that there is substantial doubt regarding our ability to continue as a going concern. If we do not raise sufficient funds through one or more offerings under this prospectus or through other means, then in connection with the future filing of our Annual Report on Form 10-K for the year ending December 31, 2025 (the “2025 Form 10-K”), we expect that we will disclose in such filing that we will not have sufficient liquidity to fund our operations for more than one year beyond the filing date of the 2025 Form 10-K. The future viability of the Company is dependent on its ability to generate cash flows from the sale of Symvess and raise additional capital to finance its operations. The Company plans to seek additional funding through private or public equity financings, debt financings, debt refinancings or restructurings, collaborations, strategic alliances, and marketing, distribution or licensing arrangements. Adequate capital may not be available to the Company when needed or on acceptable terms. If the Company is unable to raise capital, it could be forced to delay, reduce, suspend or cease certain of its planned research and development programs or any future commercialization efforts, which would have a negative impact on its business, prospects, operating results and financial condition.</w:t>
      </w:r>
    </w:p>
    <w:p>
      <w:pPr>
        <w:spacing w:after="0" w:line="200" w:lineRule="exact"/>
        <w:rPr>
          <w:sz w:val="20"/>
          <w:szCs w:val="20"/>
          <w:color w:val="auto"/>
        </w:rPr>
      </w:pPr>
    </w:p>
    <w:p>
      <w:pPr>
        <w:spacing w:after="0" w:line="20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8" w:lineRule="exact"/>
        <w:rPr>
          <w:sz w:val="20"/>
          <w:szCs w:val="20"/>
          <w:color w:val="auto"/>
        </w:rPr>
      </w:pPr>
    </w:p>
    <w:p>
      <w:pPr>
        <w:ind w:left="1260" w:right="1019" w:firstLine="360"/>
        <w:spacing w:after="0" w:line="261" w:lineRule="auto"/>
        <w:rPr>
          <w:sz w:val="20"/>
          <w:szCs w:val="20"/>
          <w:color w:val="auto"/>
        </w:rPr>
      </w:pPr>
      <w:r>
        <w:rPr>
          <w:rFonts w:ascii="Times New Roman" w:cs="Times New Roman" w:eastAsia="Times New Roman" w:hAnsi="Times New Roman"/>
          <w:sz w:val="18"/>
          <w:szCs w:val="18"/>
          <w:color w:val="auto"/>
        </w:rPr>
        <w:t>Investing in securities issued by us involves a high degree of risk. The prospectus supplement applicable to each offering of our securities will contain a discussion of the risks applicable to an investment in our securities. Before deciding whether to invest in our securities, you should consider carefully the risks described</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99"/>
        <w:spacing w:after="0" w:line="284" w:lineRule="auto"/>
        <w:rPr>
          <w:sz w:val="20"/>
          <w:szCs w:val="20"/>
          <w:color w:val="auto"/>
        </w:rPr>
      </w:pPr>
      <w:r>
        <w:rPr>
          <w:rFonts w:ascii="Times New Roman" w:cs="Times New Roman" w:eastAsia="Times New Roman" w:hAnsi="Times New Roman"/>
          <w:sz w:val="18"/>
          <w:szCs w:val="18"/>
          <w:color w:val="auto"/>
        </w:rPr>
        <w:t>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the applicable prospectus supplement and in any of our filings with the SEC that are incorporated by reference therein.</w:t>
      </w:r>
    </w:p>
    <w:p>
      <w:pPr>
        <w:spacing w:after="0" w:line="15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our securities offered by this prospectus. Unless we indicate otherwise in the applicable prospectus supplement, we anticipate that any net proceeds will be used for working capital and general corporate purposes, including expenses related to funding research and development expenses for our clinical trials and pre-clinical studies, manufacturing and other costs associated with advancing our product candidates. We will set forth in the applicable prospectus supplement our intended use for the net proceeds received from the sale of any securities sold pursuant to the prospectus supplement. Pending these uses, we intend to invest the net proceeds in short-term U.S. treasury money market mutual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may issue, separately or together with, or upon conversion, exercise or exchange of other securities, shares of our common stock as set forth in the applicable prospectus supplement. The following section describes the material features and rights of our common stock, $0.0001 par value per share, and does not purport to be complete. It is subject to, and qualified in its entirety by reference to, our Second Amended and Restated Certificate of Incorporation, as amended (the “Charter”) and our Amended and Restated By Laws (the “Bylaws”) and applicable provisions of the Delaware General Corporation Law (“DGCL”). Each of our Charter and Bylaws is incorporated by reference as an exhibit to the registration statement of which this prospectus forms a part.</w:t>
      </w:r>
    </w:p>
    <w:p>
      <w:pPr>
        <w:spacing w:after="0" w:line="337"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we had authorized 350,000,000 shares of common stock, $0.0001 par value per share. As of September 9, 2025, there were 158,835,303 shares of our common stock outstanding. Our common stock is traded on Nasdaq under the symbol “HUMA.”</w:t>
      </w:r>
    </w:p>
    <w:p>
      <w:pPr>
        <w:spacing w:after="0" w:line="95" w:lineRule="exact"/>
        <w:rPr>
          <w:sz w:val="20"/>
          <w:szCs w:val="20"/>
          <w:color w:val="auto"/>
        </w:rPr>
      </w:pPr>
    </w:p>
    <w:p>
      <w:pPr>
        <w:jc w:val="both"/>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Charter provides the following with respect to the rights, powers, preferences and privileges of our common stock.</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62" w:lineRule="exact"/>
        <w:rPr>
          <w:sz w:val="20"/>
          <w:szCs w:val="20"/>
          <w:color w:val="auto"/>
        </w:rPr>
      </w:pPr>
    </w:p>
    <w:p>
      <w:pPr>
        <w:jc w:val="both"/>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Holders of record of our common stock are entitled to one vote for each share held on all matters to be voted on by stockholders. Unless specified in our Charter or Bylaws, or as required by applicable provisions of the DGCL or applicable stock exchange rules, the affirmative vote of a majority of our shares of common stock that are voted is required to approve any such matter voted on by our stockholders.</w:t>
      </w:r>
    </w:p>
    <w:p>
      <w:pPr>
        <w:spacing w:after="0" w:line="11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each of which will generally serve for a term of three years with one class of directors being elected in each year. There is no cumulative voting with respect to the election of directors.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4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Subject to applicable law and the rights, if any, of the holders of any series of our preferred stock then-outstanding, the holders of our common stock are entitled to receive ratable dividends when, as and if declared by our board of directors out of funds legally available therefor and will share equally on a per share basis in such dividends and distributions.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 after payment or provision for payment of the debts and other liabilities of Humacyte, the holders of shares of common stock are entitled to receive all the remaining assets of Humacyte available for distribution to its stockholders, ratably in proportion to the number of shares held by them, subject to applicable law and the rights, if any, of the holders of any outstanding series of preferred stock.</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Rights</w:t>
      </w:r>
    </w:p>
    <w:p>
      <w:pPr>
        <w:spacing w:after="0" w:line="162"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Our stockholders have no conversion, preemptive or other subscription rights. There are no sinking fund or redemption provisions applicable to the common stock.</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162"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Pursuant to the Charter, our board of directors has the authority, without stockholder approval, subject to limitations prescribed by law, to provide for the issuance of up to 20,000,000 shares of preferred stock, $0.0001 par value per share, in one or more series, and by filing a certificate pursuant to the applicable law of the State of Delaware, to establish from time to time the number of shares to be included in each such series, and to fix the voting rights, if any, designations, powers, preferences and relative, participating, optional, special and other rights of the shares of each series and any qualifications, limitations or restrictions thereof.</w:t>
      </w:r>
    </w:p>
    <w:p>
      <w:pPr>
        <w:spacing w:after="0" w:line="336"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We will fix the voting rights, designations, preferences and rights of the preferred stock of each series, as well as the qualifications, limitations or restrictions thereof, in the certificate of designation relating to such series. We will file an exhibit to the registration statement of which this prospectus forms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79" w:lineRule="exact"/>
        <w:rPr>
          <w:sz w:val="20"/>
          <w:szCs w:val="20"/>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offered;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for dividends;</w:t>
      </w:r>
    </w:p>
    <w:p>
      <w:pPr>
        <w:spacing w:after="0" w:line="117"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are cumulative or non-cumulative and, if cumulative, the date from which dividends will accumulate;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such deferral period;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auction and remarketing, if 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17"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redemption or repurchase, if applicable, and any restrictions on our ability to exercise those redemption and repurchase rights;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17"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stock will be convertible into common stock, including the conversion price (or manner of calculation) and conversion period;</w:t>
      </w:r>
    </w:p>
    <w:p>
      <w:pPr>
        <w:spacing w:after="0" w:line="53"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go any material and/or special U.S. federal income tax considerations applicable to the preferred stock;</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the liquidation, dissolution or winding up of our affairs;</w:t>
      </w:r>
    </w:p>
    <w:p>
      <w:pPr>
        <w:spacing w:after="0" w:line="53"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class or series of preferred stock as to dividend rights and rights upon liquidation, dissolution or winding up of our affairs;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preferred stock.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Our board of directors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 The issuance of preferred stock could adversely affect the voting power, conversion or other rights of holders of common stock and reduce the likelihood that common stockholders will receive dividend payments and payments upon liquidation.</w:t>
      </w:r>
    </w:p>
    <w:p>
      <w:pPr>
        <w:spacing w:after="0" w:line="336"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laws of the State of Delaware provide that the holders of preferred stock will have the right to vote separately as a class on any proposal involving fundamental changes to the rights of holders of such preferred stock. This right is in addition to any voting rights that may be provided for in the applicable certificate of designation.</w:t>
      </w:r>
    </w:p>
    <w:p>
      <w:pPr>
        <w:spacing w:after="0" w:line="112"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any series of preferred stock will be set forth in the applicable prospectus supplement.</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the date of this prospectus, there were no shares of preferred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AND OUR CHARTER AND</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Delaware Anti-Takeover Statute</w:t>
      </w:r>
    </w:p>
    <w:p>
      <w:pPr>
        <w:spacing w:after="0" w:line="162"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This statute prevents certain Delaware corporations, under certain circumstances and for three years following the date that the stockholder became an interested stockholder, as defined below, from engaging in a “business combination” with:</w:t>
      </w:r>
    </w:p>
    <w:p>
      <w:pPr>
        <w:spacing w:after="0" w:line="72" w:lineRule="exact"/>
        <w:rPr>
          <w:sz w:val="20"/>
          <w:szCs w:val="20"/>
          <w:color w:val="auto"/>
        </w:rPr>
      </w:pPr>
    </w:p>
    <w:p>
      <w:pPr>
        <w:ind w:left="1800" w:right="99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who owns 15% or more of our outstanding voting stock (otherwise known as an “interested stockholder”);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an interested stockholder;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associate of an interested stockholder.</w:t>
      </w:r>
    </w:p>
    <w:p>
      <w:pPr>
        <w:spacing w:after="0" w:line="158"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A “business combination” includes a merger or sale of more than 10% of our assets. However, the above provisions of Section 203 do not apply if:</w:t>
      </w:r>
    </w:p>
    <w:p>
      <w:pPr>
        <w:spacing w:after="0" w:line="54" w:lineRule="exact"/>
        <w:rPr>
          <w:sz w:val="20"/>
          <w:szCs w:val="20"/>
          <w:color w:val="auto"/>
        </w:rPr>
      </w:pPr>
    </w:p>
    <w:p>
      <w:pPr>
        <w:ind w:left="1800" w:right="57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approves the transaction that made the stockholder an interested stockholder, prior to the date of the transaction;</w:t>
      </w:r>
    </w:p>
    <w:p>
      <w:pPr>
        <w:spacing w:after="0" w:line="53" w:lineRule="exact"/>
        <w:rPr>
          <w:rFonts w:ascii="Times New Roman" w:cs="Times New Roman" w:eastAsia="Times New Roman" w:hAnsi="Times New Roman"/>
          <w:sz w:val="18"/>
          <w:szCs w:val="18"/>
          <w:color w:val="auto"/>
        </w:rPr>
      </w:pPr>
    </w:p>
    <w:p>
      <w:pPr>
        <w:ind w:left="1800" w:right="83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67" w:lineRule="exact"/>
        <w:rPr>
          <w:rFonts w:ascii="Times New Roman" w:cs="Times New Roman" w:eastAsia="Times New Roman" w:hAnsi="Times New Roman"/>
          <w:sz w:val="18"/>
          <w:szCs w:val="18"/>
          <w:color w:val="auto"/>
        </w:rPr>
      </w:pPr>
    </w:p>
    <w:p>
      <w:pPr>
        <w:ind w:left="1800" w:right="419" w:hanging="180"/>
        <w:spacing w:after="0" w:line="270"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transaction is approved by our board of directors and authorized at a meeting of our stockholders, and not by written consent, by an affirmative vote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outstanding voting stock not owned by the interested stockholder.</w:t>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Our board of directors is divided into three classes, Class I, Class II and Class III, with members of each class serving staggered three-year terms. Our Charter provides that the authorized number of directors may be changed only by resolution of the board of directors. As a result, in most circumstances, a person can gain control of our board only by successfully engaging in a proxy contest at two or more annual meetings. Subject to the terms of any preferred stock, any or all of the directors may be removed from office at any time, but only for cause and only by the affirmative vote of holders of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voting power of all then outstanding shares of our capital stock entitled to vote generally in the election of directors, voting together as a single class. Any vacancy on our board of directors, including a vacancy resulting from an enlargement of our board of directors, may be filled only by vote of a majority of our directors then in office.</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4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Action and Special Meetings</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Our Charter provides that any action required or permitted to be taken by the stockholders of the Company must be effected by a duly called annual or special meeting of such stockholders and may not be effected by written consent of the stockholders. Our Charter further provides that meetings of stockholders of the Company may be called only by the Chairman of the board of directors, the Chief Executive Officer of the Company, or the board of directors pursuant to a resolution adopted by a majority of thereof, and that the ability of the stockholders of the Company to call a special meeting is specifically denied.</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Exclusive Forum Selection</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Our Charter requires, to the fullest extent permitted by law, that derivative actions brought in our name, actions against directors, officers and employees for breach of fiduciary duty, arising pursuant to any provision of the DGCL, Charter or Bylaws, or governed by the internal affairs doctrine, may be brought only in the Court of Chancery in the State of Delaware and, if brought outside of Delaware, the stockholder bringing the suit will be deemed to have consented to service of process on such stockholder’s counsel except any action (i) as to which the Court of Chancery in the State of Delaware determines that there is an indispensable party not subject to the jurisdiction of the Court of Chancery (and the indispensable party does not consent to the personal jurisdiction of the Court of Chancery within 10 days following such determination), (ii) which is vested in the exclusive jurisdiction of a court or forum other than the Court of Chancery or (iii) for which the Court of Chancery does not have subject matter jurisdiction. Any person or entity purchasing or otherwise acquiring any interest in shares of our capital stock shall be deemed to have notice of and consented to the forum provisions in the Charter.</w:t>
      </w:r>
    </w:p>
    <w:p>
      <w:pPr>
        <w:spacing w:after="0" w:line="12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We cannot be certain that a court will decide that this provision is either applicable or enforceable, and if a court were to find the choice of forum provision contained in our Charter to be inapplicable or unenforceable in an action, we may incur additional costs associated with resolving such action in other jurisdictions.</w:t>
      </w:r>
    </w:p>
    <w:p>
      <w:pPr>
        <w:spacing w:after="0" w:line="106"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Our Charter provides that the exclusive forum provision is applicable to the fullest extent permitted by applicable law. Notwithstanding the foregoing, the choice of forum provision will not apply to claims brought to enforce any liability or duty created by the Securities Act, the Exchange Act, or any other claim for which the federal courts have exclusive jurisdiction. Unless the Company consents in writing to the selection of an alternative forum,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may issue, separately or together with, or upon conversion, exercise or exchange of other securities, debt securities, including debentures, notes, bonds and other evidences of indebtedness as set forth in the applicable prospectus supplement. The debt securities may be either secured or unsecured and will either be senior debt securities or subordinated debt securities. Senior debt securities will be issued under a senior indenture between us and a trustee to be specified in an accompanying prospectus supplement. Subordinated debt securities will be issued under a subordinated indenture between us and a trustee to be specified in an accompanying prospectus supplement. Together, the senior indenture and the subordinated indenture are called indentures in this description. This prospectus, together with the applicable prospectus supplement, will describe the terms of a particular series of debt securities that we may offer from time to time.</w:t>
      </w:r>
    </w:p>
    <w:p>
      <w:pPr>
        <w:spacing w:after="0" w:line="12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following summary of the material provisions of the indentures and the debt securities does not purport to be complete and is subject to, and is qualified in its entirety by reference to, the provisions of the applicable indenture and certificates evidencing the applicable debt securities. Therefore, you should carefully consider the applicable indenture and the certificate evidencing the applicable debt security that is filed as an exhibit to the registration statement that includes this prospectus. Other specific terms of the applicable indenture and debt securities will be described in the applicable prospectus supplement. If any particular terms of the indenture or debt securities described in a prospectus supplement differ from any of the terms described below, then the terms described below will be deemed to have been superseded by that prospectus supplement. In this description of the debt securities, the words “Humacyte,” “we,” “us” or “our” refer only to Humacyte, Inc. and not to our subsidiary, unless we otherwise expressly state or the context otherwise requires.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Debt securities may be issued in separate series without limitation as to aggregate principal amount. We may specify a maximum aggregate principal amount for the debt securities of any series.</w:t>
      </w:r>
    </w:p>
    <w:p>
      <w:pPr>
        <w:spacing w:after="0" w:line="94"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We are not limited as to the amount of debt securities that we may issue under the indentures. Unless otherwise provided in a prospectus supplement, a series of debt securities may be reopened to issue additional debt securities of such series.</w:t>
      </w:r>
    </w:p>
    <w:p>
      <w:pPr>
        <w:spacing w:after="0" w:line="108"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series of debt securities will set forth the material terms of the debt securities being offered, including:</w:t>
      </w:r>
    </w:p>
    <w:p>
      <w:pPr>
        <w:spacing w:after="0" w:line="54" w:lineRule="exact"/>
        <w:rPr>
          <w:sz w:val="20"/>
          <w:szCs w:val="20"/>
          <w:color w:val="auto"/>
        </w:rPr>
      </w:pPr>
    </w:p>
    <w:p>
      <w:pPr>
        <w:ind w:left="1800" w:right="101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and whether they are senior debt securities or subordinated debt securities;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who will be entitled to receive interest, if other than the record holder on the record date;</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if any, which may be fixed or variable, at which the debt securities will bear interest, or the method of determining such rate or rates;</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from which interest will accrue, the interest payment dates and the regular record dates, or the method for calculating the dates and rates;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of principal and interest may be made;</w:t>
      </w:r>
    </w:p>
    <w:p>
      <w:pPr>
        <w:spacing w:after="0" w:line="130"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optional redemption provisions or sinking fund provisions and any applicable redemption or purchase prices associated with these provisions;</w:t>
      </w:r>
    </w:p>
    <w:p>
      <w:pPr>
        <w:spacing w:after="0" w:line="6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issued other than in denominations of $1,000 or any multiple of $1,000, the denominations in which the debt securities shall be issuable;</w:t>
      </w:r>
    </w:p>
    <w:p>
      <w:pPr>
        <w:spacing w:after="0" w:line="67"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method for determining how the principal, premium, if any, or interest will be calculated by reference to an index or formula;</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3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currency, the currency or currency units in which principal, premium, if any, or interest will be payable, whether we or a holder may elect payment to be made in a different currency and the designation of the original currency determination agent;</w:t>
      </w:r>
    </w:p>
    <w:p>
      <w:pPr>
        <w:spacing w:after="0" w:line="6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that will be payable upon acceleration of maturity, if other than the entire principal amount;</w:t>
      </w:r>
    </w:p>
    <w:p>
      <w:pPr>
        <w:spacing w:after="0" w:line="53"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amount payable at stated maturity will not be determinable as of any date prior to stated maturity, the amount or method for determining the amount which will be deemed to be the principal amount;</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provisions;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issuable in the form of a global security;</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subordination provisions applicable to the subordinated debt securities if different from those described below under “Subordinated Debt Securities”;</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paying agents, authenticating agents, security registrars or other agents for the debt securities, if other than the trustee;</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 including any provisions regarding the circumstances under which collateral may be released or substituted;</w:t>
      </w:r>
    </w:p>
    <w:p>
      <w:pPr>
        <w:spacing w:after="0" w:line="53"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of, or changes or additions to, the events of default, acceleration provisions or covenants;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guaranties for the securities and any circumstances under which there may be additional obligors;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such debt securities.</w:t>
      </w:r>
    </w:p>
    <w:p>
      <w:pPr>
        <w:spacing w:after="0" w:line="144"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if the principal of or premium, if any, or interest on any series of debt securities is payable in a foreign currency or currencies, we will include in the applicable prospectus supplement information on the restrictions, elections, material federal income tax considerations, specific terms and other information with respect to that issue of debt securities and the foreign currency or currencies.</w:t>
      </w:r>
    </w:p>
    <w:p>
      <w:pPr>
        <w:spacing w:after="0" w:line="11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Unless otherwise specified in the prospectus supplement, the debt securities will be registered debt securities. Debt securities may be sold at a substantial discount below their stated principal amount, bearing no interest or interest at a rate which at the time of issuance is below market rates. The U.S. federal income tax considerations applicable to debt securities sold at a discount will be described in the applicable prospectus supplement.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and Transfer</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Debt securities may be transferred or exchanged at the office of the security registrar or at the office of any transfer agent designated by us.</w:t>
      </w:r>
    </w:p>
    <w:p>
      <w:pPr>
        <w:spacing w:after="0" w:line="95"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We will not impose a service charge for any transfer or exchange, but we may require holders to pay any tax or other governmental charges associated with any transfer or exchange.</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the event of any partial redemption of debt securities of any series, we will not be required to:</w:t>
      </w:r>
    </w:p>
    <w:p>
      <w:pPr>
        <w:spacing w:after="0" w:line="117" w:lineRule="exact"/>
        <w:rPr>
          <w:sz w:val="20"/>
          <w:szCs w:val="20"/>
          <w:color w:val="auto"/>
        </w:rPr>
      </w:pPr>
    </w:p>
    <w:p>
      <w:pPr>
        <w:jc w:val="both"/>
        <w:ind w:left="1800" w:right="41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6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of that series selected for redemption, in whole or in part, except the unredeemed portion being redeemed in part.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Under any indenture, we will initially appoint the trustee as the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Conversion or Exchange</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If any debt securities being offered are convertible into or exchangeable for our common stock or other securities, the relevant prospectus supplement will set forth the terms of conversion or exchange. Those terms will include whether conversion or exchange is mandatory, at the option of the holder or at our option, and the number of shares of common stock or other securities, or the method of determining the number of shares of common stock or other securities, to be received by the holder upon conversion or exchange. These provisions may allow or require the number of shares of our common stock or other securities to be received by the holders of such series of debt securities to be adjusted.</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62"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The debt securities of any series may be represented, in whole or in part, by one or more global securities. Each global security will:</w:t>
      </w:r>
    </w:p>
    <w:p>
      <w:pPr>
        <w:spacing w:after="0" w:line="54" w:lineRule="exact"/>
        <w:rPr>
          <w:sz w:val="20"/>
          <w:szCs w:val="20"/>
          <w:color w:val="auto"/>
        </w:rPr>
      </w:pPr>
    </w:p>
    <w:p>
      <w:pPr>
        <w:ind w:left="1800" w:right="103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registered in the name of a depositary, or its nominee, that we will identify in a prospectus supplement;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deposited with the depositary or nominee or custodian;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any required legends.</w:t>
      </w:r>
    </w:p>
    <w:p>
      <w:pPr>
        <w:spacing w:after="0" w:line="144"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No global security may be exchanged in whole or in part for debt securities registered in the name of any person other than the depositary or any nominee unless:</w:t>
      </w:r>
    </w:p>
    <w:p>
      <w:pPr>
        <w:spacing w:after="0" w:line="67" w:lineRule="exact"/>
        <w:rPr>
          <w:sz w:val="20"/>
          <w:szCs w:val="20"/>
          <w:color w:val="auto"/>
        </w:rPr>
      </w:pPr>
    </w:p>
    <w:p>
      <w:pPr>
        <w:ind w:left="1800" w:right="49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notified us that it is unwilling or unable to continue as depositary or has ceased to be qualified to act as depositary;</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the debt securities of the applicable series; or</w:t>
      </w:r>
    </w:p>
    <w:p>
      <w:pPr>
        <w:spacing w:after="0" w:line="6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described in a prospectus supplement has occurred permitting or requiring the issuance of any such security.</w:t>
      </w:r>
    </w:p>
    <w:p>
      <w:pPr>
        <w:spacing w:after="0" w:line="81"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As long as the depositary, or its nominee, is the registered owner of a global security, the depositary or nominee will be considered the sole owner and holder of the debt securities represented by the global security for all purposes under the indentures. Except in the above limited circumstances, owners of beneficial interests in a global security will not be:</w:t>
      </w:r>
    </w:p>
    <w:p>
      <w:pPr>
        <w:spacing w:after="0" w:line="85" w:lineRule="exact"/>
        <w:rPr>
          <w:sz w:val="20"/>
          <w:szCs w:val="20"/>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have the debt securities registered in their names;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physical delivery of certificated debt securities;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to be holders of those debt securities under the indenture.</w:t>
      </w:r>
    </w:p>
    <w:p>
      <w:pPr>
        <w:spacing w:after="0" w:line="158"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99"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firstLine="360"/>
        <w:spacing w:after="0" w:line="281"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spacing w:after="0" w:line="96" w:lineRule="exact"/>
        <w:rPr>
          <w:sz w:val="20"/>
          <w:szCs w:val="20"/>
          <w:color w:val="auto"/>
        </w:rPr>
      </w:pPr>
    </w:p>
    <w:p>
      <w:pPr>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Payments, transfers and exchanges relating to beneficial interests in a global security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security.</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48" w:lineRule="exact"/>
        <w:rPr>
          <w:sz w:val="20"/>
          <w:szCs w:val="20"/>
          <w:color w:val="auto"/>
        </w:rPr>
      </w:pPr>
    </w:p>
    <w:p>
      <w:pPr>
        <w:ind w:left="1260" w:right="539" w:firstLine="360"/>
        <w:spacing w:after="0" w:line="269" w:lineRule="auto"/>
        <w:rPr>
          <w:sz w:val="20"/>
          <w:szCs w:val="20"/>
          <w:color w:val="auto"/>
        </w:rPr>
      </w:pPr>
      <w:r>
        <w:rPr>
          <w:rFonts w:ascii="Times New Roman" w:cs="Times New Roman" w:eastAsia="Times New Roman" w:hAnsi="Times New Roman"/>
          <w:sz w:val="18"/>
          <w:szCs w:val="18"/>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07" w:lineRule="exact"/>
        <w:rPr>
          <w:sz w:val="20"/>
          <w:szCs w:val="20"/>
          <w:color w:val="auto"/>
        </w:rPr>
      </w:pPr>
    </w:p>
    <w:p>
      <w:pPr>
        <w:ind w:left="1260" w:right="439" w:firstLine="360"/>
        <w:spacing w:after="0" w:line="274" w:lineRule="auto"/>
        <w:rPr>
          <w:sz w:val="20"/>
          <w:szCs w:val="20"/>
          <w:color w:val="auto"/>
        </w:rPr>
      </w:pPr>
      <w:r>
        <w:rPr>
          <w:rFonts w:ascii="Times New Roman" w:cs="Times New Roman" w:eastAsia="Times New Roman" w:hAnsi="Times New Roman"/>
          <w:sz w:val="18"/>
          <w:szCs w:val="18"/>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01" w:lineRule="exact"/>
        <w:rPr>
          <w:sz w:val="20"/>
          <w:szCs w:val="20"/>
          <w:color w:val="auto"/>
        </w:rPr>
      </w:pPr>
    </w:p>
    <w:p>
      <w:pPr>
        <w:ind w:left="1260" w:right="559" w:firstLine="360"/>
        <w:spacing w:after="0" w:line="297" w:lineRule="auto"/>
        <w:rPr>
          <w:sz w:val="20"/>
          <w:szCs w:val="20"/>
          <w:color w:val="auto"/>
        </w:rPr>
      </w:pPr>
      <w:r>
        <w:rPr>
          <w:rFonts w:ascii="Times New Roman" w:cs="Times New Roman" w:eastAsia="Times New Roman" w:hAnsi="Times New Roman"/>
          <w:sz w:val="18"/>
          <w:szCs w:val="18"/>
          <w:color w:val="auto"/>
        </w:rPr>
        <w:t>All moneys paid by us to a paying agent for payment on any debt security that remain unclaimed for a period ending the earlier of:</w:t>
      </w:r>
    </w:p>
    <w:p>
      <w:pPr>
        <w:spacing w:after="0" w:line="68" w:lineRule="exact"/>
        <w:rPr>
          <w:sz w:val="20"/>
          <w:szCs w:val="20"/>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business days prior to the date the money would be turned over to the applicable state; or</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two years after such payment was due, will be repaid to us thereafter. The holder may look only to us for such payment.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62" w:lineRule="exact"/>
        <w:rPr>
          <w:sz w:val="20"/>
          <w:szCs w:val="20"/>
          <w:color w:val="auto"/>
        </w:rPr>
      </w:pPr>
    </w:p>
    <w:p>
      <w:pPr>
        <w:ind w:left="1260" w:right="619" w:firstLine="360"/>
        <w:spacing w:after="0" w:line="271" w:lineRule="auto"/>
        <w:rPr>
          <w:sz w:val="20"/>
          <w:szCs w:val="20"/>
          <w:color w:val="auto"/>
        </w:rPr>
      </w:pPr>
      <w:r>
        <w:rPr>
          <w:rFonts w:ascii="Times New Roman" w:cs="Times New Roman" w:eastAsia="Times New Roman" w:hAnsi="Times New Roman"/>
          <w:sz w:val="18"/>
          <w:szCs w:val="18"/>
          <w:color w:val="auto"/>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 leveraged transaction, whether or not such transaction results in a change in control.</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48" w:lineRule="exact"/>
        <w:rPr>
          <w:sz w:val="20"/>
          <w:szCs w:val="20"/>
          <w:color w:val="auto"/>
        </w:rPr>
      </w:pPr>
    </w:p>
    <w:p>
      <w:pPr>
        <w:ind w:left="1260" w:right="999" w:firstLine="360"/>
        <w:spacing w:after="0" w:line="297" w:lineRule="auto"/>
        <w:rPr>
          <w:sz w:val="20"/>
          <w:szCs w:val="20"/>
          <w:color w:val="auto"/>
        </w:rPr>
      </w:pPr>
      <w:r>
        <w:rPr>
          <w:rFonts w:ascii="Times New Roman" w:cs="Times New Roman" w:eastAsia="Times New Roman" w:hAnsi="Times New Roman"/>
          <w:sz w:val="18"/>
          <w:szCs w:val="18"/>
          <w:color w:val="auto"/>
        </w:rPr>
        <w:t>Unless otherwise indicated in a prospectus supplement with respect to a particular series of debt securities, the debt securities will not contain any financial or restrictive covenants.</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48" w:lineRule="exact"/>
        <w:rPr>
          <w:sz w:val="20"/>
          <w:szCs w:val="20"/>
          <w:color w:val="auto"/>
        </w:rPr>
      </w:pPr>
    </w:p>
    <w:p>
      <w:pPr>
        <w:ind w:left="1260" w:right="479" w:firstLine="360"/>
        <w:spacing w:after="0" w:line="271" w:lineRule="auto"/>
        <w:rPr>
          <w:sz w:val="20"/>
          <w:szCs w:val="20"/>
          <w:color w:val="auto"/>
        </w:rPr>
      </w:pPr>
      <w:r>
        <w:rPr>
          <w:rFonts w:ascii="Times New Roman" w:cs="Times New Roman" w:eastAsia="Times New Roman" w:hAnsi="Times New Roman"/>
          <w:sz w:val="18"/>
          <w:szCs w:val="18"/>
          <w:color w:val="auto"/>
        </w:rPr>
        <w:t>Unless otherwise indicated in a prospectus supplement with respect to a particular series of debt securities, we may not consolidate with or merge into any other person, in a transaction in which we are not the surviving corporation, or convey, transfer or lease our properties and assets substantially as an entirety to, any entity, unless:</w:t>
      </w:r>
    </w:p>
    <w:p>
      <w:pPr>
        <w:spacing w:after="0" w:line="91" w:lineRule="exact"/>
        <w:rPr>
          <w:sz w:val="20"/>
          <w:szCs w:val="20"/>
          <w:color w:val="auto"/>
        </w:rPr>
      </w:pPr>
    </w:p>
    <w:p>
      <w:pPr>
        <w:ind w:left="1800" w:right="479" w:hanging="180"/>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if any, is a corporation, limited liability company, partnership, trust or other business entity existing under the laws of the United States, any State within the United States or the District of Columbia;</w:t>
      </w:r>
    </w:p>
    <w:p>
      <w:pPr>
        <w:spacing w:after="0" w:line="67" w:lineRule="exact"/>
        <w:rPr>
          <w:rFonts w:ascii="Times New Roman" w:cs="Times New Roman" w:eastAsia="Times New Roman" w:hAnsi="Times New Roman"/>
          <w:sz w:val="18"/>
          <w:szCs w:val="18"/>
          <w:color w:val="auto"/>
        </w:rPr>
      </w:pPr>
    </w:p>
    <w:p>
      <w:pPr>
        <w:ind w:left="1800" w:right="119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assumes our obligations on the debt securities and under the applicable indenture;</w:t>
      </w:r>
    </w:p>
    <w:p>
      <w:pPr>
        <w:spacing w:after="0" w:line="6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specified in the indenture are met.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62" w:lineRule="exact"/>
        <w:rPr>
          <w:sz w:val="20"/>
          <w:szCs w:val="20"/>
          <w:color w:val="auto"/>
        </w:rPr>
      </w:pPr>
    </w:p>
    <w:p>
      <w:pPr>
        <w:jc w:val="both"/>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Unless we indicate otherwise in a prospectus supplement with respect to a particular series of debt securities, the following will be events of default for any series of debt securities under the indentures:</w:t>
      </w:r>
    </w:p>
    <w:p>
      <w:pPr>
        <w:spacing w:after="0" w:line="94" w:lineRule="exact"/>
        <w:rPr>
          <w:sz w:val="20"/>
          <w:szCs w:val="20"/>
          <w:color w:val="auto"/>
        </w:rPr>
      </w:pPr>
    </w:p>
    <w:p>
      <w:pPr>
        <w:ind w:left="1980" w:right="1139" w:hanging="360"/>
        <w:spacing w:after="0" w:line="282" w:lineRule="auto"/>
        <w:tabs>
          <w:tab w:leader="none" w:pos="1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interest on any debt security of that series when it becomes due and we subsequently fail to pay such interest for 30 days;</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principal of or any premium on any debt security of that series when due;</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deposit any sinking fund payment when due;</w:t>
      </w:r>
    </w:p>
    <w:p>
      <w:pPr>
        <w:spacing w:after="0" w:line="157" w:lineRule="exact"/>
        <w:rPr>
          <w:rFonts w:ascii="Times New Roman" w:cs="Times New Roman" w:eastAsia="Times New Roman" w:hAnsi="Times New Roman"/>
          <w:sz w:val="18"/>
          <w:szCs w:val="18"/>
          <w:color w:val="auto"/>
        </w:rPr>
      </w:pPr>
    </w:p>
    <w:p>
      <w:pPr>
        <w:ind w:left="1980" w:right="699" w:hanging="360"/>
        <w:spacing w:after="0" w:line="282" w:lineRule="auto"/>
        <w:tabs>
          <w:tab w:leader="none" w:pos="1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perform any other covenant in the applicable indenture and such failure continues for 90 days after we are given the notice required in the indentures; and</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including our bankruptcy, insolvency or reorganization.</w:t>
      </w:r>
    </w:p>
    <w:p>
      <w:pPr>
        <w:spacing w:after="0" w:line="158"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95"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1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Unless we indicate otherwise in a prospectus supplement, if an event of default, other than an event of default described in clause (5) above, shall occur and be continuing with respect to any series of debt securities, either the trustee or the holders of at least 25%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if any, thereon, to be due and payable immediately.</w:t>
      </w:r>
    </w:p>
    <w:p>
      <w:pPr>
        <w:spacing w:after="0" w:line="121"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if any, thereon, will automatically become immediately due and payable without any declaration or other action on the part of the trustee or any holder. Any payment by us on the subordinated debt securities following any such acceleration will be subject to the subordination provisions described below under “Subordinated Debt Securities.”</w:t>
      </w:r>
    </w:p>
    <w:p>
      <w:pPr>
        <w:spacing w:after="0" w:line="108" w:lineRule="exact"/>
        <w:rPr>
          <w:sz w:val="20"/>
          <w:szCs w:val="20"/>
          <w:color w:val="auto"/>
        </w:rPr>
      </w:pPr>
    </w:p>
    <w:p>
      <w:pPr>
        <w:jc w:val="both"/>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332"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336" w:lineRule="exact"/>
        <w:rPr>
          <w:sz w:val="20"/>
          <w:szCs w:val="20"/>
          <w:color w:val="auto"/>
        </w:rPr>
      </w:pPr>
    </w:p>
    <w:p>
      <w:pPr>
        <w:jc w:val="both"/>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A holder of debt securities of any series will not have any right to institute any proceeding under the indentures, or for the appointment of a receiver or a trustee, or for any other remedy under the indentures, unless:</w:t>
      </w:r>
    </w:p>
    <w:p>
      <w:pPr>
        <w:spacing w:after="0" w:line="95" w:lineRule="exact"/>
        <w:rPr>
          <w:sz w:val="20"/>
          <w:szCs w:val="20"/>
          <w:color w:val="auto"/>
        </w:rPr>
      </w:pPr>
    </w:p>
    <w:p>
      <w:pPr>
        <w:ind w:left="1980" w:right="599" w:hanging="360"/>
        <w:spacing w:after="0" w:line="282" w:lineRule="auto"/>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to the trustee written notice of a continuing event of default with respect to the debt securities of that series;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639" w:hanging="360"/>
        <w:spacing w:after="0" w:line="261" w:lineRule="auto"/>
        <w:tabs>
          <w:tab w:leader="none" w:pos="1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with respect to senior debt securities, and a majority, with respect to subordinated debt securities, in aggregate principal amount of the outstanding debt securities of that series have made a written request and have offered reasonable indemnity to the trustee to institute the proceeding; and</w:t>
      </w:r>
    </w:p>
    <w:p>
      <w:pPr>
        <w:spacing w:after="0" w:line="112" w:lineRule="exact"/>
        <w:rPr>
          <w:rFonts w:ascii="Times New Roman" w:cs="Times New Roman" w:eastAsia="Times New Roman" w:hAnsi="Times New Roman"/>
          <w:sz w:val="18"/>
          <w:szCs w:val="18"/>
          <w:color w:val="auto"/>
        </w:rPr>
      </w:pPr>
    </w:p>
    <w:p>
      <w:pPr>
        <w:ind w:left="1980" w:right="679" w:hanging="360"/>
        <w:spacing w:after="0" w:line="266" w:lineRule="auto"/>
        <w:tabs>
          <w:tab w:leader="none" w:pos="1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95" w:lineRule="exact"/>
        <w:rPr>
          <w:sz w:val="20"/>
          <w:szCs w:val="20"/>
          <w:color w:val="auto"/>
        </w:rPr>
      </w:pPr>
    </w:p>
    <w:p>
      <w:pPr>
        <w:jc w:val="both"/>
        <w:ind w:left="1260" w:right="919" w:firstLine="360"/>
        <w:spacing w:after="0" w:line="258" w:lineRule="auto"/>
        <w:rPr>
          <w:sz w:val="20"/>
          <w:szCs w:val="20"/>
          <w:color w:val="auto"/>
        </w:rPr>
      </w:pPr>
      <w:r>
        <w:rPr>
          <w:rFonts w:ascii="Times New Roman" w:cs="Times New Roman" w:eastAsia="Times New Roman" w:hAnsi="Times New Roman"/>
          <w:sz w:val="18"/>
          <w:szCs w:val="18"/>
          <w:color w:val="auto"/>
        </w:rPr>
        <w:t>Holders may, however, sue to enforce the payment of principal, premium or interest on any debt security on or after the due date or to enforce the right, if any, to convert any debt security (if the debt security is convertible) without following the procedures listed in clauses (1) through (3) above.</w:t>
      </w:r>
    </w:p>
    <w:p>
      <w:pPr>
        <w:spacing w:after="0" w:line="102" w:lineRule="exact"/>
        <w:rPr>
          <w:sz w:val="20"/>
          <w:szCs w:val="20"/>
          <w:color w:val="auto"/>
        </w:rPr>
      </w:pPr>
    </w:p>
    <w:p>
      <w:pPr>
        <w:ind w:left="1260" w:right="499" w:firstLine="360"/>
        <w:spacing w:after="0" w:line="264" w:lineRule="auto"/>
        <w:rPr>
          <w:sz w:val="20"/>
          <w:szCs w:val="20"/>
          <w:color w:val="auto"/>
        </w:rPr>
      </w:pPr>
      <w:r>
        <w:rPr>
          <w:rFonts w:ascii="Times New Roman" w:cs="Times New Roman" w:eastAsia="Times New Roman" w:hAnsi="Times New Roman"/>
          <w:sz w:val="18"/>
          <w:szCs w:val="18"/>
          <w:color w:val="auto"/>
        </w:rPr>
        <w:t>We will furnish the trustee an annual statement by our officers as to whether or not we are in default in the performance of the conditions and covenants under the indenture and, if so, specifying all known defaults.</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62"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Unless we indicate otherwise in a prospectus supplement, we and the applicable trustee may make modifications and amendments to an indenture with the consent of the holders of a majority in aggregate principal amount of the outstanding securities of each series affected by the modification or amendment.</w:t>
      </w:r>
    </w:p>
    <w:p>
      <w:pPr>
        <w:spacing w:after="0" w:line="109"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We may also make modifications and amendments to the indentures for the benefit of holders without their consent, for certain purposes including, but not limited to:</w:t>
      </w:r>
    </w:p>
    <w:p>
      <w:pPr>
        <w:spacing w:after="0" w:line="40" w:lineRule="exact"/>
        <w:rPr>
          <w:sz w:val="20"/>
          <w:szCs w:val="20"/>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our successor to assume the covenants under the indenture;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covenants or events of default;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certain changes to facilitate the issuance of the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the securities, including provisions relating to the release or substitution of collateral;</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guaranties of, or additional obligors on, the securities;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successor trustee or additional trustees;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curing any ambiguities or inconsistencies;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or facilitating the defeasance and discharge of the securities;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specified in the indenture.</w:t>
      </w:r>
    </w:p>
    <w:p>
      <w:pPr>
        <w:spacing w:after="0" w:line="158"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However, neither we nor the trustee may make any modification or amendment without the consent of the holder of each outstanding security of that series affected by the modification or amendment if such modification or amendment would:</w:t>
      </w:r>
    </w:p>
    <w:p>
      <w:pPr>
        <w:spacing w:after="0" w:line="61" w:lineRule="exact"/>
        <w:rPr>
          <w:sz w:val="20"/>
          <w:szCs w:val="20"/>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any debt security;</w:t>
      </w:r>
    </w:p>
    <w:p>
      <w:pPr>
        <w:spacing w:after="0" w:line="10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premium, if any, or interest on any debt security or any amount payable upon redemption or repurchase, whether at our option or the option of any holder, or reduce the amount of any sinking fund payments;</w:t>
      </w:r>
    </w:p>
    <w:p>
      <w:pPr>
        <w:spacing w:after="0" w:line="54"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an original issue discount security or any other debt security payable on acceleration of maturity;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or the currency in which any debt security is payable;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enforce any payment after the stated maturity or redemption date;</w:t>
      </w:r>
    </w:p>
    <w:p>
      <w:pPr>
        <w:spacing w:after="0" w:line="10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subordinated debt securities, modify the subordination provisions in a materially adverse manner to the holders;</w:t>
      </w:r>
    </w:p>
    <w:p>
      <w:pPr>
        <w:spacing w:after="0" w:line="53"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 to convert any debt security if the debt security is a convertible debt security; or</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in the indenture that relate to modifying or amending the indenture.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may be discharged from our obligations on the debt securities, subject to limited exceptions, of any series that have matured or will mature or be redeemed within one year if we deposit enough money with the trustee to pay all of the principal, interest and any premium due to the stated maturity date or redemption date of the debt securities.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Each indenture contains a provision that permits us to elect either or both of the following:</w:t>
      </w:r>
    </w:p>
    <w:p>
      <w:pPr>
        <w:spacing w:after="0" w:line="158" w:lineRule="exact"/>
        <w:rPr>
          <w:sz w:val="20"/>
          <w:szCs w:val="20"/>
          <w:color w:val="auto"/>
        </w:rPr>
      </w:pPr>
    </w:p>
    <w:p>
      <w:pPr>
        <w:ind w:left="1980" w:right="419" w:hanging="360"/>
        <w:spacing w:after="0" w:line="258" w:lineRule="auto"/>
        <w:tabs>
          <w:tab w:leader="none" w:pos="1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15" w:lineRule="exact"/>
        <w:rPr>
          <w:rFonts w:ascii="Times New Roman" w:cs="Times New Roman" w:eastAsia="Times New Roman" w:hAnsi="Times New Roman"/>
          <w:sz w:val="18"/>
          <w:szCs w:val="18"/>
          <w:color w:val="auto"/>
        </w:rPr>
      </w:pPr>
    </w:p>
    <w:p>
      <w:pPr>
        <w:ind w:left="1980" w:right="579" w:hanging="360"/>
        <w:spacing w:after="0" w:line="266" w:lineRule="auto"/>
        <w:tabs>
          <w:tab w:leader="none" w:pos="1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95"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recognize income, gain or loss for U.S. federal income tax purposes as a result of the action.</w:t>
      </w:r>
    </w:p>
    <w:p>
      <w:pPr>
        <w:spacing w:after="0" w:line="121" w:lineRule="exact"/>
        <w:rPr>
          <w:sz w:val="20"/>
          <w:szCs w:val="20"/>
          <w:color w:val="auto"/>
        </w:rPr>
      </w:pPr>
    </w:p>
    <w:p>
      <w:pPr>
        <w:ind w:left="1260" w:right="1179" w:firstLine="360"/>
        <w:spacing w:after="0" w:line="282" w:lineRule="auto"/>
        <w:rPr>
          <w:sz w:val="20"/>
          <w:szCs w:val="20"/>
          <w:color w:val="auto"/>
        </w:rPr>
      </w:pPr>
      <w:r>
        <w:rPr>
          <w:rFonts w:ascii="Times New Roman" w:cs="Times New Roman" w:eastAsia="Times New Roman" w:hAnsi="Times New Roman"/>
          <w:sz w:val="18"/>
          <w:szCs w:val="18"/>
          <w:color w:val="auto"/>
        </w:rPr>
        <w:t>“Foreign government obligations” means, with respect to debt securities of any series that are denominated in a currency other than United States dollars:</w:t>
      </w:r>
    </w:p>
    <w:p>
      <w:pPr>
        <w:spacing w:after="0" w:line="54" w:lineRule="exact"/>
        <w:rPr>
          <w:sz w:val="20"/>
          <w:szCs w:val="20"/>
          <w:color w:val="auto"/>
        </w:rPr>
      </w:pPr>
    </w:p>
    <w:p>
      <w:pPr>
        <w:ind w:left="1800" w:right="479" w:hanging="180"/>
        <w:spacing w:after="0" w:line="25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w:t>
      </w:r>
    </w:p>
    <w:p>
      <w:pPr>
        <w:spacing w:after="0" w:line="92"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 or</w:t>
      </w:r>
    </w:p>
    <w:p>
      <w:pPr>
        <w:spacing w:after="0" w:line="71"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depository receipt issued by a bank as custodian with respect to any obligation specified in the first two bullet points and held by such bank for the account of the holder of such deposit any receipt, or with respect to any such obligation which is so specified and held.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Notices to holders will be given by mail to the addresses of the holders in the security register.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under, the laws of the State of New York.</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and Shareholders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 incorporator, shareholder, employee, agent, officer, director or subsidiary of ours will have any</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liability for any obligations of ours, or because of the creation of any indebtedness under the debt securities,</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99"/>
        <w:spacing w:after="0" w:line="258" w:lineRule="auto"/>
        <w:rPr>
          <w:sz w:val="20"/>
          <w:szCs w:val="20"/>
          <w:color w:val="auto"/>
        </w:rPr>
      </w:pPr>
      <w:r>
        <w:rPr>
          <w:rFonts w:ascii="Times New Roman" w:cs="Times New Roman" w:eastAsia="Times New Roman" w:hAnsi="Times New Roman"/>
          <w:sz w:val="18"/>
          <w:szCs w:val="18"/>
          <w:color w:val="auto"/>
        </w:rPr>
        <w:t>the indentures or supplemental indentures. The indentures provide that all such liability is expressly waived and released as a condition of, and as a consideration for, the execution of such indentures and the issuance of the debt securities.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162"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indentures limit the right of the trustee, should it become our creditor, to obtain payment of claims or secure its claims.</w:t>
      </w:r>
    </w:p>
    <w:p>
      <w:pPr>
        <w:spacing w:after="0" w:line="95"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trustee is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102"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The accompanying prospectus supplement will specify the trustee for the particular series of debt securities to be issued under the indentures.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Subordinated Debt Securities</w:t>
      </w:r>
    </w:p>
    <w:p>
      <w:pPr>
        <w:spacing w:after="0" w:line="14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with respect to each series of subordinated debt securities, unless otherwise stated in the prospectus supplement relating to that series of subordinated debt securities.</w:t>
      </w:r>
    </w:p>
    <w:p>
      <w:pPr>
        <w:spacing w:after="0" w:line="81"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indebtedness evidenced by the subordinated debt securities of any series is subordinated, to the extent provided in the subordinated indenture and the applicable prospectus supplement, to the prior payment in full, of all senior debt, including any senior debt securities, in cash or other payment satisfactory to the holders of senior debt.</w:t>
      </w:r>
    </w:p>
    <w:p>
      <w:pPr>
        <w:spacing w:after="0" w:line="110" w:lineRule="exact"/>
        <w:rPr>
          <w:sz w:val="20"/>
          <w:szCs w:val="20"/>
          <w:color w:val="auto"/>
        </w:rPr>
      </w:pPr>
    </w:p>
    <w:p>
      <w:pPr>
        <w:ind w:left="1260" w:right="739" w:firstLine="360"/>
        <w:spacing w:after="0" w:line="246" w:lineRule="auto"/>
        <w:rPr>
          <w:sz w:val="20"/>
          <w:szCs w:val="20"/>
          <w:color w:val="auto"/>
        </w:rPr>
      </w:pPr>
      <w:r>
        <w:rPr>
          <w:rFonts w:ascii="Times New Roman" w:cs="Times New Roman" w:eastAsia="Times New Roman" w:hAnsi="Times New Roman"/>
          <w:sz w:val="18"/>
          <w:szCs w:val="18"/>
          <w:color w:val="auto"/>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14"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110"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14"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We are required to promptly notify holders of senior debt or their representatives under the subordinated indenture if payment of the subordinated debt securities is accelerated because of an event of default.</w:t>
      </w:r>
    </w:p>
    <w:p>
      <w:pPr>
        <w:spacing w:after="0" w:line="3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the subordinated indenture, we may also not make payment on the subordinated debt securities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if:</w:t>
      </w:r>
    </w:p>
    <w:p>
      <w:pPr>
        <w:spacing w:after="0" w:line="99" w:lineRule="exact"/>
        <w:rPr>
          <w:sz w:val="20"/>
          <w:szCs w:val="20"/>
          <w:color w:val="auto"/>
        </w:rPr>
      </w:pPr>
    </w:p>
    <w:p>
      <w:pPr>
        <w:ind w:left="1800" w:right="479" w:hanging="180"/>
        <w:spacing w:after="0" w:line="266"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our obligations to pay principal, premium, if any, interest or other amounts on our senior debt occurs and the default continues beyond any applicable grace period, which we refer to as a payment default; or</w:t>
      </w:r>
    </w:p>
    <w:p>
      <w:pPr>
        <w:spacing w:after="0" w:line="54" w:lineRule="exact"/>
        <w:rPr>
          <w:rFonts w:ascii="Times New Roman" w:cs="Times New Roman" w:eastAsia="Times New Roman" w:hAnsi="Times New Roman"/>
          <w:sz w:val="18"/>
          <w:szCs w:val="18"/>
          <w:color w:val="auto"/>
        </w:rPr>
      </w:pPr>
    </w:p>
    <w:p>
      <w:pPr>
        <w:ind w:left="1800" w:right="719" w:hanging="180"/>
        <w:spacing w:after="0" w:line="261"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nonpayment default occurs and is continuing with respect to designated senior debt that permits holders of designated senior debt to accelerate its maturity, and the trustee receives a payment blockage notice from us or some other person permitted to give the notice under the subordinated indenture, which we refer to as a non-payment default.</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and shall resume payments on the subordinated debt securities:</w:t>
      </w:r>
    </w:p>
    <w:p>
      <w:pPr>
        <w:spacing w:after="0" w:line="10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 in case of a payment default, when the default is cured or waived or ceases to exist;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nonpayment default, the earlier of when the default is cured or waived or ceases to exist or 179 days after the receipt of the payment blockage notice.</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 new payment blockage period may start on the basis of a nonpayment default unless at least</w:t>
      </w:r>
    </w:p>
    <w:p>
      <w:pPr>
        <w:spacing w:after="0" w:line="27" w:lineRule="exact"/>
        <w:rPr>
          <w:sz w:val="20"/>
          <w:szCs w:val="20"/>
          <w:color w:val="auto"/>
        </w:rPr>
      </w:pPr>
    </w:p>
    <w:p>
      <w:pPr>
        <w:jc w:val="both"/>
        <w:ind w:left="1260" w:right="579"/>
        <w:spacing w:after="0" w:line="255" w:lineRule="auto"/>
        <w:rPr>
          <w:sz w:val="20"/>
          <w:szCs w:val="20"/>
          <w:color w:val="auto"/>
        </w:rPr>
      </w:pPr>
      <w:r>
        <w:rPr>
          <w:rFonts w:ascii="Times New Roman" w:cs="Times New Roman" w:eastAsia="Times New Roman" w:hAnsi="Times New Roman"/>
          <w:sz w:val="18"/>
          <w:szCs w:val="18"/>
          <w:color w:val="auto"/>
        </w:rPr>
        <w:t>365 days have elapsed from the initial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18"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99"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The subordination provisions will not apply to payments from money or government obligations held in trust by the trustee for the payment of principal, interest and premium, if any, on subordinated debt securities pursuant to the provisions described under “Satisfaction and Discharge; Defeasance,” if the subordination provisions were not violated at the time the money or government obligations were deposited into trust.</w:t>
      </w:r>
    </w:p>
    <w:p>
      <w:pPr>
        <w:spacing w:after="0" w:line="335"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Senior debt securities will constitute senior debt under the subordinated indenture.</w:t>
      </w:r>
    </w:p>
    <w:p>
      <w:pPr>
        <w:spacing w:after="0" w:line="14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Additional or different subordination provisions may be described in a prospectus supplement relating to a particular series of debt securities.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60"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Designated senior debt</w:t>
      </w:r>
      <w:r>
        <w:rPr>
          <w:rFonts w:ascii="Times New Roman" w:cs="Times New Roman" w:eastAsia="Times New Roman" w:hAnsi="Times New Roman"/>
          <w:sz w:val="18"/>
          <w:szCs w:val="18"/>
          <w:color w:val="auto"/>
        </w:rPr>
        <w:t>” means our obligations under any particular senior debt in which the instrument creating or evidencing the same or the assumption or guarantee thereof, or related agreements or documents to which we are a party, expressly provides that such indebtedness shall be designated senior debt for purposes of the subordinated indenture. The instrument, agreement or other document evidencing any designated senior debt may place limitations and conditions on the right of such senior debt to exercise the rights of designated senior debt.</w:t>
      </w:r>
    </w:p>
    <w:p>
      <w:pPr>
        <w:spacing w:after="0" w:line="115" w:lineRule="exact"/>
        <w:rPr>
          <w:sz w:val="20"/>
          <w:szCs w:val="20"/>
          <w:color w:val="auto"/>
        </w:rPr>
      </w:pPr>
    </w:p>
    <w:p>
      <w:pPr>
        <w:ind w:left="1260" w:right="639" w:firstLine="3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the following, whether absolute or contingent, secured or unsecured, due or to become due, outstanding on the date of the indenture for such series of securities or thereafter created, incurred or assumed:</w:t>
      </w:r>
    </w:p>
    <w:p>
      <w:pPr>
        <w:spacing w:after="0" w:line="67" w:lineRule="exact"/>
        <w:rPr>
          <w:sz w:val="20"/>
          <w:szCs w:val="20"/>
          <w:color w:val="auto"/>
        </w:rPr>
      </w:pPr>
    </w:p>
    <w:p>
      <w:pPr>
        <w:ind w:left="1800" w:right="77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evidenced by a credit or loan agreement, note, bond, debenture or other written obligation;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for borrowed money;</w:t>
      </w:r>
    </w:p>
    <w:p>
      <w:pPr>
        <w:spacing w:after="0" w:line="117" w:lineRule="exact"/>
        <w:rPr>
          <w:rFonts w:ascii="Times New Roman" w:cs="Times New Roman" w:eastAsia="Times New Roman" w:hAnsi="Times New Roman"/>
          <w:sz w:val="18"/>
          <w:szCs w:val="18"/>
          <w:color w:val="auto"/>
        </w:rPr>
      </w:pPr>
    </w:p>
    <w:p>
      <w:pPr>
        <w:ind w:left="1800" w:right="111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evidenced by a note or similar instrument given in connection with the acquisition of any businesses, properties or assets of any kind,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w:t>
      </w:r>
    </w:p>
    <w:p>
      <w:pPr>
        <w:spacing w:after="0" w:line="117" w:lineRule="exact"/>
        <w:rPr>
          <w:rFonts w:ascii="Times New Roman" w:cs="Times New Roman" w:eastAsia="Times New Roman" w:hAnsi="Times New Roman"/>
          <w:sz w:val="18"/>
          <w:szCs w:val="18"/>
          <w:color w:val="auto"/>
        </w:rPr>
      </w:pPr>
    </w:p>
    <w:p>
      <w:pPr>
        <w:ind w:left="2160" w:right="1079" w:hanging="180"/>
        <w:spacing w:after="0" w:line="282" w:lineRule="auto"/>
        <w:tabs>
          <w:tab w:leader="none" w:pos="21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lessee under leases required to be capitalized on the balance sheet of the lessee under generally accepted accounting principles, or</w:t>
      </w:r>
    </w:p>
    <w:p>
      <w:pPr>
        <w:spacing w:after="0" w:line="53" w:lineRule="exact"/>
        <w:rPr>
          <w:rFonts w:ascii="Times New Roman" w:cs="Times New Roman" w:eastAsia="Times New Roman" w:hAnsi="Times New Roman"/>
          <w:sz w:val="18"/>
          <w:szCs w:val="18"/>
          <w:color w:val="auto"/>
        </w:rPr>
      </w:pPr>
    </w:p>
    <w:p>
      <w:pPr>
        <w:ind w:left="2160" w:right="779" w:hanging="180"/>
        <w:spacing w:after="0" w:line="282" w:lineRule="auto"/>
        <w:tabs>
          <w:tab w:leader="none" w:pos="21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lessee under other leases for facilities, capital equipment or related assets, whether or not capitalized, entered into or leased for financing purposes;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under interest rate and currency swaps, caps, floors, collars, hedge agreements, forward contracts or similar agreements or arrangements;</w:t>
      </w:r>
    </w:p>
    <w:p>
      <w:pPr>
        <w:spacing w:after="0" w:line="5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with respect to letters of credit, bankers’ acceptances and similar facilities, including reimbursement obligations with respect to the foregoing;</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65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the type referred to in the above clauses of another person and all dividends of another person, the payment of which, in either case, we have assumed or guaranteed, for which we are responsible or liable, directly or indirectly, jointly or severally, as obligor, guarantor or otherwise, or which are secured by a lien on our property; and</w:t>
      </w:r>
    </w:p>
    <w:p>
      <w:pPr>
        <w:spacing w:after="0" w:line="71"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replacements, restatements and refundings of, or any indebtedness or obligation issued in exchange for, any such indebtedness or obligation described in the above clauses of this definition.</w:t>
      </w:r>
    </w:p>
    <w:p>
      <w:pPr>
        <w:spacing w:after="0" w:line="106"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debt</w:t>
      </w:r>
      <w:r>
        <w:rPr>
          <w:rFonts w:ascii="Times New Roman" w:cs="Times New Roman" w:eastAsia="Times New Roman" w:hAnsi="Times New Roman"/>
          <w:sz w:val="18"/>
          <w:szCs w:val="18"/>
          <w:color w:val="auto"/>
        </w:rPr>
        <w:t>” means the principal of, premium, if any, and interest, including all interest accruing subsequent to the commencement of any bankruptcy or similar proceeding, whether or not a claim for post-petition interest is allowable as a claim in any such proceeding, on, and all fees and other amounts payable in connection with, our indebtedness. Senior debt shall not include:</w:t>
      </w:r>
    </w:p>
    <w:p>
      <w:pPr>
        <w:spacing w:after="0" w:line="74" w:lineRule="exact"/>
        <w:rPr>
          <w:sz w:val="20"/>
          <w:szCs w:val="20"/>
          <w:color w:val="auto"/>
        </w:rPr>
      </w:pPr>
    </w:p>
    <w:p>
      <w:pPr>
        <w:ind w:left="1800" w:right="519" w:hanging="180"/>
        <w:spacing w:after="0" w:line="261"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or obligation if its terms or the terms of the instrument under which or pursuant to which it is issued expressly provide it shall not be senior in right of payment to the subordinated debt securities or expressly provide that such indebtedness is on the same basis or “junior” to the subordinated debt securities; or</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to any of our subsidiaries.</w:t>
      </w:r>
    </w:p>
    <w:p>
      <w:pPr>
        <w:spacing w:after="0" w:line="156"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an entity more than 50% of the outstanding voting stock of which is owned, directly or indirectly, by us or by one or more of our other subsidiaries or by a combination of us and our other subsidiaries. For purposes of this definition, “voting stock” means stock or other similar interests to us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Certain Considerations Relating to Foreign Currencies</w:t>
      </w:r>
    </w:p>
    <w:p>
      <w:pPr>
        <w:spacing w:after="0" w:line="148"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may issue warrants to purchase common stock, preferred stock or debt securities and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1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summarizes the material terms and provisions of the warrants that we may offer under this prospectus.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being offered, including:</w:t>
      </w:r>
    </w:p>
    <w:p>
      <w:pPr>
        <w:spacing w:after="0" w:line="54" w:lineRule="exact"/>
        <w:rPr>
          <w:sz w:val="20"/>
          <w:szCs w:val="20"/>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securities or each principal amount of such security;</w:t>
      </w:r>
    </w:p>
    <w:p>
      <w:pPr>
        <w:spacing w:after="0" w:line="53" w:lineRule="exact"/>
        <w:rPr>
          <w:rFonts w:ascii="Times New Roman" w:cs="Times New Roman" w:eastAsia="Times New Roman" w:hAnsi="Times New Roman"/>
          <w:sz w:val="18"/>
          <w:szCs w:val="18"/>
          <w:color w:val="auto"/>
        </w:rPr>
      </w:pPr>
    </w:p>
    <w:p>
      <w:pPr>
        <w:ind w:left="1800" w:right="859" w:hanging="180"/>
        <w:spacing w:after="0" w:line="26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expire;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17" w:lineRule="exact"/>
        <w:rPr>
          <w:rFonts w:ascii="Times New Roman" w:cs="Times New Roman" w:eastAsia="Times New Roman" w:hAnsi="Times New Roman"/>
          <w:sz w:val="18"/>
          <w:szCs w:val="18"/>
          <w:color w:val="auto"/>
        </w:rPr>
      </w:pPr>
    </w:p>
    <w:p>
      <w:pPr>
        <w:ind w:left="1800" w:right="117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of holding or exercising the warrants;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54" w:lineRule="exact"/>
        <w:rPr>
          <w:sz w:val="20"/>
          <w:szCs w:val="20"/>
          <w:color w:val="auto"/>
        </w:rPr>
      </w:pPr>
    </w:p>
    <w:p>
      <w:pPr>
        <w:ind w:left="1800" w:right="479" w:hanging="180"/>
        <w:spacing w:after="0" w:line="26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7" w:lineRule="exact"/>
        <w:rPr>
          <w:rFonts w:ascii="Times New Roman" w:cs="Times New Roman" w:eastAsia="Times New Roman" w:hAnsi="Times New Roman"/>
          <w:sz w:val="18"/>
          <w:szCs w:val="18"/>
          <w:color w:val="auto"/>
        </w:rPr>
      </w:pPr>
    </w:p>
    <w:p>
      <w:pPr>
        <w:ind w:left="1800" w:right="579" w:hanging="180"/>
        <w:spacing w:after="0" w:line="275"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20"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48"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We may issue subscription rights to purchase shares of our common stock or preferred stock. These subscription rights may be issued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20"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offering of subscription rights will include specific terms relating to the offering, including:</w:t>
      </w:r>
    </w:p>
    <w:p>
      <w:pPr>
        <w:spacing w:after="0" w:line="54" w:lineRule="exact"/>
        <w:rPr>
          <w:sz w:val="20"/>
          <w:szCs w:val="20"/>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each share of common stock or preferred stock upon the exercise of the subscription rights;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offered to each shareholder;</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the shares of common stock or preferred stock which may be purchased per each subscription right;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1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procedures and limitations relating to the exchange and exercise of the subscription rights;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subscription rights shall commence and expire;</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75"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281"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that we may enter into in connection with the offering of subscription rights.</w:t>
      </w:r>
    </w:p>
    <w:p>
      <w:pPr>
        <w:spacing w:after="0" w:line="81"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preceding summary of the terms of the subscription rights does not purport to be complete and is subject to, and is qualified in its entirety by reference to, the terms of the subscription rights being offered, as well as any applicable subscription rights certificate and the terms of the securities to which the subscription rights relate. Therefore, you should carefully consider the actual provisions of the subscription right, and subscription agreement and the applicable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62"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color w:val="auto"/>
        </w:rPr>
        <w:t>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335"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w:t>
      </w:r>
    </w:p>
    <w:p>
      <w:pPr>
        <w:spacing w:after="0" w:line="322"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54" w:lineRule="exact"/>
        <w:rPr>
          <w:sz w:val="20"/>
          <w:szCs w:val="20"/>
          <w:color w:val="auto"/>
        </w:rPr>
      </w:pPr>
    </w:p>
    <w:p>
      <w:pPr>
        <w:ind w:left="1800" w:right="51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5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We may sell the securities offered under this prospectus from time to time pursuant to underwritten public offerings, negotiated transactions, block trades or a combination of these methods or through underwriters, dealers or agents or directly to one or more purchasers. The securities may be distributed from time to time in one or more transactions (or in any combination) at:</w:t>
      </w:r>
    </w:p>
    <w:p>
      <w:pPr>
        <w:spacing w:after="0" w:line="69" w:lineRule="exact"/>
        <w:rPr>
          <w:sz w:val="20"/>
          <w:szCs w:val="20"/>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 prevailing market price;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158"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For each type and series of securities offered, the applicable prospectus supplement will set forth the terms of the offering, including, without limitation:</w:t>
      </w:r>
    </w:p>
    <w:p>
      <w:pPr>
        <w:spacing w:after="0" w:line="54" w:lineRule="exact"/>
        <w:rPr>
          <w:sz w:val="20"/>
          <w:szCs w:val="20"/>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w:t>
      </w:r>
    </w:p>
    <w:p>
      <w:pPr>
        <w:spacing w:after="0" w:line="11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dealers or agents and the amount of securities underwritten or purchased by each of them, if any;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from the sale of securities to us and the use of proceeds from the sale of the securities;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concessions, commissions, agency fees or other compensation payable to underwriters, dealers or agents;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repaid to dealers;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offering expenses;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exchanges on which the securities will be listed, if any.</w:t>
      </w:r>
    </w:p>
    <w:p>
      <w:pPr>
        <w:spacing w:after="0" w:line="15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may grant underwriters options to purchase additional securities at the public offering price, with additional underwriting commissions or discounts, as applicable, set forth in the prospectus supplement. The terms of any such option will be set forth in the prospectus supplement for those securities.</w:t>
      </w:r>
    </w:p>
    <w:p>
      <w:pPr>
        <w:spacing w:after="0" w:line="10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Underwriters or agents may make sales in privately negotiated transactions and/or any other method permitted by law, including sales deemed to be an “at -the-market” offering as defined in Rule 415 under the Securities Act, which includes sales made directly on Nasdaq, the existing trading market for our common stock, or sales made to or through a market maker other than on an exchange.</w:t>
      </w:r>
    </w:p>
    <w:p>
      <w:pPr>
        <w:spacing w:after="0" w:line="110"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We may issue to our existing security holders, though a dividend or similar distribution, rights to purchase shares of our common stock or preferred stock, which may or may not be transferable. In any distribution of rights to our existing security holders, if all of the underlying securities are not subscribed for, we may then sell the unsubscribed securities directly to third parties or may engage the services of one or more underwriters, dealers or agents, including standby underwriters, to facilitate the distribution of the unsubscribed securities. The applicable prospectus supplement will describe the specific terms of any offering of our common stock or preferred stock through the issuance of rights including, if applicable, the material terms of any standby underwriting agreement or purchase agreement.</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Sales Through Underwriters, Dealers or Agents; Direct Sales</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If we use underwriters in any sale of securities offered under this prospectus, the underwriters will buy the securities for their own account, including through underwriting, purchase, security lending or repurchase agreements with us. The underwriters may then resell the securities in one or more transactions at a fixed public offering price or at varying prices determined at the time of sale or thereafter. Unless otherwise indicated in the prospectus supplement, the obligations of the underwriters to purchase the securities will be subject to certain conditions and the underwriters will be obligated to purchase all the securities offered if they purchase any securities. The public offering price for the securities and any discounts or concessions allowed or re-allowed or paid to dealers may be changed from time to time.</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If we use dealers in any sale of securities offered under this prospectus, the securities will be sold to such dealers as principals. The dealers may then resell the securities to the public at varying prices to be determined by such dealers at the time of resale.</w:t>
      </w:r>
    </w:p>
    <w:p>
      <w:pPr>
        <w:spacing w:after="0" w:line="108" w:lineRule="exact"/>
        <w:rPr>
          <w:sz w:val="20"/>
          <w:szCs w:val="20"/>
          <w:color w:val="auto"/>
        </w:rPr>
      </w:pPr>
    </w:p>
    <w:p>
      <w:pPr>
        <w:jc w:val="both"/>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If agents are used in any sale of securities offered under this prospectus, they will use their reasonable best efforts to solicit purchases for the period of their appointment or to sell our securities on a continuing basis. If required, the prospectus supplement relating to any particular offering of securities will name any agents designated to solicit offers and will include information about any commissions they may be paid in that offering.</w:t>
      </w:r>
    </w:p>
    <w:p>
      <w:pPr>
        <w:spacing w:after="0" w:line="116"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If securities offered under this prospectus are sold directly, no underwriters, dealers or agents would be involved.</w:t>
      </w:r>
    </w:p>
    <w:p>
      <w:pPr>
        <w:spacing w:after="0" w:line="81"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We are not making an offer of securities in any state that does not permit such an offer. If we sell securities through dealers or agents, or directly, the terms of any such sales will be described in the applicable prospectus supplement.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Delayed Delivery Contracts</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We may authorize underwriters, dealers or agents to solicit offers from certain institutions whereby the institution contractually agrees to purchase the securities offered under this prospectus from us on a future date at a specific price. This type of contract may be made only with institutions that we specifically approve. Such institutions could include banks, insurance companies, pension funds, investment companies and educational and charitable institutions. The underwriters, dealers or agents will not be responsible for the validity or performance of these contracts. The prospectus supplement relating to the contracts will set forth the price to be paid for offered securities pursuant to such contracts, the commission payable for solicitation of the contracts and the date or dates in the future for delivery of offered securities pursuant to the contracts.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Market Making, Stabilization and Other Transactions</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Each issue of a new series of securities, other than issuances of our common stock, will not have an established trading market, except as indicated in the applicable prospectus supplement. Unless indicated in the applicable prospectus supplement, we do not expect to list the offered securities on a securities exchange, except for our common stock, which is listed on Nasdaq. We can provide no assurance as to whether any of our securities will have a liquid trading market.</w:t>
      </w:r>
    </w:p>
    <w:p>
      <w:pPr>
        <w:spacing w:after="0" w:line="10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order to facilitate the offering of any of the securities offered under this prospectus, the underwriters with respect to any such offering may, as described in the prospectus supplement and in accordance with applicable law, engage in transactions that stabilize, maintain or otherwise affect the price of the securities or any other securities the prices of which may be used to determine payments on these securities. Stabilizing transactions involve bids to purchase the underlying security in the open market for the purpose of preventing or delaying a decline in the price of the securities. Syndicate covering transactions involve purchases of the securities in the open market after the distribution has been completed in order to cover syndicate short positions. Penalty bids permit the underwriters to reclaim a selling concession from a syndicate member when the securities originally sold by the syndicate member are purchased in a stabilizing or syndicate covering transaction to cover syndicate short positions. Any of these activities may have the effect of raising or maintaining the market price of our securities or preventing or delaying a decline in the market price of our securities. As a result, the market price of the securities may be higher than it otherwise would be in the absence of these transactions. The underwriters are not required to engage in these activities, and may end any of these activities at any time, all as described in the applicable prospectus supplement.</w:t>
      </w:r>
    </w:p>
    <w:p>
      <w:pPr>
        <w:spacing w:after="0" w:line="346"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Any person participating in the distribution of securities will be subject to applicable provisions of the Exchange Act and the rules and regulations under the Exchange Act, including Regulation M, which may limit the timing of transactions involving the securities offered under this prospectus. Furthermore, Regulation M may restrict the ability of any person engaged in the distribution of such securities to engage in market-making activities with respect to the particular securities being distributed. All of the above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82" w:lineRule="auto"/>
        <w:rPr>
          <w:sz w:val="20"/>
          <w:szCs w:val="20"/>
          <w:color w:val="auto"/>
        </w:rPr>
      </w:pPr>
      <w:r>
        <w:rPr>
          <w:rFonts w:ascii="Times New Roman" w:cs="Times New Roman" w:eastAsia="Times New Roman" w:hAnsi="Times New Roman"/>
          <w:sz w:val="18"/>
          <w:szCs w:val="18"/>
          <w:color w:val="auto"/>
        </w:rPr>
        <w:t>may affect the marketability of the securities offered under this prospectus and the ability of any person or entity to engage in market-making activities with respect to such securities.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Derivative Transactions and Hedging</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the underwriters or other agents engaged by us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Electronic Auctions</w:t>
      </w:r>
    </w:p>
    <w:p>
      <w:pPr>
        <w:spacing w:after="0" w:line="162"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will want to pay particular attention to the description of that system, which we will provide in a prospectus supplement.</w:t>
      </w:r>
    </w:p>
    <w:p>
      <w:pPr>
        <w:spacing w:after="0" w:line="10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debt security, the clearing spread could be indicated as a number of “basis points” above an index treasury note.</w:t>
      </w:r>
    </w:p>
    <w:p>
      <w:pPr>
        <w:spacing w:after="0" w:line="337" w:lineRule="exact"/>
        <w:rPr>
          <w:sz w:val="20"/>
          <w:szCs w:val="20"/>
          <w:color w:val="auto"/>
        </w:rPr>
      </w:pPr>
    </w:p>
    <w:p>
      <w:pPr>
        <w:jc w:val="both"/>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 Information</w:t>
      </w:r>
    </w:p>
    <w:p>
      <w:pPr>
        <w:spacing w:after="0" w:line="162"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We expect that any agreements we may have with underwriters, dealers and agents will include provisions indemnifying them against certain civil liabilities, including certain liabilities under the Securities Act, or providing for contribution with respect to payments that they may be required to make. An underwriter, dealer or agent, or any of their affiliates, may be a customer of, or otherwise engage in transactions with or perform services for us in the ordinary course of business.</w:t>
      </w:r>
    </w:p>
    <w:p>
      <w:pPr>
        <w:spacing w:after="0" w:line="102"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specific terms of any lock-up provisions with respect to any given offering will be described in the applicable prospectus supplement.</w:t>
      </w:r>
    </w:p>
    <w:p>
      <w:pPr>
        <w:spacing w:after="0" w:line="94"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Under the securities laws of various states, the securities offered under this prospectus may be sold in those states only through registered or licensed brokers or dealers. In addition, in various states the securities offered under this prospectus may not be offered and sold unless such securities have been registered or qualified for sale in the state or an exemption from such registration or qualification is available. We are not making an offer of securities in any state that does not permit such an offer.</w:t>
      </w: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will be passed upon for us by Covington &amp; Burling LLP, Washington, D.C. If legal matters are passed upon by counsel for the underwriters, dealers or agents, if any, such counsel will be named in the prospectus supplement relating to such offering.</w:t>
      </w:r>
    </w:p>
    <w:p>
      <w:pPr>
        <w:spacing w:after="0" w:line="17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19" w:firstLine="360"/>
        <w:spacing w:after="0" w:line="256" w:lineRule="auto"/>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auto"/>
          </w:rPr>
          <w:t xml:space="preserve">The financial statements incorporated in this prospectus by reference to the </w:t>
        </w:r>
        <w:r>
          <w:rPr>
            <w:rFonts w:ascii="Times New Roman" w:cs="Times New Roman" w:eastAsia="Times New Roman" w:hAnsi="Times New Roman"/>
            <w:sz w:val="18"/>
            <w:szCs w:val="18"/>
            <w:u w:val="single" w:color="auto"/>
            <w:color w:val="0000EE"/>
          </w:rPr>
          <w:t>Annual Report on Form 10-</w:t>
        </w:r>
      </w:hyperlink>
      <w:hyperlink r:id="rId125">
        <w:r>
          <w:rPr>
            <w:rFonts w:ascii="Times New Roman" w:cs="Times New Roman" w:eastAsia="Times New Roman" w:hAnsi="Times New Roman"/>
            <w:sz w:val="18"/>
            <w:szCs w:val="18"/>
            <w:u w:val="single" w:color="auto"/>
            <w:color w:val="0000EE"/>
          </w:rPr>
          <w:t>K for the year ended December 31,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have been so incorporated in reliance on the report (which contains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 explanatory paragraph relating to the Company’s incurrence of operating losses and negative cash flows from operations since inception as described in Note 1 to the financial statements)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53975</wp:posOffset>
            </wp:positionV>
            <wp:extent cx="52120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ind w:right="2299"/>
        <w:spacing w:after="0"/>
        <w:rPr>
          <w:sz w:val="20"/>
          <w:szCs w:val="20"/>
          <w:color w:val="auto"/>
        </w:rPr>
      </w:pPr>
      <w:r>
        <w:rPr>
          <w:rFonts w:ascii="Times New Roman" w:cs="Times New Roman" w:eastAsia="Times New Roman" w:hAnsi="Times New Roman"/>
          <w:sz w:val="22"/>
          <w:szCs w:val="22"/>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459105</wp:posOffset>
            </wp:positionV>
            <wp:extent cx="2468880" cy="4800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24688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560" w:right="3239" w:hanging="469"/>
        <w:spacing w:after="0" w:line="487" w:lineRule="auto"/>
        <w:tabs>
          <w:tab w:leader="none" w:pos="4206"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Shares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1329690</wp:posOffset>
            </wp:positionV>
            <wp:extent cx="12344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ectPr>
          <w:pgSz w:w="11900" w:h="16838" w:orient="portrait"/>
          <w:cols w:equalWidth="0" w:num="1">
            <w:col w:w="9879"/>
          </w:cols>
          <w:pgMar w:left="580" w:top="97" w:right="1440" w:bottom="1440" w:gutter="0" w:footer="0" w:header="0"/>
        </w:sectPr>
      </w:pP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9"/>
          <w:szCs w:val="29"/>
          <w:b w:val="1"/>
          <w:bCs w:val="1"/>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b w:val="1"/>
          <w:bCs w:val="1"/>
          <w:color w:val="auto"/>
        </w:rPr>
        <w:t>Barclays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BTIG</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Titan Partners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w:t>
      </w:r>
    </w:p>
    <w:p>
      <w:pPr>
        <w:spacing w:after="0" w:line="62" w:lineRule="exact"/>
        <w:rPr>
          <w:sz w:val="20"/>
          <w:szCs w:val="20"/>
          <w:color w:val="auto"/>
        </w:rPr>
      </w:pPr>
    </w:p>
    <w:p>
      <w:pPr>
        <w:sectPr>
          <w:pgSz w:w="11900" w:h="16838" w:orient="portrait"/>
          <w:cols w:equalWidth="0" w:num="7">
            <w:col w:w="1340" w:space="720"/>
            <w:col w:w="1500" w:space="720"/>
            <w:col w:w="80" w:space="600"/>
            <w:col w:w="700" w:space="680"/>
            <w:col w:w="60" w:space="640"/>
            <w:col w:w="1740" w:space="680"/>
            <w:col w:w="419"/>
          </w:cols>
          <w:pgMar w:left="580" w:top="97" w:right="1440" w:bottom="1440" w:gutter="0" w:footer="0" w:header="0"/>
          <w:type w:val="continuous"/>
        </w:sectPr>
      </w:pPr>
    </w:p>
    <w:p>
      <w:pPr>
        <w:ind w:left="6380"/>
        <w:spacing w:after="0"/>
        <w:rPr>
          <w:sz w:val="20"/>
          <w:szCs w:val="20"/>
          <w:color w:val="auto"/>
        </w:rPr>
      </w:pPr>
      <w:r>
        <w:rPr>
          <w:rFonts w:ascii="Times New Roman" w:cs="Times New Roman" w:eastAsia="Times New Roman" w:hAnsi="Times New Roman"/>
          <w:sz w:val="18"/>
          <w:szCs w:val="18"/>
          <w:i w:val="1"/>
          <w:iCs w:val="1"/>
          <w:color w:val="auto"/>
        </w:rPr>
        <w:t>a division of American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1296035</wp:posOffset>
            </wp:positionV>
            <wp:extent cx="52120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1)"/>
      <w:numFmt w:val="lowerLetter"/>
      <w:start w:val="1"/>
    </w:lvl>
  </w:abstractNum>
  <w:abstractNum w:abstractNumId="18">
    <w:nsid w:val="2D517796"/>
    <w:multiLevelType w:val="hybridMultilevel"/>
    <w:lvl w:ilvl="0">
      <w:lvlJc w:val="left"/>
      <w:lvlText w:val="%1."/>
      <w:numFmt w:val="upperLetter"/>
      <w:start w:val="1"/>
    </w:lvl>
  </w:abstractNum>
  <w:abstractNum w:abstractNumId="19">
    <w:nsid w:val="580BD78F"/>
    <w:multiLevelType w:val="hybridMultilevel"/>
    <w:lvl w:ilvl="0">
      <w:lvlJc w:val="left"/>
      <w:lvlText w:val="%1."/>
      <w:numFmt w:val="upperLetter"/>
      <w:start w:val="2"/>
    </w:lvl>
  </w:abstractNum>
  <w:abstractNum w:abstractNumId="20">
    <w:nsid w:val="153EA438"/>
    <w:multiLevelType w:val="hybridMultilevel"/>
    <w:lvl w:ilvl="0">
      <w:lvlJc w:val="left"/>
      <w:lvlText w:val="(%1)"/>
      <w:numFmt w:val="lowerLetter"/>
      <w:start w:val="1"/>
    </w:lvl>
  </w:abstractNum>
  <w:abstractNum w:abstractNumId="21">
    <w:nsid w:val="3855585C"/>
    <w:multiLevelType w:val="hybridMultilevel"/>
    <w:lvl w:ilvl="0">
      <w:lvlJc w:val="left"/>
      <w:lvlText w:val="%1."/>
      <w:numFmt w:val="upperLetter"/>
      <w:start w:val="1"/>
    </w:lvl>
  </w:abstractNum>
  <w:abstractNum w:abstractNumId="22">
    <w:nsid w:val="70A64E2A"/>
    <w:multiLevelType w:val="hybridMultilevel"/>
    <w:lvl w:ilvl="0">
      <w:lvlJc w:val="left"/>
      <w:lvlText w:val="%1."/>
      <w:numFmt w:val="upperLetter"/>
      <w:start w:val="1"/>
    </w:lvl>
  </w:abstractNum>
  <w:abstractNum w:abstractNumId="23">
    <w:nsid w:val="6A2342EC"/>
    <w:multiLevelType w:val="hybridMultilevel"/>
    <w:lvl w:ilvl="0">
      <w:lvlJc w:val="left"/>
      <w:lvlText w:val="(%1)"/>
      <w:numFmt w:val="lowerRoman"/>
      <w:start w:val="1"/>
    </w:lvl>
  </w:abstractNum>
  <w:abstractNum w:abstractNumId="24">
    <w:nsid w:val="2A487CB0"/>
    <w:multiLevelType w:val="hybridMultilevel"/>
    <w:lvl w:ilvl="0">
      <w:lvlJc w:val="left"/>
      <w:lvlText w:val="(%1)"/>
      <w:numFmt w:val="lowerRoman"/>
      <w:start w:val="2"/>
    </w:lvl>
  </w:abstractNum>
  <w:abstractNum w:abstractNumId="25">
    <w:nsid w:val="1D4ED43B"/>
    <w:multiLevelType w:val="hybridMultilevel"/>
    <w:lvl w:ilvl="0">
      <w:lvlJc w:val="left"/>
      <w:lvlText w:val="(%1)"/>
      <w:numFmt w:val="lowerRoman"/>
      <w:start w:val="3"/>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1)"/>
      <w:numFmt w:val="decimal"/>
      <w:start w:val="1"/>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1)"/>
      <w:numFmt w:val="decimal"/>
      <w:start w:val="2"/>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lvl w:ilvl="1">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jpe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jpe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31" Type="http://schemas.openxmlformats.org/officeDocument/2006/relationships/hyperlink" Target="https://www.sec.gov/Archives/edgar/data/1818382/000110465925089607/tm2525852-1_s3.htm" TargetMode="External"/><Relationship Id="rId65" Type="http://schemas.openxmlformats.org/officeDocument/2006/relationships/hyperlink" Target="https://www.sec.gov/ix?doc=/Archives/edgar/data/1818382/000181838226000004/huma-20251231.htm" TargetMode="External"/><Relationship Id="rId66" Type="http://schemas.openxmlformats.org/officeDocument/2006/relationships/hyperlink" Target="https://www.sec.gov/ix?doc=/Archives/edgar/data/1818382/000119312526187449/huma-20260428.htm" TargetMode="External"/><Relationship Id="rId67" Type="http://schemas.openxmlformats.org/officeDocument/2006/relationships/hyperlink" Target="https://www.sec.gov/ix?doc=/Archives/edgar/data/1818382/000119312526221755/huma-20260331.htm" TargetMode="External"/><Relationship Id="rId68" Type="http://schemas.openxmlformats.org/officeDocument/2006/relationships/hyperlink" Target="https://www.sec.gov/ix?doc=/Archives/edgar/data/1818382/000110465926048164/tm2612631d1_8k.htm" TargetMode="External"/><Relationship Id="rId69" Type="http://schemas.openxmlformats.org/officeDocument/2006/relationships/hyperlink" Target="https://www.sec.gov/ix?doc=/Archives/edgar/data/1818382/000110465926057974/tm2614071d1_8k.htm" TargetMode="External"/><Relationship Id="rId70" Type="http://schemas.openxmlformats.org/officeDocument/2006/relationships/hyperlink" Target="https://www.sec.gov/ix?doc=/Archives/edgar/data/1818382/000110465926071000/tm2616944d2_8k.htm" TargetMode="External"/><Relationship Id="rId71" Type="http://schemas.openxmlformats.org/officeDocument/2006/relationships/hyperlink" Target="https://www.sec.gov/ix?doc=/Archives/edgar/data/1818382/000110465926071862/tm2617355d1_8k.htm" TargetMode="External"/><Relationship Id="rId72" Type="http://schemas.openxmlformats.org/officeDocument/2006/relationships/hyperlink" Target="https://www.sec.gov/Archives/edgar/data/1818382/000181838224000040/huma-20231231x10kxexhibit46.htm" TargetMode="External"/><Relationship Id="rId92" Type="http://schemas.openxmlformats.org/officeDocument/2006/relationships/hyperlink" Target="http://www.sec.gov/ix?doc=/Archives/edgar/data/1818382/000181838225000034/huma-20241231.htm" TargetMode="External"/><Relationship Id="rId93" Type="http://schemas.openxmlformats.org/officeDocument/2006/relationships/hyperlink" Target="http://www.sec.gov/ix?doc=/Archives/edgar/data/1818382/000181838225000066/huma-20250428.htm" TargetMode="External"/><Relationship Id="rId94" Type="http://schemas.openxmlformats.org/officeDocument/2006/relationships/hyperlink" Target="http://www.sec.gov/ix?doc=/Archives/edgar/data/1818382/000181838225000076/huma-20250331.htm" TargetMode="External"/><Relationship Id="rId95" Type="http://schemas.openxmlformats.org/officeDocument/2006/relationships/hyperlink" Target="http://www.sec.gov/ix?doc=/Archives/edgar/data/1818382/000181838225000125/huma-20250630.htm" TargetMode="External"/><Relationship Id="rId96" Type="http://schemas.openxmlformats.org/officeDocument/2006/relationships/hyperlink" Target="http://www.sec.gov/ix?doc=/Archives/edgar/data/1818382/000181838225000080/huma-20250610.htm" TargetMode="External"/><Relationship Id="rId97" Type="http://schemas.openxmlformats.org/officeDocument/2006/relationships/hyperlink" Target="http://www.sec.gov/ix?doc=/Archives/edgar/data/1818382/000110465925090963/tm2526406d1_8k.htm" TargetMode="External"/><Relationship Id="rId98" Type="http://schemas.openxmlformats.org/officeDocument/2006/relationships/hyperlink" Target="https://www.sec.gov/ix?doc=/Archives/edgar/data/1818382/000181838224000040/huma-20231231.htm" TargetMode="External"/><Relationship Id="rId125" Type="http://schemas.openxmlformats.org/officeDocument/2006/relationships/hyperlink" Target="https://www.sec.gov/ix?doc=/Archives/edgar/data/1818382/000181838225000034/huma-2024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2026-06-10T15:54:51Z</dcterms:created>
  <dcterms:modified xsi:type="dcterms:W3CDTF">2026-06-10T15:54:51Z</dcterms:modified>
</cp:coreProperties>
</file>