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120" w:after="283"/>
        <w:jc w:val="center"/>
        <w:rPr/>
      </w:pPr>
      <w:r>
        <w:rPr>
          <w:rFonts w:ascii="Wingdings;sans-serif" w:hAnsi="Wingdings;sans-serif"/>
          <w:b w:val="false"/>
          <w:color w:val="000000"/>
          <w:sz w:val="16"/>
        </w:rPr>
        <w:t>x</w:t>
      </w:r>
      <w:r>
        <w:rPr>
          <w:color w:val="000000"/>
        </w:rPr>
        <w:t xml:space="preserve">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120" w:after="283"/>
        <w:jc w:val="center"/>
        <w:rPr/>
      </w:pPr>
      <w:r>
        <w:rPr>
          <w:rFonts w:ascii="Wingdings;sans-serif" w:hAnsi="Wingdings;sans-serif"/>
          <w:b/>
          <w:color w:val="000000"/>
          <w:sz w:val="16"/>
        </w:rPr>
        <w:t>o</w:t>
      </w:r>
      <w:r>
        <w:rPr>
          <w:color w:val="000000"/>
        </w:rPr>
        <w:t xml:space="preserve">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001-39532</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Humacyte,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tbl>
      <w:tblPr>
        <w:tblW w:w="5606" w:type="dxa"/>
        <w:jc w:val="center"/>
        <w:tblInd w:w="0" w:type="dxa"/>
        <w:tblLayout w:type="fixed"/>
        <w:tblCellMar>
          <w:top w:w="28" w:type="dxa"/>
          <w:left w:w="28" w:type="dxa"/>
          <w:bottom w:w="28" w:type="dxa"/>
          <w:right w:w="28" w:type="dxa"/>
        </w:tblCellMar>
      </w:tblPr>
      <w:tblGrid>
        <w:gridCol w:w="544"/>
        <w:gridCol w:w="476"/>
        <w:gridCol w:w="476"/>
        <w:gridCol w:w="476"/>
        <w:gridCol w:w="476"/>
        <w:gridCol w:w="488"/>
        <w:gridCol w:w="778"/>
        <w:gridCol w:w="778"/>
        <w:gridCol w:w="111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85-1763759</w:t>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(State or other jurisdiction of </w:t>
              <w:br/>
              <w:t>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2525 East North Carolina Highway 54</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Durham,</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NC</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27713</w:t>
            </w:r>
          </w:p>
        </w:tc>
      </w:tr>
      <w:tr>
        <w:trPr/>
        <w:tc>
          <w:tcPr>
            <w:tcW w:w="29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(919) 313-9633</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12(b) of the Act:</w:t>
      </w:r>
    </w:p>
    <w:tbl>
      <w:tblPr>
        <w:tblW w:w="10205" w:type="dxa"/>
        <w:jc w:val="left"/>
        <w:tblInd w:w="0" w:type="dxa"/>
        <w:tblLayout w:type="fixed"/>
        <w:tblCellMar>
          <w:top w:w="28" w:type="dxa"/>
          <w:left w:w="28" w:type="dxa"/>
          <w:bottom w:w="28" w:type="dxa"/>
          <w:right w:w="28" w:type="dxa"/>
        </w:tblCellMar>
      </w:tblPr>
      <w:tblGrid>
        <w:gridCol w:w="2255"/>
        <w:gridCol w:w="1807"/>
        <w:gridCol w:w="1832"/>
        <w:gridCol w:w="109"/>
        <w:gridCol w:w="109"/>
        <w:gridCol w:w="109"/>
        <w:gridCol w:w="426"/>
        <w:gridCol w:w="394"/>
        <w:gridCol w:w="396"/>
        <w:gridCol w:w="109"/>
        <w:gridCol w:w="109"/>
        <w:gridCol w:w="109"/>
        <w:gridCol w:w="713"/>
        <w:gridCol w:w="713"/>
        <w:gridCol w:w="1015"/>
      </w:tblGrid>
      <w:tr>
        <w:trPr/>
        <w:tc>
          <w:tcPr>
            <w:tcW w:w="2255"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58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Warrants, each whole warrant exercisable for one share of Common Stock at an exercise price of $11.50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05"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May 4, 2023, 103,329,171 shares of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73" w:type="dxa"/>
        <w:jc w:val="left"/>
        <w:tblInd w:w="0" w:type="dxa"/>
        <w:tblLayout w:type="fixed"/>
        <w:tblCellMar>
          <w:top w:w="28" w:type="dxa"/>
          <w:left w:w="28" w:type="dxa"/>
          <w:bottom w:w="28" w:type="dxa"/>
          <w:right w:w="28" w:type="dxa"/>
        </w:tblCellMar>
      </w:tblPr>
      <w:tblGrid>
        <w:gridCol w:w="293"/>
        <w:gridCol w:w="258"/>
        <w:gridCol w:w="259"/>
        <w:gridCol w:w="2453"/>
        <w:gridCol w:w="2453"/>
        <w:gridCol w:w="24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6">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6">
              <w:r>
                <w:rPr>
                  <w:rStyle w:val="InternetLink"/>
                  <w:rFonts w:ascii="Times New Roman;sans-serif" w:hAnsi="Times New Roman;sans-serif"/>
                  <w:b w:val="false"/>
                  <w:color w:val="0000FF"/>
                  <w:sz w:val="20"/>
                  <w:u w:val="single"/>
                </w:rPr>
                <w:t>Financial Statements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6">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9">
              <w:r>
                <w:rPr>
                  <w:rStyle w:val="InternetLink"/>
                  <w:rFonts w:ascii="Times New Roman;sans-serif" w:hAnsi="Times New Roman;sans-serif"/>
                  <w:b w:val="false"/>
                  <w:color w:val="0000FF"/>
                  <w:sz w:val="20"/>
                  <w:u w:val="single"/>
                </w:rPr>
                <w:t>Condensed Consolidated Balance Sheets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9">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22">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25">
              <w:r>
                <w:rPr>
                  <w:rStyle w:val="InternetLink"/>
                  <w:rFonts w:ascii="Times New Roman;sans-serif" w:hAnsi="Times New Roman;sans-serif"/>
                  <w:b w:val="false"/>
                  <w:color w:val="0000FF"/>
                  <w:sz w:val="20"/>
                  <w:u w:val="single"/>
                </w:rPr>
                <w:t>Condensed Consolidated Statements of Changes in Stockholders’ Equity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25">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28">
              <w:r>
                <w:rPr>
                  <w:rStyle w:val="InternetLink"/>
                  <w:rFonts w:ascii="Times New Roman;sans-serif" w:hAnsi="Times New Roman;sans-serif"/>
                  <w:b w:val="false"/>
                  <w:color w:val="0000FF"/>
                  <w:sz w:val="20"/>
                  <w:u w:val="single"/>
                </w:rPr>
                <w:t>Condensed Consolidated Statements of Cash Flows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28">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31">
              <w:r>
                <w:rPr>
                  <w:rStyle w:val="InternetLink"/>
                  <w:rFonts w:ascii="Times New Roman;sans-serif" w:hAnsi="Times New Roman;sans-serif"/>
                  <w:b w:val="false"/>
                  <w:color w:val="0000FF"/>
                  <w:sz w:val="20"/>
                  <w:u w:val="single"/>
                </w:rPr>
                <w:t>Notes to Condensed Consolidated Financial Statements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31">
              <w:r>
                <w:rPr>
                  <w:rStyle w:val="InternetLink"/>
                  <w:rFonts w:ascii="Times New Roman;sans-serif" w:hAnsi="Times New Roman;sans-serif"/>
                  <w:b w:val="false"/>
                  <w:strike w:val="false"/>
                  <w:dstrike w:val="false"/>
                  <w:color w:val="000000"/>
                  <w:sz w:val="20"/>
                  <w:u w:val="none"/>
                  <w:effect w:val="none"/>
                </w:rPr>
                <w:t>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79">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79">
              <w:r>
                <w:rPr>
                  <w:rStyle w:val="InternetLink"/>
                  <w:rFonts w:ascii="Times New Roman;sans-serif" w:hAnsi="Times New Roman;sans-serif"/>
                  <w:b w:val="false"/>
                  <w:strike w:val="false"/>
                  <w:dstrike w:val="false"/>
                  <w:color w:val="000000"/>
                  <w:sz w:val="20"/>
                  <w:u w:val="none"/>
                  <w:effect w:val="none"/>
                </w:rPr>
                <w:t>29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06">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06">
              <w:r>
                <w:rPr>
                  <w:rStyle w:val="InternetLink"/>
                  <w:rFonts w:ascii="Times New Roman;sans-serif" w:hAnsi="Times New Roman;sans-serif"/>
                  <w:b w:val="false"/>
                  <w:color w:val="0000FF"/>
                  <w:sz w:val="20"/>
                  <w:u w:val="single"/>
                </w:rPr>
                <w:t>Quantitative and Qualitative Disclosures About Market Risk</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06">
              <w:r>
                <w:rPr>
                  <w:rStyle w:val="InternetLink"/>
                  <w:rFonts w:ascii="Times New Roman;sans-serif" w:hAnsi="Times New Roman;sans-serif"/>
                  <w:b w:val="false"/>
                  <w:strike w:val="false"/>
                  <w:dstrike w:val="false"/>
                  <w:color w:val="000000"/>
                  <w:sz w:val="20"/>
                  <w:u w:val="none"/>
                  <w:effect w:val="none"/>
                </w:rPr>
                <w:t>38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09">
              <w:r>
                <w:rPr>
                  <w:rStyle w:val="InternetLink"/>
                  <w:rFonts w:ascii="Times New Roman;sans-serif" w:hAnsi="Times New Roman;sans-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09">
              <w:r>
                <w:rPr>
                  <w:rStyle w:val="InternetLink"/>
                  <w:rFonts w:ascii="Times New Roman;sans-serif" w:hAnsi="Times New Roman;sans-serif"/>
                  <w:b w:val="false"/>
                  <w:color w:val="0000FF"/>
                  <w:sz w:val="20"/>
                  <w:u w:val="single"/>
                </w:rPr>
                <w:t>Controls and Procedures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09">
              <w:r>
                <w:rPr>
                  <w:rStyle w:val="InternetLink"/>
                  <w:rFonts w:ascii="Times New Roman;sans-serif" w:hAnsi="Times New Roman;sans-serif"/>
                  <w:b w:val="false"/>
                  <w:strike w:val="false"/>
                  <w:dstrike w:val="false"/>
                  <w:color w:val="000000"/>
                  <w:sz w:val="20"/>
                  <w:u w:val="none"/>
                  <w:effect w:val="none"/>
                </w:rPr>
                <w:t>39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12">
              <w:r>
                <w:rPr>
                  <w:rStyle w:val="InternetLink"/>
                  <w:rFonts w:ascii="Times New Roman;sans-serif" w:hAnsi="Times New Roman;sans-serif"/>
                  <w:b/>
                  <w:strike w:val="false"/>
                  <w:dstrike w:val="false"/>
                  <w:color w:val="000000"/>
                  <w:sz w:val="20"/>
                  <w:u w:val="none"/>
                  <w:effect w:val="none"/>
                </w:rPr>
                <w:t>PART II – OTHER INFORMATION</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15">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15">
              <w:r>
                <w:rPr>
                  <w:rStyle w:val="InternetLink"/>
                  <w:rFonts w:ascii="Times New Roman;sans-serif" w:hAnsi="Times New Roman;sans-serif"/>
                  <w:b w:val="false"/>
                  <w:color w:val="0000FF"/>
                  <w:sz w:val="20"/>
                  <w:u w:val="single"/>
                </w:rPr>
                <w:t>Legal Proceedings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15">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18">
              <w:r>
                <w:rPr>
                  <w:rStyle w:val="InternetLink"/>
                  <w:rFonts w:ascii="Times New Roman;sans-serif" w:hAnsi="Times New Roman;sans-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18">
              <w:r>
                <w:rPr>
                  <w:rStyle w:val="InternetLink"/>
                  <w:rFonts w:ascii="Times New Roman;sans-serif" w:hAnsi="Times New Roman;sans-serif"/>
                  <w:b w:val="false"/>
                  <w:color w:val="0000FF"/>
                  <w:sz w:val="20"/>
                  <w:u w:val="single"/>
                </w:rPr>
                <w:t>Risk Factors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18">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1">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1">
              <w:r>
                <w:rPr>
                  <w:rStyle w:val="InternetLink"/>
                  <w:rFonts w:ascii="Times New Roman;sans-serif" w:hAnsi="Times New Roman;sans-serif"/>
                  <w:b w:val="false"/>
                  <w:color w:val="0000FF"/>
                  <w:sz w:val="20"/>
                  <w:u w:val="single"/>
                </w:rPr>
                <w:t>Unregistered Sales of Equity Securities and Use of Proceeds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21">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4">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4">
              <w:r>
                <w:rPr>
                  <w:rStyle w:val="InternetLink"/>
                  <w:rFonts w:ascii="Times New Roman;sans-serif" w:hAnsi="Times New Roman;sans-serif"/>
                  <w:b w:val="false"/>
                  <w:color w:val="0000FF"/>
                  <w:sz w:val="20"/>
                  <w:u w:val="single"/>
                </w:rPr>
                <w:t>Defaults Upon Senior Securities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24">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7">
              <w:r>
                <w:rPr>
                  <w:rStyle w:val="InternetLink"/>
                  <w:rFonts w:ascii="Times New Roman;sans-serif" w:hAnsi="Times New Roman;sans-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27">
              <w:r>
                <w:rPr>
                  <w:rStyle w:val="InternetLink"/>
                  <w:rFonts w:ascii="Times New Roman;sans-serif" w:hAnsi="Times New Roman;sans-serif"/>
                  <w:b w:val="false"/>
                  <w:color w:val="0000FF"/>
                  <w:sz w:val="20"/>
                  <w:u w:val="single"/>
                </w:rPr>
                <w:t>Mine Safety Disclosures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0">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0">
              <w:r>
                <w:rPr>
                  <w:rStyle w:val="InternetLink"/>
                  <w:rFonts w:ascii="Times New Roman;sans-serif" w:hAnsi="Times New Roman;sans-serif"/>
                  <w:b w:val="false"/>
                  <w:color w:val="0000FF"/>
                  <w:sz w:val="20"/>
                  <w:u w:val="single"/>
                </w:rPr>
                <w:t>Other Information</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30">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3">
              <w:r>
                <w:rPr>
                  <w:rStyle w:val="InternetLink"/>
                  <w:rFonts w:ascii="Times New Roman;sans-serif" w:hAnsi="Times New Roman;sans-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3">
              <w:r>
                <w:rPr>
                  <w:rStyle w:val="InternetLink"/>
                  <w:rFonts w:ascii="Times New Roman;sans-serif" w:hAnsi="Times New Roman;sans-serif"/>
                  <w:b w:val="false"/>
                  <w:color w:val="0000FF"/>
                  <w:sz w:val="20"/>
                  <w:u w:val="single"/>
                </w:rPr>
                <w:t>Exhibits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33">
              <w:r>
                <w:rPr>
                  <w:rStyle w:val="InternetLink"/>
                  <w:rFonts w:ascii="Times New Roman;sans-serif" w:hAnsi="Times New Roman;sans-serif"/>
                  <w:b w:val="false"/>
                  <w:strike w:val="false"/>
                  <w:dstrike w:val="false"/>
                  <w:color w:val="000000"/>
                  <w:sz w:val="20"/>
                  <w:u w:val="none"/>
                  <w:effect w:val="none"/>
                </w:rPr>
                <w:t>42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e8aa42e648439b0ce0241fe6411b_136">
              <w:r>
                <w:rPr>
                  <w:rStyle w:val="InternetLink"/>
                  <w:rFonts w:ascii="Times New Roman;sans-serif" w:hAnsi="Times New Roman;sans-serif"/>
                  <w:b/>
                  <w:color w:val="0000FF"/>
                  <w:sz w:val="20"/>
                  <w:u w:val="single"/>
                </w:rPr>
                <w:t>SIGNATURES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a3e8aa42e648439b0ce0241fe6411b_136">
              <w:r>
                <w:rPr>
                  <w:rStyle w:val="InternetLink"/>
                  <w:rFonts w:ascii="Times New Roman;sans-serif" w:hAnsi="Times New Roman;sans-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include, for example,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execute product development, process development and preclinical development efforts successfully and on our anticipated timelines;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obtain marketing approval from the U.S. Food and Drug Administration (“FDA”) and other regulatory authorities, including the European Medicines Agency, for our bioengineered human acellular vessels (“HAVs”) and other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design, initiate and successfully complete clinical trials and other studies for our product candidates and our plans and expectations regarding our ongoing or planned clinical trials, including for our ongoing V005 Phase 2/3 clinical trial and V007 Phase 3 clinical trial;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our ongoing discussions with the FDA concerning the design of our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anticipated growth rate and market opportunities;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liquidity and trading of our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raise additional capital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use our proprietary scientific technology platform to build a pipeline of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characteristics and performance of our HAVs;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commercialize our HAVs and other product candidates, if approved by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expected size of the target populations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anticipated benefits of our HAVs relative to existing alternatives;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assessment of the competitive landscape;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degree of market acceptance of HAVs, if approved, and the availability of third-party coverage and reimbursement;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manufacture HAVs and other product candidates in sufficient quantities to satisfy our clinical trial and commercial needs;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strategic partnership with Fresenius Medical Care Holdings, Inc. (“Fresenius Medical Care”) to sell, market and distribute our 6 millimeter HAV for certain specified indications and in specified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performance of other third parties on which we rely, including our third-party manufacturers, our licensors, our suppliers and the organizations conducting our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the confidentiality of our trade secrets, particularly with respect to our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compliance with applicable laws and regulatory requirements, including FDA regulations, healthcare laws and regulations, and anti-corruption 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retain and motivate qualified personnel and to manage our growth effectively;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future financial performance and capital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implement and maintain effective internal controls;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overall global economy and increasing interest rates and inflation on our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2022, which we filed with the SEC on March 24, 2023.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3078"/>
        <w:gridCol w:w="2320"/>
        <w:gridCol w:w="2306"/>
        <w:gridCol w:w="196"/>
        <w:gridCol w:w="751"/>
        <w:gridCol w:w="109"/>
        <w:gridCol w:w="109"/>
        <w:gridCol w:w="109"/>
        <w:gridCol w:w="109"/>
        <w:gridCol w:w="198"/>
        <w:gridCol w:w="762"/>
        <w:gridCol w:w="158"/>
      </w:tblGrid>
      <w:tr>
        <w:trPr/>
        <w:tc>
          <w:tcPr>
            <w:tcW w:w="3078"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204,302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SVB loan payable,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SVB loan payable, net of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net of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 net of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warrant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101,089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87,374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10)</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20,000,000 shares designated as of March 31, 2023 and December 31, 2022; 0 shares issued and outstanding as of March 31, 2023 and December 31,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250,000,000 shares authorized as of March 31, 2023 and December 31, 2022; 103,329,171 and 103,229,013 shares issued and outstanding as of March 31,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(426,538)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204,302</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2526"/>
        <w:gridCol w:w="1890"/>
        <w:gridCol w:w="1897"/>
        <w:gridCol w:w="109"/>
        <w:gridCol w:w="109"/>
        <w:gridCol w:w="156"/>
        <w:gridCol w:w="156"/>
        <w:gridCol w:w="389"/>
        <w:gridCol w:w="1145"/>
        <w:gridCol w:w="156"/>
        <w:gridCol w:w="109"/>
        <w:gridCol w:w="109"/>
        <w:gridCol w:w="109"/>
        <w:gridCol w:w="264"/>
        <w:gridCol w:w="922"/>
        <w:gridCol w:w="159"/>
      </w:tblGrid>
      <w:tr>
        <w:trPr/>
        <w:tc>
          <w:tcPr>
            <w:tcW w:w="252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Three Months Ended March 31,</w:t>
            </w:r>
          </w:p>
        </w:tc>
        <w:tc>
          <w:tcPr>
            <w:tcW w:w="1672" w:type="dxa"/>
            <w:gridSpan w:val="6"/>
            <w:tcBorders/>
          </w:tcPr>
          <w:p>
            <w:pPr>
              <w:pStyle w:val="TableContents"/>
              <w:bidi w:val="0"/>
              <w:spacing w:before="0" w:after="283"/>
              <w:jc w:val="left"/>
              <w:rPr>
                <w:sz w:val="4"/>
                <w:szCs w:val="4"/>
              </w:rPr>
            </w:pPr>
            <w:r>
              <w:rPr>
                <w:sz w:val="4"/>
                <w:szCs w:val="4"/>
              </w:rPr>
            </w:r>
          </w:p>
        </w:tc>
      </w:tr>
      <w:tr>
        <w:trPr/>
        <w:tc>
          <w:tcPr>
            <w:tcW w:w="6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(22,512)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(21,763)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computing net loss per share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103,263,528 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103,004,088 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3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amounts)</w:t>
      </w:r>
    </w:p>
    <w:p>
      <w:pPr>
        <w:pStyle w:val="TextBody"/>
        <w:bidi w:val="0"/>
        <w:spacing w:before="200" w:after="283"/>
        <w:jc w:val="center"/>
        <w:rPr/>
      </w:pPr>
      <w:r>
        <w:rPr/>
      </w:r>
    </w:p>
    <w:tbl>
      <w:tblPr>
        <w:tblW w:w="10205" w:type="dxa"/>
        <w:jc w:val="left"/>
        <w:tblInd w:w="0" w:type="dxa"/>
        <w:tblLayout w:type="fixed"/>
        <w:tblCellMar>
          <w:top w:w="28" w:type="dxa"/>
          <w:left w:w="28" w:type="dxa"/>
          <w:bottom w:w="28" w:type="dxa"/>
          <w:right w:w="28" w:type="dxa"/>
        </w:tblCellMar>
      </w:tblPr>
      <w:tblGrid>
        <w:gridCol w:w="1104"/>
        <w:gridCol w:w="972"/>
        <w:gridCol w:w="974"/>
        <w:gridCol w:w="533"/>
        <w:gridCol w:w="533"/>
        <w:gridCol w:w="210"/>
        <w:gridCol w:w="109"/>
        <w:gridCol w:w="109"/>
        <w:gridCol w:w="109"/>
        <w:gridCol w:w="208"/>
        <w:gridCol w:w="367"/>
        <w:gridCol w:w="116"/>
        <w:gridCol w:w="109"/>
        <w:gridCol w:w="109"/>
        <w:gridCol w:w="109"/>
        <w:gridCol w:w="223"/>
        <w:gridCol w:w="859"/>
        <w:gridCol w:w="124"/>
        <w:gridCol w:w="109"/>
        <w:gridCol w:w="109"/>
        <w:gridCol w:w="109"/>
        <w:gridCol w:w="196"/>
        <w:gridCol w:w="808"/>
        <w:gridCol w:w="109"/>
        <w:gridCol w:w="109"/>
        <w:gridCol w:w="109"/>
        <w:gridCol w:w="109"/>
        <w:gridCol w:w="276"/>
        <w:gridCol w:w="1062"/>
        <w:gridCol w:w="223"/>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103,229,013</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543,456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(426,538)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116,928</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103,329,171</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545,384</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(463,507)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81,887</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12"/>
        <w:gridCol w:w="973"/>
        <w:gridCol w:w="977"/>
        <w:gridCol w:w="533"/>
        <w:gridCol w:w="533"/>
        <w:gridCol w:w="196"/>
        <w:gridCol w:w="109"/>
        <w:gridCol w:w="109"/>
        <w:gridCol w:w="109"/>
        <w:gridCol w:w="208"/>
        <w:gridCol w:w="367"/>
        <w:gridCol w:w="116"/>
        <w:gridCol w:w="109"/>
        <w:gridCol w:w="109"/>
        <w:gridCol w:w="109"/>
        <w:gridCol w:w="223"/>
        <w:gridCol w:w="860"/>
        <w:gridCol w:w="124"/>
        <w:gridCol w:w="109"/>
        <w:gridCol w:w="109"/>
        <w:gridCol w:w="109"/>
        <w:gridCol w:w="196"/>
        <w:gridCol w:w="808"/>
        <w:gridCol w:w="109"/>
        <w:gridCol w:w="109"/>
        <w:gridCol w:w="109"/>
        <w:gridCol w:w="109"/>
        <w:gridCol w:w="277"/>
        <w:gridCol w:w="1063"/>
        <w:gridCol w:w="222"/>
      </w:tblGrid>
      <w:tr>
        <w:trPr/>
        <w:tc>
          <w:tcPr>
            <w:tcW w:w="111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103,003,646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536,737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(414,573)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122,174</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103,004,572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538,285</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(434,405)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103,890</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109" w:type="dxa"/>
        <w:jc w:val="left"/>
        <w:tblInd w:w="0" w:type="dxa"/>
        <w:tblLayout w:type="fixed"/>
        <w:tblCellMar>
          <w:top w:w="28" w:type="dxa"/>
          <w:left w:w="28" w:type="dxa"/>
          <w:bottom w:w="28" w:type="dxa"/>
          <w:right w:w="28" w:type="dxa"/>
        </w:tblCellMar>
      </w:tblPr>
      <w:tblGrid>
        <w:gridCol w:w="2032"/>
        <w:gridCol w:w="1786"/>
        <w:gridCol w:w="1792"/>
        <w:gridCol w:w="197"/>
        <w:gridCol w:w="757"/>
        <w:gridCol w:w="109"/>
        <w:gridCol w:w="109"/>
        <w:gridCol w:w="109"/>
        <w:gridCol w:w="109"/>
        <w:gridCol w:w="197"/>
        <w:gridCol w:w="757"/>
        <w:gridCol w:w="155"/>
      </w:tblGrid>
      <w:tr>
        <w:trPr/>
        <w:tc>
          <w:tcPr>
            <w:tcW w:w="203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Three Months Ended March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 Liability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common stock warrant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SVB debt discount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flows from financing activities </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the exercise of stock options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of finance lease principal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used in financing activities </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decrease in cash and cash equivalents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at the beginning of the period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and cash equivalents at the end of the period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129,570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198,222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Supplemental disclosure </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paid for interest on SVB loan </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in accounts payable and accrued expenses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Unpaid liabilities assumed in connection with Merger</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Humacyte, Inc. and subsidiary (unless the context indicates otherwise, collectively,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regenerative medicine technology platform to develop proprietary product candidates for use in the treatment of diseases and conditions across a range of anatomic locations in multiple therapeutic areas.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On August 26, 2021 (the </w:t>
      </w:r>
      <w:r>
        <w:rPr>
          <w:color w:val="000000"/>
        </w:rPr>
        <w:t>“</w:t>
      </w:r>
      <w:r>
        <w:rPr>
          <w:rFonts w:ascii="Times New Roman;sans-serif" w:hAnsi="Times New Roman;sans-serif"/>
          <w:b w:val="false"/>
          <w:color w:val="000000"/>
          <w:sz w:val="20"/>
        </w:rPr>
        <w:t>Closing Date</w:t>
      </w:r>
      <w:r>
        <w:rPr>
          <w:color w:val="000000"/>
        </w:rPr>
        <w:t>”</w:t>
      </w:r>
      <w:r>
        <w:rPr>
          <w:rFonts w:ascii="Times New Roman;sans-serif" w:hAnsi="Times New Roman;sans-serif"/>
          <w:b w:val="false"/>
          <w:color w:val="000000"/>
          <w:sz w:val="20"/>
        </w:rPr>
        <w:t>), Alpha Healthcare Acquisition Corp. (</w:t>
      </w:r>
      <w:r>
        <w:rPr>
          <w:color w:val="000000"/>
        </w:rPr>
        <w:t>“</w:t>
      </w:r>
      <w:r>
        <w:rPr>
          <w:rFonts w:ascii="Times New Roman;sans-serif" w:hAnsi="Times New Roman;sans-serif"/>
          <w:b w:val="false"/>
          <w:color w:val="000000"/>
          <w:sz w:val="20"/>
        </w:rPr>
        <w:t>AHAC</w:t>
      </w:r>
      <w:r>
        <w:rPr>
          <w:color w:val="000000"/>
        </w:rPr>
        <w:t>”</w:t>
      </w:r>
      <w:r>
        <w:rPr>
          <w:rFonts w:ascii="Times New Roman;sans-serif" w:hAnsi="Times New Roman;sans-serif"/>
          <w:b w:val="false"/>
          <w:color w:val="000000"/>
          <w:sz w:val="20"/>
        </w:rPr>
        <w:t>) consummated a merger pursuant to a</w:t>
      </w:r>
      <w:r>
        <w:rPr>
          <w:color w:val="231F20"/>
        </w:rPr>
        <w:t xml:space="preserve"> </w:t>
      </w:r>
      <w:r>
        <w:rPr>
          <w:rFonts w:ascii="Times New Roman;sans-serif" w:hAnsi="Times New Roman;sans-serif"/>
          <w:b w:val="false"/>
          <w:color w:val="231F20"/>
          <w:sz w:val="20"/>
        </w:rPr>
        <w:t>Business Combination 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Merger Agreement, certain investors (the “PIPE Investors”) purchased an aggregate of 17,500,000 shares of the Company’s common stock, par value $0.0001 per share (“Common Stock” and such shares purchased by the PIPE Investors, the “PIPE Shares”) in a private placement for an aggregate purchase price of $175 million (the “PIPE Financing”). The Company received $242.4 million in proceeds from the Merger and related PIPE Financing, and incurred $3.9 million of transaction costs, consisting of banking, legal, and other professional fees.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March 31, 2023 and December 31, 2022, the Company had an accumulated deficit of $463.5 million and $426.5 million, respectively. The Company’s operating losses were $22.5 million and $21.8 million for the three months ended March 31, 2023 and 2022, respectively. Net cash flows used in operating activities were $18.6 million and $18.8 million during the three months ended March 31, 2023 and 2022, respectively. Substantially all of the Company</w:t>
      </w:r>
      <w:r>
        <w:rPr>
          <w:color w:val="000000"/>
        </w:rPr>
        <w:t>’</w:t>
      </w:r>
      <w:r>
        <w:rPr>
          <w:rFonts w:ascii="Times New Roman;sans-serif" w:hAnsi="Times New Roman;sans-serif"/>
          <w:b w:val="false"/>
          <w:color w:val="000000"/>
          <w:sz w:val="20"/>
        </w:rPr>
        <w:t>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cash and cash equivalents and short-term investments of $131.7 million. The Company believes its combined cash and cash equivalents and short-term investments on hand will be sufficient to fund operations, including clinical trial expenses and capital expenditure requirements, for at least 12 months from the issuance date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has prepared the accompanying financial statements in conformity with U.S. GAAP. The Company</w:t>
      </w:r>
      <w:r>
        <w:rPr>
          <w:color w:val="000000"/>
        </w:rPr>
        <w:t>’</w:t>
      </w:r>
      <w:r>
        <w:rPr>
          <w:rFonts w:ascii="Times New Roman;sans-serif" w:hAnsi="Times New Roman;sans-serif"/>
          <w:b w:val="false"/>
          <w:color w:val="000000"/>
          <w:sz w:val="20"/>
        </w:rPr>
        <w:t>s condensed consolidated financial statements reflect the operations of the Company and its wholly owned subsidiaries. All intercompany accounts and transactions have been eliminated in consolidation.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Unaudited Interim Condensed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w:t>
      </w:r>
      <w:r>
        <w:rPr>
          <w:color w:val="000000"/>
        </w:rPr>
        <w:t>’</w:t>
      </w:r>
      <w:r>
        <w:rPr>
          <w:rFonts w:ascii="Times New Roman;sans-serif" w:hAnsi="Times New Roman;sans-serif"/>
          <w:b w:val="false"/>
          <w:color w:val="000000"/>
          <w:sz w:val="20"/>
        </w:rPr>
        <w:t>s opinion, include all adjustments, consisting of only normal recurring adjustments, necessary for the fair statement of the Company</w:t>
      </w:r>
      <w:r>
        <w:rPr>
          <w:color w:val="000000"/>
        </w:rPr>
        <w:t>’</w:t>
      </w:r>
      <w:r>
        <w:rPr>
          <w:rFonts w:ascii="Times New Roman;sans-serif" w:hAnsi="Times New Roman;sans-serif"/>
          <w:b w:val="false"/>
          <w:color w:val="000000"/>
          <w:sz w:val="20"/>
        </w:rPr>
        <w:t>s financial position as of March 31, 2023 and its results of operations for the three months ended March 31, 2023 and 2022, and cash flows for the three months ended March 31, 2023 and 2022. The results of operations for the three months ended March 31, 2023 are not necessarily indicative of the results to be expected for the year ended December 31, 2023 or any other period. The December 31, 2022 year-end condensed consolidated balance sheet was derived from audited annual financial statements but does not include all disclosures from the annual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2022 and the related notes included in the Company’s Annual Report on Form 10-K, filed with the SEC on March 24, 2023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2022 and 2021 included in the Company</w:t>
      </w:r>
      <w:r>
        <w:rPr>
          <w:color w:val="000000"/>
        </w:rPr>
        <w:t>’</w:t>
      </w:r>
      <w:r>
        <w:rPr>
          <w:rFonts w:ascii="Times New Roman;sans-serif" w:hAnsi="Times New Roman;sans-serif"/>
          <w:b w:val="false"/>
          <w:color w:val="000000"/>
          <w:sz w:val="20"/>
        </w:rPr>
        <w:t>s Annual Report.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200" w:after="283"/>
        <w:ind w:left="0" w:right="0" w:firstLine="480"/>
        <w:jc w:val="left"/>
        <w:rPr/>
      </w:pPr>
      <w:r>
        <w:rPr>
          <w:rFonts w:ascii="Times New Roman;sans-serif" w:hAnsi="Times New Roman;sans-serif"/>
          <w:b w:val="false"/>
          <w:color w:val="000000"/>
          <w:sz w:val="20"/>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w:t>
      </w:r>
      <w:r>
        <w:rPr>
          <w:color w:val="000000"/>
        </w:rPr>
        <w:t>’</w:t>
      </w:r>
      <w:r>
        <w:rPr>
          <w:rFonts w:ascii="Times New Roman;sans-serif" w:hAnsi="Times New Roman;sans-serif"/>
          <w:b w:val="false"/>
          <w:color w:val="000000"/>
          <w:sz w:val="20"/>
        </w:rPr>
        <w:t>s chief executive officer, who is the chief operating decision maker, reviews financial information on an aggregate basis for purposes of evaluating financial performance and allocating resources.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principally of cash and cash equivalents and short-term investments consisting of certificates of deposit (“CDs”). As of March 31, 2023 and December 31, 2022, there were no material cash balances in excess of balances insured by the Federal Deposit Insurance Corporation (“FDIC”). As of both March 31, 2023 and December 31, 2022, the Company had cash equivalents that are invested in highly rated money market funds that are invested only in obligations of the U.S. government and its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As of both </w:t>
      </w:r>
      <w:r>
        <w:rPr>
          <w:rFonts w:ascii="Times New Roman;sans-serif" w:hAnsi="Times New Roman;sans-serif"/>
          <w:b w:val="false"/>
          <w:color w:val="000000"/>
          <w:sz w:val="20"/>
        </w:rPr>
        <w:t>March 31, 2023 and</w:t>
      </w:r>
      <w:r>
        <w:rPr>
          <w:color w:val="231F20"/>
        </w:rPr>
        <w:t xml:space="preserve">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xml:space="preserve">, the Company had approximately </w:t>
      </w:r>
      <w:r>
        <w:rPr>
          <w:rFonts w:ascii="Times New Roman;sans-serif" w:hAnsi="Times New Roman;sans-serif"/>
          <w:b w:val="false"/>
          <w:color w:val="000000"/>
          <w:sz w:val="20"/>
        </w:rPr>
        <w:t>$10.1 million</w:t>
      </w:r>
      <w:r>
        <w:rPr>
          <w:color w:val="231F20"/>
        </w:rPr>
        <w:t xml:space="preserve"> </w:t>
      </w:r>
      <w:r>
        <w:rPr>
          <w:rFonts w:ascii="Times New Roman;sans-serif" w:hAnsi="Times New Roman;sans-serif"/>
          <w:b w:val="false"/>
          <w:color w:val="231F20"/>
          <w:sz w:val="20"/>
        </w:rPr>
        <w:t xml:space="preserve">in CDs. These cash deposits are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both </w:t>
      </w:r>
      <w:r>
        <w:rPr>
          <w:rFonts w:ascii="Times New Roman;sans-serif" w:hAnsi="Times New Roman;sans-serif"/>
          <w:b w:val="false"/>
          <w:color w:val="000000"/>
          <w:sz w:val="20"/>
        </w:rPr>
        <w:t>March 31, 2023 and December 31, 2022, t</w:t>
      </w:r>
      <w:r>
        <w:rPr>
          <w:rFonts w:ascii="Times New Roman;sans-serif" w:hAnsi="Times New Roman;sans-serif"/>
          <w:b w:val="false"/>
          <w:color w:val="231F20"/>
          <w:sz w:val="20"/>
        </w:rPr>
        <w:t xml:space="preserve">he Company classified </w:t>
      </w:r>
      <w:r>
        <w:rPr>
          <w:rFonts w:ascii="Times New Roman;sans-serif" w:hAnsi="Times New Roman;sans-serif"/>
          <w:b w:val="false"/>
          <w:color w:val="000000"/>
          <w:sz w:val="20"/>
        </w:rPr>
        <w:t>$8.0 million</w:t>
      </w:r>
      <w:r>
        <w:rPr>
          <w:color w:val="231F20"/>
        </w:rPr>
        <w:t xml:space="preserve"> </w:t>
      </w:r>
      <w:r>
        <w:rPr>
          <w:rFonts w:ascii="Times New Roman;sans-serif" w:hAnsi="Times New Roman;sans-serif"/>
          <w:b w:val="false"/>
          <w:color w:val="231F20"/>
          <w:sz w:val="20"/>
        </w:rPr>
        <w:t xml:space="preserve">of its CDs as cash and cash equivalents and </w:t>
      </w:r>
      <w:r>
        <w:rPr>
          <w:rFonts w:ascii="Times New Roman;sans-serif" w:hAnsi="Times New Roman;sans-serif"/>
          <w:b w:val="false"/>
          <w:color w:val="000000"/>
          <w:sz w:val="20"/>
        </w:rPr>
        <w:t>$2.1 million</w:t>
      </w:r>
      <w:r>
        <w:rPr>
          <w:color w:val="231F20"/>
        </w:rPr>
        <w:t xml:space="preserve"> </w:t>
      </w:r>
      <w:r>
        <w:rPr>
          <w:rFonts w:ascii="Times New Roman;sans-serif" w:hAnsi="Times New Roman;sans-serif"/>
          <w:b w:val="false"/>
          <w:color w:val="231F20"/>
          <w:sz w:val="20"/>
        </w:rPr>
        <w:t>of its CDs as short-term investments on its condensed consolidated balance sheets.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three months ended March 31, 2023 and 2022, basic and diluted net loss per share is the same for each period.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shares of Common Stock were excluded from the computation of diluted net loss per share for each period because including them would have had an antidilutive effect. All share amounts presented in the table below represent the total number outstanding as of the end of each period.</w:t>
      </w:r>
    </w:p>
    <w:tbl>
      <w:tblPr>
        <w:tblW w:w="7265" w:type="dxa"/>
        <w:jc w:val="left"/>
        <w:tblInd w:w="0" w:type="dxa"/>
        <w:tblLayout w:type="fixed"/>
        <w:tblCellMar>
          <w:top w:w="28" w:type="dxa"/>
          <w:left w:w="28" w:type="dxa"/>
          <w:bottom w:w="28" w:type="dxa"/>
          <w:right w:w="28" w:type="dxa"/>
        </w:tblCellMar>
      </w:tblPr>
      <w:tblGrid>
        <w:gridCol w:w="1131"/>
        <w:gridCol w:w="992"/>
        <w:gridCol w:w="996"/>
        <w:gridCol w:w="109"/>
        <w:gridCol w:w="479"/>
        <w:gridCol w:w="479"/>
        <w:gridCol w:w="601"/>
        <w:gridCol w:w="479"/>
        <w:gridCol w:w="483"/>
        <w:gridCol w:w="109"/>
        <w:gridCol w:w="109"/>
        <w:gridCol w:w="109"/>
        <w:gridCol w:w="488"/>
        <w:gridCol w:w="488"/>
        <w:gridCol w:w="213"/>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6" w:type="dxa"/>
            <w:gridSpan w:val="6"/>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under stock plan</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7,174,560 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15,000,000 Contingent Earnout Shares, as defined in Note 7, are excluded from the anti-dilutive table for all periods presented, as such shares are contingently issuable until the share price of the Company exceeds specified thresholds that have not yet been achieved, or upon the occurrence of a change in control.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Risks and Uncertainties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2/3 clinical trial and V007 Phase 3 clinical trial, the regulatory approval and commercialization of its HAVs and other product candidates,</w:t>
      </w:r>
      <w:r>
        <w:rPr>
          <w:color w:val="000000"/>
        </w:rPr>
        <w:t xml:space="preserve"> </w:t>
      </w:r>
      <w:r>
        <w:rPr>
          <w:rFonts w:ascii="Times New Roman;sans-serif" w:hAnsi="Times New Roman;sans-serif"/>
          <w:b w:val="false"/>
          <w:color w:val="000000"/>
          <w:sz w:val="20"/>
        </w:rPr>
        <w:t>the expected size of the target populations for the Company</w:t>
      </w:r>
      <w:r>
        <w:rPr>
          <w:color w:val="000000"/>
        </w:rPr>
        <w:t>’</w:t>
      </w:r>
      <w:r>
        <w:rPr>
          <w:rFonts w:ascii="Times New Roman;sans-serif" w:hAnsi="Times New Roman;sans-serif"/>
          <w:b w:val="false"/>
          <w:color w:val="000000"/>
          <w:sz w:val="20"/>
        </w:rPr>
        <w:t>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w:t>
      </w:r>
      <w:r>
        <w:rPr>
          <w:color w:val="000000"/>
        </w:rPr>
        <w:t>’</w:t>
      </w:r>
      <w:r>
        <w:rPr>
          <w:rFonts w:ascii="Times New Roman;sans-serif" w:hAnsi="Times New Roman;sans-serif"/>
          <w:b w:val="false"/>
          <w:color w:val="000000"/>
          <w:sz w:val="20"/>
        </w:rPr>
        <w:t>s strategic partnerships, dependence on third parties, key personnel and the ability to attract and retain qualified employees, protection of proprietary technology and confidentiality of trade secrets, compliance with governmental regulations, the Company</w:t>
      </w:r>
      <w:r>
        <w:rPr>
          <w:color w:val="000000"/>
        </w:rPr>
        <w:t>’</w:t>
      </w:r>
      <w:r>
        <w:rPr>
          <w:rFonts w:ascii="Times New Roman;sans-serif" w:hAnsi="Times New Roman;sans-serif"/>
          <w:b w:val="false"/>
          <w:color w:val="000000"/>
          <w:sz w:val="20"/>
        </w:rPr>
        <w:t>s implementation and maintenance of effective internal controls, and the ability to secure additional capital to fund operations and the commercial success of its product candidates.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w:t>
      </w:r>
      <w:r>
        <w:rPr>
          <w:color w:val="000000"/>
        </w:rPr>
        <w:t>’</w:t>
      </w:r>
      <w:r>
        <w:rPr>
          <w:rFonts w:ascii="Times New Roman;sans-serif" w:hAnsi="Times New Roman;sans-serif"/>
          <w:b w:val="false"/>
          <w:color w:val="000000"/>
          <w:sz w:val="20"/>
        </w:rPr>
        <w:t>s commercialization efforts are successful, it is uncertain when, if ever, the Company will realize significant revenue from product sales, and the Company may depend on certain strategic relationships to distribute its products, including the Company</w:t>
      </w:r>
      <w:r>
        <w:rPr>
          <w:color w:val="000000"/>
        </w:rPr>
        <w:t>’</w:t>
      </w:r>
      <w:r>
        <w:rPr>
          <w:rFonts w:ascii="Times New Roman;sans-serif" w:hAnsi="Times New Roman;sans-serif"/>
          <w:b w:val="false"/>
          <w:color w:val="000000"/>
          <w:sz w:val="20"/>
        </w:rPr>
        <w:t>s strategic partnership with Fresenius Medical Care, to sell, market and distribute its 6 millimeter HAV for certain specified indications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The Company did not adopt any new standards or updates issued by the Financial Accounting Standards Board (the “FASB”) during the three months ended March 31, 2023 that had a material impact on the Company’s condensed consolidated </w:t>
      </w:r>
      <w:r>
        <w:rPr>
          <w:rFonts w:ascii="Times New Roman;sans-serif" w:hAnsi="Times New Roman;sans-serif"/>
          <w:b w:val="false"/>
          <w:color w:val="000000"/>
          <w:sz w:val="20"/>
        </w:rPr>
        <w:t>financial statements and related disclosures.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reviewed all recently issued accounting pronouncements through March 31, 2023 and concluded that they were not applicable or not expected to have a material impact on the Company’s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Fair value is defined as the price that would be received to sell an asset or paid to transfer a liability in the principal or most advantageous market in an orderly transaction between market participants at the measurement date. Accounting Standards Codification (“ASC”) 820, </w:t>
      </w:r>
      <w:r>
        <w:rPr>
          <w:rFonts w:ascii="Times New Roman;sans-serif" w:hAnsi="Times New Roman;sans-serif"/>
          <w:b w:val="false"/>
          <w:i/>
          <w:color w:val="000000"/>
          <w:sz w:val="20"/>
        </w:rPr>
        <w:t>Fair Value Measurement and Disclosures</w:t>
      </w:r>
      <w:r>
        <w:rPr>
          <w:rFonts w:ascii="Times New Roman;sans-serif" w:hAnsi="Times New Roman;sans-serif"/>
          <w:b w:val="false"/>
          <w:color w:val="000000"/>
          <w:sz w:val="20"/>
        </w:rPr>
        <w:t>, establishes a hierarchy whereby inputs to valuation techniques used in measuring fair value are prioritized, or the fair value hierarchy. There are three levels to the fair value hierarchy based on reliability of inputs, as follows: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1 — Observable inputs that reflect unadjusted quoted prices for identical assets or liabilities in active markets.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3 — Unobservable inputs in which little or no market data exists, therefore requiring the Company to develop its own assumptions.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were measured at fair value on a recurring basis were as follows:</w:t>
      </w:r>
    </w:p>
    <w:tbl>
      <w:tblPr>
        <w:tblW w:w="9627" w:type="dxa"/>
        <w:jc w:val="left"/>
        <w:tblInd w:w="0" w:type="dxa"/>
        <w:tblLayout w:type="fixed"/>
        <w:tblCellMar>
          <w:top w:w="28" w:type="dxa"/>
          <w:left w:w="28" w:type="dxa"/>
          <w:bottom w:w="28" w:type="dxa"/>
          <w:right w:w="28" w:type="dxa"/>
        </w:tblCellMar>
      </w:tblPr>
      <w:tblGrid>
        <w:gridCol w:w="1411"/>
        <w:gridCol w:w="1241"/>
        <w:gridCol w:w="1248"/>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March 31, 2023</w:t>
            </w:r>
          </w:p>
        </w:tc>
      </w:tr>
      <w:tr>
        <w:trPr/>
        <w:tc>
          <w:tcPr>
            <w:tcW w:w="39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27" w:type="dxa"/>
        <w:jc w:val="left"/>
        <w:tblInd w:w="0" w:type="dxa"/>
        <w:tblLayout w:type="fixed"/>
        <w:tblCellMar>
          <w:top w:w="28" w:type="dxa"/>
          <w:left w:w="28" w:type="dxa"/>
          <w:bottom w:w="28" w:type="dxa"/>
          <w:right w:w="28" w:type="dxa"/>
        </w:tblCellMar>
      </w:tblPr>
      <w:tblGrid>
        <w:gridCol w:w="1411"/>
        <w:gridCol w:w="1241"/>
        <w:gridCol w:w="1248"/>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December 31, 2022</w:t>
            </w:r>
          </w:p>
        </w:tc>
      </w:tr>
      <w:tr>
        <w:trPr/>
        <w:tc>
          <w:tcPr>
            <w:tcW w:w="39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the changes in the fair value of the Company’s Level 3 financial instruments:</w:t>
      </w:r>
    </w:p>
    <w:tbl>
      <w:tblPr>
        <w:tblW w:w="9344" w:type="dxa"/>
        <w:jc w:val="left"/>
        <w:tblInd w:w="0" w:type="dxa"/>
        <w:tblLayout w:type="fixed"/>
        <w:tblCellMar>
          <w:top w:w="28" w:type="dxa"/>
          <w:left w:w="28" w:type="dxa"/>
          <w:bottom w:w="28" w:type="dxa"/>
          <w:right w:w="28" w:type="dxa"/>
        </w:tblCellMar>
      </w:tblPr>
      <w:tblGrid>
        <w:gridCol w:w="1819"/>
        <w:gridCol w:w="1599"/>
        <w:gridCol w:w="1607"/>
        <w:gridCol w:w="109"/>
        <w:gridCol w:w="109"/>
        <w:gridCol w:w="109"/>
        <w:gridCol w:w="196"/>
        <w:gridCol w:w="196"/>
        <w:gridCol w:w="379"/>
        <w:gridCol w:w="1432"/>
        <w:gridCol w:w="196"/>
        <w:gridCol w:w="109"/>
        <w:gridCol w:w="109"/>
        <w:gridCol w:w="109"/>
        <w:gridCol w:w="211"/>
        <w:gridCol w:w="90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Earnout Liability</w:t>
            </w:r>
          </w:p>
        </w:tc>
      </w:tr>
      <w:tr>
        <w:trPr/>
        <w:tc>
          <w:tcPr>
            <w:tcW w:w="502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93" w:type="dxa"/>
            <w:gridSpan w:val="6"/>
            <w:tcBorders/>
          </w:tcPr>
          <w:p>
            <w:pPr>
              <w:pStyle w:val="TableContents"/>
              <w:bidi w:val="0"/>
              <w:spacing w:before="0" w:after="283"/>
              <w:jc w:val="left"/>
              <w:rPr>
                <w:sz w:val="4"/>
                <w:szCs w:val="4"/>
              </w:rPr>
            </w:pPr>
            <w:r>
              <w:rPr>
                <w:sz w:val="4"/>
                <w:szCs w:val="4"/>
              </w:rPr>
            </w:r>
          </w:p>
        </w:tc>
      </w:tr>
      <w:tr>
        <w:trPr/>
        <w:tc>
          <w:tcPr>
            <w:tcW w:w="502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65" w:type="dxa"/>
        <w:jc w:val="left"/>
        <w:tblInd w:w="0" w:type="dxa"/>
        <w:tblLayout w:type="fixed"/>
        <w:tblCellMar>
          <w:top w:w="28" w:type="dxa"/>
          <w:left w:w="28" w:type="dxa"/>
          <w:bottom w:w="28" w:type="dxa"/>
          <w:right w:w="28" w:type="dxa"/>
        </w:tblCellMar>
      </w:tblPr>
      <w:tblGrid>
        <w:gridCol w:w="1819"/>
        <w:gridCol w:w="1599"/>
        <w:gridCol w:w="1607"/>
        <w:gridCol w:w="109"/>
        <w:gridCol w:w="109"/>
        <w:gridCol w:w="109"/>
        <w:gridCol w:w="230"/>
        <w:gridCol w:w="230"/>
        <w:gridCol w:w="475"/>
        <w:gridCol w:w="1219"/>
        <w:gridCol w:w="245"/>
        <w:gridCol w:w="116"/>
        <w:gridCol w:w="116"/>
        <w:gridCol w:w="116"/>
        <w:gridCol w:w="225"/>
        <w:gridCol w:w="577"/>
        <w:gridCol w:w="16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Placement Warrants</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14"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Earnout Liability and Private Placement Warrants (as defined in Note 7 — Stockholders’ Equity) liability are based on significant unobservable inputs, which represent Level 3 measurements within the fair value hierarchy.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7 — Stockholders’ Equity). Contingent earnout payments involve certain assumptions requiring significant judgment and actual results can differ from assumed and estimated amounts.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7 —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are classified within Level 1 of the fair value hierarchy because they are valued using quoted market prices. Certificates of deposit are carried at amortized cost in the Company’s condensed consolidated balance sheets, which approximates their fair value based on Level 2 inputs. The carrying values of other receivables, accounts payable and accrued expenses as of March 31, 2023 and December 31, 2022 approximated their fair values due to the short-term nature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6223" w:type="dxa"/>
        <w:jc w:val="left"/>
        <w:tblInd w:w="0" w:type="dxa"/>
        <w:tblLayout w:type="fixed"/>
        <w:tblCellMar>
          <w:top w:w="28" w:type="dxa"/>
          <w:left w:w="28" w:type="dxa"/>
          <w:bottom w:w="28" w:type="dxa"/>
          <w:right w:w="28" w:type="dxa"/>
        </w:tblCellMar>
      </w:tblPr>
      <w:tblGrid>
        <w:gridCol w:w="1225"/>
        <w:gridCol w:w="1077"/>
        <w:gridCol w:w="1087"/>
        <w:gridCol w:w="109"/>
        <w:gridCol w:w="109"/>
        <w:gridCol w:w="109"/>
        <w:gridCol w:w="211"/>
        <w:gridCol w:w="721"/>
        <w:gridCol w:w="109"/>
        <w:gridCol w:w="109"/>
        <w:gridCol w:w="109"/>
        <w:gridCol w:w="109"/>
        <w:gridCol w:w="221"/>
        <w:gridCol w:w="757"/>
        <w:gridCol w:w="161"/>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Scientific and manufacturing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pPr>
      <w:r>
        <w:rPr>
          <w:rFonts w:ascii="Times New Roman;sans-serif" w:hAnsi="Times New Roman;sans-serif"/>
          <w:b w:val="false"/>
          <w:color w:val="000000"/>
          <w:sz w:val="20"/>
        </w:rPr>
        <w:t>Depreciation expense totaled $1.6 million and $1.5 million for the three months ended March 31, 2023 and 2022, respectively. All long-lived assets are maintained in the United</w:t>
      </w:r>
      <w:r>
        <w:rPr>
          <w:color w:val="000000"/>
        </w:rPr>
        <w:t xml:space="preserve"> </w:t>
      </w:r>
      <w:r>
        <w:rPr>
          <w:rFonts w:ascii="Times New Roman;sans-serif" w:hAnsi="Times New Roman;sans-serif"/>
          <w:b w:val="false"/>
          <w:color w:val="000000"/>
          <w:sz w:val="20"/>
        </w:rPr>
        <w:t>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Accrued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8114" w:type="dxa"/>
        <w:jc w:val="left"/>
        <w:tblInd w:w="0" w:type="dxa"/>
        <w:tblLayout w:type="fixed"/>
        <w:tblCellMar>
          <w:top w:w="28" w:type="dxa"/>
          <w:left w:w="28" w:type="dxa"/>
          <w:bottom w:w="28" w:type="dxa"/>
          <w:right w:w="28" w:type="dxa"/>
        </w:tblCellMar>
      </w:tblPr>
      <w:tblGrid>
        <w:gridCol w:w="1946"/>
        <w:gridCol w:w="1711"/>
        <w:gridCol w:w="1727"/>
        <w:gridCol w:w="109"/>
        <w:gridCol w:w="109"/>
        <w:gridCol w:w="109"/>
        <w:gridCol w:w="211"/>
        <w:gridCol w:w="616"/>
        <w:gridCol w:w="109"/>
        <w:gridCol w:w="109"/>
        <w:gridCol w:w="109"/>
        <w:gridCol w:w="109"/>
        <w:gridCol w:w="245"/>
        <w:gridCol w:w="716"/>
        <w:gridCol w:w="179"/>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external research, development and manufacturing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On March 30, 2021, the Company entered into a term loan agreement with Silicon Valley Bank (“SVB”) and SVB Innovation Credit Fund VIII, L.P., as amended in June 2021 and September 2021 (the “Loan Agreement”), which provides a term loan facility of up to $50.0 million with a maturity date of March 1, 2025. On March 10, 2023, SVB was closed by the California Department of Financial Protection and Innovation, and the Federal Deposit Insurance Corporation (the “FDIC”) was appointed as receiver.</w:t>
      </w:r>
      <w:r>
        <w:rPr>
          <w:color w:val="000000"/>
        </w:rPr>
        <w:t xml:space="preserve"> </w:t>
      </w:r>
      <w:r>
        <w:rPr>
          <w:rFonts w:ascii="Times New Roman;sans-serif" w:hAnsi="Times New Roman;sans-serif"/>
          <w:b w:val="false"/>
          <w:color w:val="000000"/>
          <w:sz w:val="20"/>
        </w:rPr>
        <w:t>On March 13, 2023, the FDIC announced that all of SVB’s deposits and substantially all of its assets had been transferred to a newly created, full-service, FDIC-operated bridge bank, Silicon Valley Bridge Bank, N.A. (“SVBB”).</w:t>
      </w:r>
      <w:r>
        <w:rPr>
          <w:color w:val="000000"/>
        </w:rPr>
        <w:t xml:space="preserve"> </w:t>
      </w:r>
      <w:r>
        <w:rPr>
          <w:rFonts w:ascii="Times New Roman;sans-serif" w:hAnsi="Times New Roman;sans-serif"/>
          <w:b w:val="false"/>
          <w:color w:val="000000"/>
          <w:sz w:val="20"/>
        </w:rPr>
        <w:t>SVBB assumed all loans that were previously held by SVB. On March 27, 2023, First-Citizens Bank &amp; Trust Company assumed all of SVBB’s customer deposits and certain other liabilities and acquired substantially all of SVBB’s loans and certain other assets from the FDIC, including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 xml:space="preserve">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March 31, 2023, the Company was in compliance with all covenants. The Company may use the proceeds of borrowings under the Loan Agreement as working capital and to fund its general business requirements.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The additional two subsequent $10.0 million term loan tranches were eligible to be drawn at the request of the Company during specified draw periods prior to May 15, 2023, the first tranche subject to submission by the Company of its first Biologics License Application (“BLA”) to the FDA for its HAV prior to March 31, 2023, and the second tranche subject to the first approval from the FDA of any BLA for the HAV prior to March 31, 2023 and the Company having borrowed the first remaining tranche. As of March 31, 2023, the two subsequent tranches are no longer eligible to be drawn.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Borrowings bear interest at the greater of 7.5% or the Wall Street Journal Prime Rate plus 4.25% (12.25% as of March 31, 2023). Interest only payments on the principal amount outstanding are due monthly beginning in the first month after the loan is dispersed. Under the level of borrowings outstanding at March 31, 2023, repayment of principal will begin in July 2023. The term loans may only be prepaid in full, and such prepayment requires 30 days</w:t>
      </w:r>
      <w:r>
        <w:rPr>
          <w:color w:val="000000"/>
        </w:rPr>
        <w:t xml:space="preserve">’ </w:t>
      </w:r>
      <w:r>
        <w:rPr>
          <w:rFonts w:ascii="Times New Roman;sans-serif" w:hAnsi="Times New Roman;sans-serif"/>
          <w:b w:val="false"/>
          <w:color w:val="000000"/>
          <w:sz w:val="20"/>
        </w:rPr>
        <w:t>advance notice and was subject initially to a prepayment fee of 3.00% that was decreased to 2.00% after March 30, 2022 (with a further decrease to 1.00% after March 30, 2023). The Company is not obligated to pay a prepayment fee if the Company makes a prepayment after March 30, 2024.</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connection with the Loan Agreement, the Company granted warrants to the lenders to purchase shares of Common Stock at an exercise price of $10.28 per share, of which 287,704 warrants were immediately exercisable. The warrants are classified within stockholders</w:t>
      </w:r>
      <w:r>
        <w:rPr>
          <w:color w:val="000000"/>
        </w:rPr>
        <w:t xml:space="preserve">’ </w:t>
      </w:r>
      <w:r>
        <w:rPr>
          <w:rFonts w:ascii="Times New Roman;sans-serif" w:hAnsi="Times New Roman;sans-serif"/>
          <w:b w:val="false"/>
          <w:color w:val="000000"/>
          <w:sz w:val="20"/>
        </w:rPr>
        <w:t>equity, as the settlement of the warrants is indexed to the Common Stock. The Company recognized the fair value of the warrants immediately exercisable within stockholders</w:t>
      </w:r>
      <w:r>
        <w:rPr>
          <w:color w:val="000000"/>
        </w:rPr>
        <w:t xml:space="preserve">’ </w:t>
      </w:r>
      <w:r>
        <w:rPr>
          <w:rFonts w:ascii="Times New Roman;sans-serif" w:hAnsi="Times New Roman;sans-serif"/>
          <w:b w:val="false"/>
          <w:color w:val="000000"/>
          <w:sz w:val="20"/>
        </w:rPr>
        <w:t>equity using a Black-Scholes valuation model at issuance.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Common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fair value of warrants ($3.3 million), a 5% final payment fee ($1.5 million) and debt issuance costs ($0.3 million) are being accreted to interest expense over the term of the loan using the effective interest method.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SVB loan payable and net discount or premium balances are as follows:</w:t>
      </w:r>
    </w:p>
    <w:tbl>
      <w:tblPr>
        <w:tblW w:w="8448" w:type="dxa"/>
        <w:jc w:val="left"/>
        <w:tblInd w:w="0" w:type="dxa"/>
        <w:tblLayout w:type="fixed"/>
        <w:tblCellMar>
          <w:top w:w="28" w:type="dxa"/>
          <w:left w:w="28" w:type="dxa"/>
          <w:bottom w:w="28" w:type="dxa"/>
          <w:right w:w="28" w:type="dxa"/>
        </w:tblCellMar>
      </w:tblPr>
      <w:tblGrid>
        <w:gridCol w:w="2546"/>
        <w:gridCol w:w="2240"/>
        <w:gridCol w:w="2249"/>
        <w:gridCol w:w="109"/>
        <w:gridCol w:w="109"/>
        <w:gridCol w:w="109"/>
        <w:gridCol w:w="211"/>
        <w:gridCol w:w="721"/>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7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SVB loan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payment amount of SVB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 associated with accretion of final payment and other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SVB loan payable,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SVB loan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SVB loan payable,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Future minimum payments of principal on the Company</w:t>
      </w:r>
      <w:r>
        <w:rPr>
          <w:color w:val="000000"/>
        </w:rPr>
        <w:t>’</w:t>
      </w:r>
      <w:r>
        <w:rPr>
          <w:rFonts w:ascii="Times New Roman;sans-serif" w:hAnsi="Times New Roman;sans-serif"/>
          <w:b w:val="false"/>
          <w:color w:val="000000"/>
          <w:sz w:val="20"/>
        </w:rPr>
        <w:t>s outstanding variable rate borrowings as of March 31, 2023 are as follows:</w:t>
      </w:r>
    </w:p>
    <w:tbl>
      <w:tblPr>
        <w:tblW w:w="3627"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250"/>
        <w:gridCol w:w="857"/>
        <w:gridCol w:w="183"/>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On May 12, 2023, Humacyte, Inc. and Humacyte Global, Inc. (“Global”) entered into a Revenue Interest Purchase Agreement (the “Purchase Agreement”) with two purchasers, both affiliates of Oberland Capital Management LLC (the “Purchasers”), and another affiliate of Oberland Capital Management LLC, as agent for the Purchasers. </w:t>
      </w:r>
      <w:r>
        <w:rPr>
          <w:rFonts w:ascii="Times New Roman;sans-serif" w:hAnsi="Times New Roman;sans-serif"/>
          <w:b w:val="false"/>
          <w:color w:val="000000"/>
          <w:sz w:val="20"/>
          <w:shd w:fill="FFFFFF" w:val="clear"/>
        </w:rPr>
        <w:t xml:space="preserve">Pursuant to the Purchase Agreement and subject to customary closing conditions, the Purchasers agreed to pay the Company an aggregate investment amount of up to $150.0 million (the “Investment Amount”). On </w:t>
      </w:r>
      <w:r>
        <w:rPr>
          <w:rFonts w:ascii="Times New Roman;sans-serif" w:hAnsi="Times New Roman;sans-serif"/>
          <w:b w:val="false"/>
          <w:color w:val="000000"/>
          <w:sz w:val="20"/>
        </w:rPr>
        <w:t>May 12, 2023</w:t>
      </w:r>
      <w:r>
        <w:rPr>
          <w:rFonts w:ascii="Times New Roman;sans-serif" w:hAnsi="Times New Roman;sans-serif"/>
          <w:b w:val="false"/>
          <w:color w:val="000000"/>
          <w:sz w:val="20"/>
          <w:shd w:fill="FFFFFF" w:val="clear"/>
        </w:rPr>
        <w:t>, $40.0 million less certain transaction expenses was funded to the Company, which was used to repay in full the Company’s existing obligations under the Loan Agreement. See Note 12 — Subsequent Events for additional information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7. 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of March 31, 2023, the Company</w:t>
      </w:r>
      <w:r>
        <w:rPr>
          <w:color w:val="000000"/>
        </w:rPr>
        <w:t>’</w:t>
      </w:r>
      <w:r>
        <w:rPr>
          <w:rFonts w:ascii="Times New Roman;sans-serif" w:hAnsi="Times New Roman;sans-serif"/>
          <w:b w:val="false"/>
          <w:color w:val="000000"/>
          <w:sz w:val="20"/>
        </w:rPr>
        <w:t>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of the capital stock of the Company entitled to vote and may require a separate class vote of the Common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holders of Common Stock are entitled to receive dividends from time to time as may be declared by the Company</w:t>
      </w:r>
      <w:r>
        <w:rPr>
          <w:color w:val="000000"/>
        </w:rPr>
        <w:t>’</w:t>
      </w:r>
      <w:r>
        <w:rPr>
          <w:rFonts w:ascii="Times New Roman;sans-serif" w:hAnsi="Times New Roman;sans-serif"/>
          <w:b w:val="false"/>
          <w:color w:val="000000"/>
          <w:sz w:val="20"/>
        </w:rPr>
        <w:t>s board of directors. Through March 31, 2023, no dividends have been declared.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held with respect to all matters voted on by the common stockholders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reorganization of the Company, after payment to any preferred stockholders of their liquidation preferences, holders of Common Stock are entitled to share ratably in all remaining assets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reserved Common Stock for future issuances as follows:</w:t>
      </w:r>
    </w:p>
    <w:tbl>
      <w:tblPr>
        <w:tblW w:w="6030" w:type="dxa"/>
        <w:jc w:val="left"/>
        <w:tblInd w:w="0" w:type="dxa"/>
        <w:tblLayout w:type="fixed"/>
        <w:tblCellMar>
          <w:top w:w="28" w:type="dxa"/>
          <w:left w:w="28" w:type="dxa"/>
          <w:bottom w:w="28" w:type="dxa"/>
          <w:right w:w="28" w:type="dxa"/>
        </w:tblCellMar>
      </w:tblPr>
      <w:tblGrid>
        <w:gridCol w:w="1658"/>
        <w:gridCol w:w="1454"/>
        <w:gridCol w:w="1462"/>
        <w:gridCol w:w="540"/>
        <w:gridCol w:w="541"/>
        <w:gridCol w:w="375"/>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Contingent Earnout Shares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under stock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7,174,560 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options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6,630,044 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1,030,033 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35,423,143 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Second Amended and Restated Certificate of Incorporation provides the Company</w:t>
      </w:r>
      <w:r>
        <w:rPr>
          <w:color w:val="000000"/>
        </w:rPr>
        <w:t>’</w:t>
      </w:r>
      <w:r>
        <w:rPr>
          <w:rFonts w:ascii="Times New Roman;sans-serif" w:hAnsi="Times New Roman;sans-serif"/>
          <w:b w:val="false"/>
          <w:color w:val="000000"/>
          <w:sz w:val="20"/>
        </w:rPr>
        <w:t>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March 31, 2023 and December 31, 2022.</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the following Common Stock warrants outstanding as of March 31, 2023 and December 31, 2022: </w:t>
      </w:r>
    </w:p>
    <w:tbl>
      <w:tblPr>
        <w:tblW w:w="6614" w:type="dxa"/>
        <w:jc w:val="left"/>
        <w:tblInd w:w="0" w:type="dxa"/>
        <w:tblLayout w:type="fixed"/>
        <w:tblCellMar>
          <w:top w:w="28" w:type="dxa"/>
          <w:left w:w="28" w:type="dxa"/>
          <w:bottom w:w="28" w:type="dxa"/>
          <w:right w:w="28" w:type="dxa"/>
        </w:tblCellMar>
      </w:tblPr>
      <w:tblGrid>
        <w:gridCol w:w="1323"/>
        <w:gridCol w:w="1164"/>
        <w:gridCol w:w="1172"/>
        <w:gridCol w:w="863"/>
        <w:gridCol w:w="863"/>
        <w:gridCol w:w="1229"/>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Warrants Outstanding</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Humacyte Common Stock Warrants</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411,006 </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177,500 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Warrants</w:t>
            </w:r>
          </w:p>
        </w:tc>
        <w:tc>
          <w:tcPr>
            <w:tcW w:w="17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ans-serif" w:hAnsi="Times New Roman;sans-serif"/>
          <w:b w:val="false"/>
          <w:color w:val="000000"/>
          <w:sz w:val="20"/>
        </w:rPr>
        <w:t>See Note 6 — Debt for a discussion of Common Stock warrants issued in conjunction with the Company</w:t>
      </w:r>
      <w:r>
        <w:rPr>
          <w:color w:val="000000"/>
        </w:rPr>
        <w:t>’</w:t>
      </w:r>
      <w:r>
        <w:rPr>
          <w:rFonts w:ascii="Times New Roman;sans-serif" w:hAnsi="Times New Roman;sans-serif"/>
          <w:b w:val="false"/>
          <w:color w:val="000000"/>
          <w:sz w:val="20"/>
        </w:rPr>
        <w:t>s Loan Agreement in 2021 (such warrants, “Legacy Humacyte Common Stock Warrants”). There were no issuances, exercises or expirations of warrants during the three months ended March 31, 2023 or March 31, 2022.</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connection with the Merger, the Company assumed 5,000,000 publicly-traded warrants (</w:t>
      </w:r>
      <w:r>
        <w:rPr>
          <w:color w:val="000000"/>
        </w:rPr>
        <w:t>“</w:t>
      </w:r>
      <w:r>
        <w:rPr>
          <w:rFonts w:ascii="Times New Roman;sans-serif" w:hAnsi="Times New Roman;sans-serif"/>
          <w:b w:val="false"/>
          <w:color w:val="000000"/>
          <w:sz w:val="20"/>
        </w:rPr>
        <w:t>Public Warrants</w:t>
      </w:r>
      <w:r>
        <w:rPr>
          <w:color w:val="000000"/>
        </w:rPr>
        <w:t>”</w:t>
      </w:r>
      <w:r>
        <w:rPr>
          <w:rFonts w:ascii="Times New Roman;sans-serif" w:hAnsi="Times New Roman;sans-serif"/>
          <w:b w:val="false"/>
          <w:color w:val="000000"/>
          <w:sz w:val="20"/>
        </w:rPr>
        <w:t xml:space="preserve">) and 177,500 private placement warrants issued to AHAC Sponsor LLC (the </w:t>
      </w:r>
      <w:r>
        <w:rPr>
          <w:color w:val="000000"/>
        </w:rPr>
        <w:t>“</w:t>
      </w:r>
      <w:r>
        <w:rPr>
          <w:rFonts w:ascii="Times New Roman;sans-serif" w:hAnsi="Times New Roman;sans-serif"/>
          <w:b w:val="false"/>
          <w:color w:val="000000"/>
          <w:sz w:val="20"/>
        </w:rPr>
        <w:t>Sponsor</w:t>
      </w:r>
      <w:r>
        <w:rPr>
          <w:color w:val="000000"/>
        </w:rPr>
        <w:t>”</w:t>
      </w:r>
      <w:r>
        <w:rPr>
          <w:rFonts w:ascii="Times New Roman;sans-serif" w:hAnsi="Times New Roman;sans-serif"/>
          <w:b w:val="false"/>
          <w:color w:val="000000"/>
          <w:sz w:val="20"/>
        </w:rPr>
        <w:t>), Oppenheimer &amp; Co. Inc. and Northland Securities, Inc., in connection with AHAC</w:t>
      </w:r>
      <w:r>
        <w:rPr>
          <w:color w:val="000000"/>
        </w:rPr>
        <w:t>’</w:t>
      </w:r>
      <w:r>
        <w:rPr>
          <w:rFonts w:ascii="Times New Roman;sans-serif" w:hAnsi="Times New Roman;sans-serif"/>
          <w:b w:val="false"/>
          <w:color w:val="000000"/>
          <w:sz w:val="20"/>
        </w:rPr>
        <w:t>s initial public offering (</w:t>
      </w:r>
      <w:r>
        <w:rPr>
          <w:color w:val="000000"/>
        </w:rPr>
        <w:t>“</w:t>
      </w:r>
      <w:r>
        <w:rPr>
          <w:rFonts w:ascii="Times New Roman;sans-serif" w:hAnsi="Times New Roman;sans-serif"/>
          <w:b w:val="false"/>
          <w:color w:val="000000"/>
          <w:sz w:val="20"/>
        </w:rPr>
        <w:t>Private Placement Warrants</w:t>
      </w:r>
      <w:r>
        <w:rPr>
          <w:color w:val="000000"/>
        </w:rPr>
        <w:t xml:space="preserve">” </w:t>
      </w:r>
      <w:r>
        <w:rPr>
          <w:rFonts w:ascii="Times New Roman;sans-serif" w:hAnsi="Times New Roman;sans-serif"/>
          <w:b w:val="false"/>
          <w:color w:val="000000"/>
          <w:sz w:val="20"/>
        </w:rPr>
        <w:t xml:space="preserve">and, together with the Public Warrants, the </w:t>
      </w:r>
      <w:r>
        <w:rPr>
          <w:color w:val="000000"/>
        </w:rPr>
        <w:t>“</w:t>
      </w:r>
      <w:r>
        <w:rPr>
          <w:rFonts w:ascii="Times New Roman;sans-serif" w:hAnsi="Times New Roman;sans-serif"/>
          <w:b w:val="false"/>
          <w:color w:val="000000"/>
          <w:sz w:val="20"/>
        </w:rPr>
        <w:t>Common Stock Warrants</w:t>
      </w:r>
      <w:r>
        <w:rPr>
          <w:color w:val="000000"/>
        </w:rPr>
        <w:t>”</w:t>
      </w:r>
      <w:r>
        <w:rPr>
          <w:rFonts w:ascii="Times New Roman;sans-serif" w:hAnsi="Times New Roman;sans-serif"/>
          <w:b w:val="false"/>
          <w:color w:val="000000"/>
          <w:sz w:val="20"/>
        </w:rPr>
        <w:t xml:space="preserve">).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 xml:space="preserve">(“ASC 480”). The Company then evaluated the Common Stock Warrants under FASB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Public Warrants are considered to be “indexed to the Company’s own stock”. The agreement provides that in the event of a tender or exchange offer made to and accepted by holders of more than 50% of the outstanding shares of the Company</w:t>
      </w:r>
      <w:r>
        <w:rPr>
          <w:color w:val="000000"/>
        </w:rPr>
        <w:t>’</w:t>
      </w:r>
      <w:r>
        <w:rPr>
          <w:rFonts w:ascii="Times New Roman;sans-serif" w:hAnsi="Times New Roman;sans-serif"/>
          <w:b w:val="false"/>
          <w:color w:val="000000"/>
          <w:sz w:val="20"/>
        </w:rPr>
        <w:t>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w:t>
      </w:r>
      <w:r>
        <w:rPr>
          <w:color w:val="000000"/>
        </w:rPr>
        <w:t>’</w:t>
      </w:r>
      <w:r>
        <w:rPr>
          <w:rFonts w:ascii="Times New Roman;sans-serif" w:hAnsi="Times New Roman;sans-serif"/>
          <w:b w:val="false"/>
          <w:color w:val="000000"/>
          <w:sz w:val="20"/>
        </w:rPr>
        <w:t>s Common Stock will always result in a change in control and would not preclude permanent equity classification of the Public Warrants. Based on this evaluation, the Company concluded that the Public Warrants meet the criteria to be classified within stockholders</w:t>
      </w:r>
      <w:r>
        <w:rPr>
          <w:color w:val="000000"/>
        </w:rPr>
        <w:t xml:space="preserve">’ </w:t>
      </w:r>
      <w:r>
        <w:rPr>
          <w:rFonts w:ascii="Times New Roman;sans-serif" w:hAnsi="Times New Roman;sans-serif"/>
          <w:b w:val="false"/>
          <w:color w:val="000000"/>
          <w:sz w:val="20"/>
        </w:rPr>
        <w:t>equity. The Public Warrants were initially recognized as equity on the Closing Date at a fair value of $2.80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w:t>
      </w:r>
      <w:r>
        <w:rPr>
          <w:color w:val="000000"/>
        </w:rPr>
        <w:t>“</w:t>
      </w:r>
      <w:r>
        <w:rPr>
          <w:rFonts w:ascii="Times New Roman;sans-serif" w:hAnsi="Times New Roman;sans-serif"/>
          <w:b w:val="false"/>
          <w:color w:val="000000"/>
          <w:sz w:val="20"/>
        </w:rPr>
        <w:t>indexed to the Company</w:t>
      </w:r>
      <w:r>
        <w:rPr>
          <w:color w:val="000000"/>
        </w:rPr>
        <w:t>’</w:t>
      </w:r>
      <w:r>
        <w:rPr>
          <w:rFonts w:ascii="Times New Roman;sans-serif" w:hAnsi="Times New Roman;sans-serif"/>
          <w:b w:val="false"/>
          <w:color w:val="000000"/>
          <w:sz w:val="20"/>
        </w:rPr>
        <w:t>s own stock</w:t>
      </w:r>
      <w:r>
        <w:rPr>
          <w:color w:val="000000"/>
        </w:rPr>
        <w:t xml:space="preserve">” </w:t>
      </w:r>
      <w:r>
        <w:rPr>
          <w:rFonts w:ascii="Times New Roman;sans-serif" w:hAnsi="Times New Roman;sans-serif"/>
          <w:b w:val="false"/>
          <w:color w:val="000000"/>
          <w:sz w:val="20"/>
        </w:rPr>
        <w:t>and therefore are not classified in stockholders</w:t>
      </w:r>
      <w:r>
        <w:rPr>
          <w:color w:val="000000"/>
        </w:rPr>
        <w:t xml:space="preserve">’ </w:t>
      </w:r>
      <w:r>
        <w:rPr>
          <w:rFonts w:ascii="Times New Roman;sans-serif" w:hAnsi="Times New Roman;sans-serif"/>
          <w:b w:val="false"/>
          <w:color w:val="000000"/>
          <w:sz w:val="20"/>
        </w:rPr>
        <w:t xml:space="preserve">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initially recognized as a liability on the Closing Date, at a fair value of $0.6 million and the estimated fair value of the Private Placement Warrants at December 31, 2022 was $0.1 million. See Note 3 — Fair Value Measurements for a summary of the change in the fair value of the Private Placement Warrants during the three months ended March 31, 2023 and 2022. The remeasurement of the Private Placement Warrant liability to a fair value of $0.1 million as of March 31, 2023 resulted in a non-cash loss of less than $0.1 million, compared to a non-cash gain of $0.1 million for the three months ended March 31, 2022. The remeasurement of the Private Placement Warrant liability is classified within Change in fair value of Common Stock warrant liabilities in the condensed consolidated statements of operations and comprehensive loss.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valued using the following assumptions under the Monte Carlo simulation value model:</w:t>
      </w:r>
    </w:p>
    <w:tbl>
      <w:tblPr>
        <w:tblW w:w="5018" w:type="dxa"/>
        <w:jc w:val="left"/>
        <w:tblInd w:w="0" w:type="dxa"/>
        <w:tblLayout w:type="fixed"/>
        <w:tblCellMar>
          <w:top w:w="28" w:type="dxa"/>
          <w:left w:w="28" w:type="dxa"/>
          <w:bottom w:w="28" w:type="dxa"/>
          <w:right w:w="28" w:type="dxa"/>
        </w:tblCellMar>
      </w:tblPr>
      <w:tblGrid>
        <w:gridCol w:w="943"/>
        <w:gridCol w:w="831"/>
        <w:gridCol w:w="836"/>
        <w:gridCol w:w="305"/>
        <w:gridCol w:w="244"/>
        <w:gridCol w:w="392"/>
        <w:gridCol w:w="109"/>
        <w:gridCol w:w="109"/>
        <w:gridCol w:w="109"/>
        <w:gridCol w:w="377"/>
        <w:gridCol w:w="195"/>
        <w:gridCol w:w="568"/>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of public stock</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Contingent Earnout Liability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w:t>
      </w:r>
      <w:r>
        <w:rPr>
          <w:color w:val="000000"/>
        </w:rPr>
        <w:t>“</w:t>
      </w:r>
      <w:r>
        <w:rPr>
          <w:rFonts w:ascii="Times New Roman;sans-serif" w:hAnsi="Times New Roman;sans-serif"/>
          <w:b w:val="false"/>
          <w:color w:val="000000"/>
          <w:sz w:val="20"/>
        </w:rPr>
        <w:t>VWAP</w:t>
      </w:r>
      <w:r>
        <w:rPr>
          <w:color w:val="000000"/>
        </w:rPr>
        <w:t>”</w:t>
      </w:r>
      <w:r>
        <w:rPr>
          <w:rFonts w:ascii="Times New Roman;sans-serif" w:hAnsi="Times New Roman;sans-serif"/>
          <w:b w:val="false"/>
          <w:color w:val="000000"/>
          <w:sz w:val="20"/>
        </w:rPr>
        <w:t>) per share of Common Stock quoted on The Nasdaq Stock Market LLC (“Nasdaq”) (or the exchange on which the shares of Common Stock are then listed), is greater or equal to $15.00 and $20.00, respectively, over any 20 trading days within any 30 consecutive trading day period.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(expense) income,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 The estimated fair value of the total Contingent Earnout Shares at December 31, 2022 was $27.9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 Fair Value Measurements for a summary of the change in the fair value of the Contingent Earnout Liability during the three months ended March 31, 2023 and 2022. The remeasurement of the Contingent Earnout Liability to a fair value of $42.1 million as of March 31, 2023 resulted in a non-cash loss of $14.2 million, compared to a non-cash gain of $3.3 million for the three months ended March 31, 2022.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valuations are described below:</w:t>
      </w:r>
    </w:p>
    <w:tbl>
      <w:tblPr>
        <w:tblW w:w="4993" w:type="dxa"/>
        <w:jc w:val="left"/>
        <w:tblInd w:w="0" w:type="dxa"/>
        <w:tblLayout w:type="fixed"/>
        <w:tblCellMar>
          <w:top w:w="28" w:type="dxa"/>
          <w:left w:w="28" w:type="dxa"/>
          <w:bottom w:w="28" w:type="dxa"/>
          <w:right w:w="28" w:type="dxa"/>
        </w:tblCellMar>
      </w:tblPr>
      <w:tblGrid>
        <w:gridCol w:w="944"/>
        <w:gridCol w:w="829"/>
        <w:gridCol w:w="837"/>
        <w:gridCol w:w="305"/>
        <w:gridCol w:w="219"/>
        <w:gridCol w:w="392"/>
        <w:gridCol w:w="109"/>
        <w:gridCol w:w="109"/>
        <w:gridCol w:w="109"/>
        <w:gridCol w:w="377"/>
        <w:gridCol w:w="195"/>
        <w:gridCol w:w="568"/>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At Closing, the 2021 Long-Term Incentive Plan, (the “2021 Plan”), and the 2021 Employee Stock Purchase Plan, (the “ESPP”), became effective. As of March 31, 2023, 6,630,044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w:t>
      </w:r>
      <w:r>
        <w:rPr>
          <w:color w:val="000000"/>
        </w:rPr>
        <w:t>’</w:t>
      </w:r>
      <w:r>
        <w:rPr>
          <w:rFonts w:ascii="Times New Roman;sans-serif" w:hAnsi="Times New Roman;sans-serif"/>
          <w:b w:val="false"/>
          <w:color w:val="000000"/>
          <w:sz w:val="20"/>
        </w:rPr>
        <w:t>s Common Stock outstanding on December 31 of the preceding year and (b) a number of shares of Common Stock determined by the Company</w:t>
      </w:r>
      <w:r>
        <w:rPr>
          <w:color w:val="000000"/>
        </w:rPr>
        <w:t>’</w:t>
      </w:r>
      <w:r>
        <w:rPr>
          <w:rFonts w:ascii="Times New Roman;sans-serif" w:hAnsi="Times New Roman;sans-serif"/>
          <w:b w:val="false"/>
          <w:color w:val="000000"/>
          <w:sz w:val="20"/>
        </w:rPr>
        <w:t>s board of directors. In both December 2021 and 2022, the Company’s board of directors determined that there would be no automatic increase in the number of shares reserved under the 2021 Plan or the ESPP on either January 1, 2022 or January 1,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March 31, 2023, 3,611,644 and 384,562 shares of Common Stock remain reserved for outstanding options issued under the 2015 Plan and 2005 Plan, respectively.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stock option plans allow for the grant of awards that the Company believes aid in aligning the interests of award recipients with those of its stockholders. The Company</w:t>
      </w:r>
      <w:r>
        <w:rPr>
          <w:color w:val="000000"/>
        </w:rPr>
        <w:t>’</w:t>
      </w:r>
      <w:r>
        <w:rPr>
          <w:rFonts w:ascii="Times New Roman;sans-serif" w:hAnsi="Times New Roman;sans-serif"/>
          <w:b w:val="false"/>
          <w:color w:val="000000"/>
          <w:sz w:val="20"/>
        </w:rPr>
        <w:t>s board of directors or compensation committee determines the specific terms of equity incentive grants, including the exercise price per share and vesting period for option awards. Option awards are granted with an exercise price equal to the fair market value of the Company</w:t>
      </w:r>
      <w:r>
        <w:rPr>
          <w:color w:val="000000"/>
        </w:rPr>
        <w:t>’</w:t>
      </w:r>
      <w:r>
        <w:rPr>
          <w:rFonts w:ascii="Times New Roman;sans-serif" w:hAnsi="Times New Roman;sans-serif"/>
          <w:b w:val="false"/>
          <w:color w:val="000000"/>
          <w:sz w:val="20"/>
        </w:rPr>
        <w:t>s Common Stock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Option awards under the Company</w:t>
      </w:r>
      <w:r>
        <w:rPr>
          <w:color w:val="000000"/>
        </w:rPr>
        <w:t>’</w:t>
      </w:r>
      <w:r>
        <w:rPr>
          <w:rFonts w:ascii="Times New Roman;sans-serif" w:hAnsi="Times New Roman;sans-serif"/>
          <w:b w:val="false"/>
          <w:color w:val="000000"/>
          <w:sz w:val="20"/>
        </w:rPr>
        <w:t>s option plans generally provide for accelerated vesting of the unvested portions of any option award in the event of an involuntary termination, as such term is defined in the relevant stock option agreement, of a grantee</w:t>
      </w:r>
      <w:r>
        <w:rPr>
          <w:color w:val="000000"/>
        </w:rPr>
        <w:t>’</w:t>
      </w:r>
      <w:r>
        <w:rPr>
          <w:rFonts w:ascii="Times New Roman;sans-serif" w:hAnsi="Times New Roman;sans-serif"/>
          <w:b w:val="false"/>
          <w:color w:val="000000"/>
          <w:sz w:val="20"/>
        </w:rPr>
        <w:t>s employment during the period that commences 30 days prior to the effective date of a corporate transaction and that ends 12 months following the effective date of such transaction. Additionally, the Company</w:t>
      </w:r>
      <w:r>
        <w:rPr>
          <w:color w:val="000000"/>
        </w:rPr>
        <w:t>’</w:t>
      </w:r>
      <w:r>
        <w:rPr>
          <w:rFonts w:ascii="Times New Roman;sans-serif" w:hAnsi="Times New Roman;sans-serif"/>
          <w:b w:val="false"/>
          <w:color w:val="000000"/>
          <w:sz w:val="20"/>
        </w:rPr>
        <w:t>s board of directors may, in its sole discretion, accelerate the vesting of any unvested stock options in the event of a corporate transaction.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stock options on the date of grant using the following weighted average assumptions in the Black-Scholes option-pricing model:</w:t>
      </w:r>
    </w:p>
    <w:tbl>
      <w:tblPr>
        <w:tblW w:w="6605" w:type="dxa"/>
        <w:jc w:val="left"/>
        <w:tblInd w:w="0" w:type="dxa"/>
        <w:tblLayout w:type="fixed"/>
        <w:tblCellMar>
          <w:top w:w="28" w:type="dxa"/>
          <w:left w:w="28" w:type="dxa"/>
          <w:bottom w:w="28" w:type="dxa"/>
          <w:right w:w="28" w:type="dxa"/>
        </w:tblCellMar>
      </w:tblPr>
      <w:tblGrid>
        <w:gridCol w:w="1070"/>
        <w:gridCol w:w="939"/>
        <w:gridCol w:w="946"/>
        <w:gridCol w:w="109"/>
        <w:gridCol w:w="109"/>
        <w:gridCol w:w="378"/>
        <w:gridCol w:w="378"/>
        <w:gridCol w:w="378"/>
        <w:gridCol w:w="378"/>
        <w:gridCol w:w="888"/>
        <w:gridCol w:w="109"/>
        <w:gridCol w:w="109"/>
        <w:gridCol w:w="109"/>
        <w:gridCol w:w="156"/>
        <w:gridCol w:w="157"/>
        <w:gridCol w:w="392"/>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32"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bl>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The fair value of the Common Stock has been determined based on the closing price of the shares on Nasdaq.</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was determined based on a blended approach using the historical share volatility of the Company’s 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was based on the yields of U.S. Treasury zero-coupon securities with maturities similar in duration to the expected term of the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 has not paid dividends on its Common Stock nor does it expect to pay dividends in the foreseeable future. Accordingly, the Company has estimated the dividend yield to be zero.</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6,630,044 options remaining available for grant under the 2021 Plan. The Company has sufficient authorized and unissued shares to issue Common Stock in satisfaction of any awards available for grant under the 2021 Plan.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stock-based compensation expense included in the condensed consolidated statements of operations and comprehensive loss for the three months ended March 31, 2023 and 2022:</w:t>
      </w:r>
    </w:p>
    <w:tbl>
      <w:tblPr>
        <w:tblW w:w="6342" w:type="dxa"/>
        <w:jc w:val="left"/>
        <w:tblInd w:w="0" w:type="dxa"/>
        <w:tblLayout w:type="fixed"/>
        <w:tblCellMar>
          <w:top w:w="28" w:type="dxa"/>
          <w:left w:w="28" w:type="dxa"/>
          <w:bottom w:w="28" w:type="dxa"/>
          <w:right w:w="28" w:type="dxa"/>
        </w:tblCellMar>
      </w:tblPr>
      <w:tblGrid>
        <w:gridCol w:w="836"/>
        <w:gridCol w:w="735"/>
        <w:gridCol w:w="739"/>
        <w:gridCol w:w="109"/>
        <w:gridCol w:w="109"/>
        <w:gridCol w:w="109"/>
        <w:gridCol w:w="190"/>
        <w:gridCol w:w="190"/>
        <w:gridCol w:w="190"/>
        <w:gridCol w:w="190"/>
        <w:gridCol w:w="369"/>
        <w:gridCol w:w="1078"/>
        <w:gridCol w:w="190"/>
        <w:gridCol w:w="109"/>
        <w:gridCol w:w="109"/>
        <w:gridCol w:w="109"/>
        <w:gridCol w:w="211"/>
        <w:gridCol w:w="61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stock-based compensation cost for options was $11.6 million and is expected to be recognized over a weighted-average period of 2.3 years.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 summary of option activity under the Company</w:t>
      </w:r>
      <w:r>
        <w:rPr>
          <w:color w:val="000000"/>
        </w:rPr>
        <w:t>’</w:t>
      </w:r>
      <w:r>
        <w:rPr>
          <w:rFonts w:ascii="Times New Roman;sans-serif" w:hAnsi="Times New Roman;sans-serif"/>
          <w:b w:val="false"/>
          <w:color w:val="000000"/>
          <w:sz w:val="20"/>
        </w:rPr>
        <w:t>s stock option plans during the three months ended March 31, 2023 is presented below:</w:t>
      </w:r>
    </w:p>
    <w:tbl>
      <w:tblPr>
        <w:tblW w:w="10195" w:type="dxa"/>
        <w:jc w:val="left"/>
        <w:tblInd w:w="0" w:type="dxa"/>
        <w:tblLayout w:type="fixed"/>
        <w:tblCellMar>
          <w:top w:w="28" w:type="dxa"/>
          <w:left w:w="28" w:type="dxa"/>
          <w:bottom w:w="28" w:type="dxa"/>
          <w:right w:w="28" w:type="dxa"/>
        </w:tblCellMar>
      </w:tblPr>
      <w:tblGrid>
        <w:gridCol w:w="1364"/>
        <w:gridCol w:w="1199"/>
        <w:gridCol w:w="1202"/>
        <w:gridCol w:w="488"/>
        <w:gridCol w:w="488"/>
        <w:gridCol w:w="471"/>
        <w:gridCol w:w="109"/>
        <w:gridCol w:w="109"/>
        <w:gridCol w:w="109"/>
        <w:gridCol w:w="346"/>
        <w:gridCol w:w="839"/>
        <w:gridCol w:w="179"/>
        <w:gridCol w:w="109"/>
        <w:gridCol w:w="109"/>
        <w:gridCol w:w="109"/>
        <w:gridCol w:w="474"/>
        <w:gridCol w:w="474"/>
        <w:gridCol w:w="476"/>
        <w:gridCol w:w="109"/>
        <w:gridCol w:w="109"/>
        <w:gridCol w:w="109"/>
        <w:gridCol w:w="261"/>
        <w:gridCol w:w="763"/>
        <w:gridCol w:w="190"/>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b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7,203,874 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7,174,560 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March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3,312,364 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March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7,174,560 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2023. The Company</w:t>
      </w:r>
      <w:r>
        <w:rPr>
          <w:color w:val="000000"/>
        </w:rPr>
        <w:t>’</w:t>
      </w:r>
      <w:r>
        <w:rPr>
          <w:rFonts w:ascii="Times New Roman;sans-serif" w:hAnsi="Times New Roman;sans-serif"/>
          <w:b w:val="false"/>
          <w:color w:val="000000"/>
          <w:sz w:val="20"/>
        </w:rPr>
        <w:t>s effective federal and state tax rate for the three months ended March 31, 2023 and 2022 was 0%, primarily as a result of estimated tax losses for the fiscal year to date offset by the increase in the valuation allowance in the net operating loss carryforwards.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did not record any income tax expense or benefit during the three months ended March 31, 2023 and 2022. The Company has a net operating loss and has provided a valuation allowance against net deferred tax assets due to uncertainties regarding the Company</w:t>
      </w:r>
      <w:r>
        <w:rPr>
          <w:color w:val="000000"/>
        </w:rPr>
        <w:t>’</w:t>
      </w:r>
      <w:r>
        <w:rPr>
          <w:rFonts w:ascii="Times New Roman;sans-serif" w:hAnsi="Times New Roman;sans-serif"/>
          <w:b w:val="false"/>
          <w:color w:val="000000"/>
          <w:sz w:val="20"/>
        </w:rPr>
        <w:t>s ability to realize these assets. All losses before income taxes arose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Patent License Agreements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Duke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March</w:t>
      </w:r>
      <w:r>
        <w:rPr>
          <w:color w:val="000000"/>
        </w:rPr>
        <w:t xml:space="preserve"> </w:t>
      </w:r>
      <w:r>
        <w:rPr>
          <w:rFonts w:ascii="Times New Roman;sans-serif" w:hAnsi="Times New Roman;sans-serif"/>
          <w:b w:val="false"/>
          <w:color w:val="000000"/>
          <w:sz w:val="20"/>
        </w:rPr>
        <w:t>2006, the Company entered into a license agreement with Duke University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connection with the Company</w:t>
      </w:r>
      <w:r>
        <w:rPr>
          <w:color w:val="000000"/>
        </w:rPr>
        <w:t>’</w:t>
      </w:r>
      <w:r>
        <w:rPr>
          <w:rFonts w:ascii="Times New Roman;sans-serif" w:hAnsi="Times New Roman;sans-serif"/>
          <w:b w:val="false"/>
          <w:color w:val="000000"/>
          <w:sz w:val="20"/>
        </w:rPr>
        <w:t>s entry into the license agreement, the Company granted equity consideration to Duke in the form of 52,693 shares of Common Stock. Under the license agreement, the Company also agreed to pay Duke: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single-digit percentage royalty on eligible sales of licensed products and licensed services, plus a low double-digit percentage of any sublicensing revenue;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annual minimum royalty beginning in 2012, which increases in the calendar year immediately following the first commercial sale of licensed products or licensed services (whichever occurs first);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additional amount in license fees, as certain milestones are met.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license agreement remains effective until the later of (i) the last of the patent rights expires or (ii) four years after the Company</w:t>
      </w:r>
      <w:r>
        <w:rPr>
          <w:color w:val="000000"/>
        </w:rPr>
        <w:t>’</w:t>
      </w:r>
      <w:r>
        <w:rPr>
          <w:rFonts w:ascii="Times New Roman;sans-serif" w:hAnsi="Times New Roman;sans-serif"/>
          <w:b w:val="false"/>
          <w:color w:val="000000"/>
          <w:sz w:val="20"/>
        </w:rPr>
        <w:t>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w:t>
      </w:r>
      <w:r>
        <w:rPr>
          <w:color w:val="000000"/>
        </w:rPr>
        <w:t xml:space="preserve">’ </w:t>
      </w:r>
      <w:r>
        <w:rPr>
          <w:rFonts w:ascii="Times New Roman;sans-serif" w:hAnsi="Times New Roman;sans-serif"/>
          <w:b w:val="false"/>
          <w:color w:val="000000"/>
          <w:sz w:val="20"/>
        </w:rPr>
        <w:t>prior notice to Duke. The Company agrees to indemnify Duke against certain third-party claims. Payments to Duke under the license agreement were immaterial during the periods presented.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Yale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 </w:t>
      </w:r>
      <w:r>
        <w:rPr>
          <w:color w:val="231F20"/>
        </w:rPr>
        <w:t xml:space="preserve">– </w:t>
      </w:r>
      <w:r>
        <w:rPr>
          <w:rFonts w:ascii="Times New Roman;sans-serif" w:hAnsi="Times New Roman;sans-serif"/>
          <w:b w:val="false"/>
          <w:color w:val="000000"/>
          <w:sz w:val="20"/>
        </w:rPr>
        <w:t>12mm in diameter), except that it was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agreed to pay to Yale an annual maintenance fee, increasing between the first and fourth anniversaries of the agreement up to a maximum of less than $0.1 million per year for this license. In December 2022, in accordance with the terms of the agreement, the Company provided Yale with 90 days written notice of termination, effective March 21,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w:t>
      </w:r>
      <w:r>
        <w:rPr>
          <w:color w:val="000000"/>
        </w:rPr>
        <w:t>’</w:t>
      </w:r>
      <w:r>
        <w:rPr>
          <w:rFonts w:ascii="Times New Roman;sans-serif" w:hAnsi="Times New Roman;sans-serif"/>
          <w:b w:val="false"/>
          <w:color w:val="000000"/>
          <w:sz w:val="20"/>
        </w:rPr>
        <w:t>s rights without Yale</w:t>
      </w:r>
      <w:r>
        <w:rPr>
          <w:color w:val="000000"/>
        </w:rPr>
        <w:t>’</w:t>
      </w:r>
      <w:r>
        <w:rPr>
          <w:rFonts w:ascii="Times New Roman;sans-serif" w:hAnsi="Times New Roman;sans-serif"/>
          <w:b w:val="false"/>
          <w:color w:val="000000"/>
          <w:sz w:val="20"/>
        </w:rPr>
        <w:t>s prior written consent, but such sublicense is subject to certain conditions.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license agreement, the Company paid Yale upfront cash fees. The Company has also agreed to pay Yale: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annual maintenance fees, increasing between the first anniversary of the agreement until the fifth anniversary for the coating (through the termination of the agreement on March 21, 2023) and BVP licenses and until the fourth anniversary for the tubular prostheses license up to a maximum of less than $0.1 million per year;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milestone payments upon achievement of certain regulatory and commercial milestones of $0.2 million and $0.6 million, respectively;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single-digit percentage royalty on worldwide net sales, subject to reductions for third-party license fees;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double-digit percentage of sublicensing income.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agreements expire on a country-by-country basis on the date on which the last of the patents in such country expires, lapses or is declared invalid. Yale may terminate the agreements if the Company fails to (i)</w:t>
      </w:r>
      <w:r>
        <w:rPr>
          <w:color w:val="000000"/>
        </w:rPr>
        <w:t xml:space="preserve"> </w:t>
      </w:r>
      <w:r>
        <w:rPr>
          <w:rFonts w:ascii="Times New Roman;sans-serif" w:hAnsi="Times New Roman;sans-serif"/>
          <w:b w:val="false"/>
          <w:color w:val="000000"/>
          <w:sz w:val="20"/>
        </w:rPr>
        <w:t>provide written diligence reports, (ii)</w:t>
      </w:r>
      <w:r>
        <w:rPr>
          <w:color w:val="000000"/>
        </w:rPr>
        <w:t xml:space="preserve"> </w:t>
      </w:r>
      <w:r>
        <w:rPr>
          <w:rFonts w:ascii="Times New Roman;sans-serif" w:hAnsi="Times New Roman;sans-serif"/>
          <w:b w:val="false"/>
          <w:color w:val="000000"/>
          <w:sz w:val="20"/>
        </w:rPr>
        <w:t>provide commercially reasonable diligence plans, (iii)</w:t>
      </w:r>
      <w:r>
        <w:rPr>
          <w:color w:val="000000"/>
        </w:rPr>
        <w:t xml:space="preserve"> </w:t>
      </w:r>
      <w:r>
        <w:rPr>
          <w:rFonts w:ascii="Times New Roman;sans-serif" w:hAnsi="Times New Roman;sans-serif"/>
          <w:b w:val="false"/>
          <w:color w:val="000000"/>
          <w:sz w:val="20"/>
        </w:rPr>
        <w:t>implement the plans in accordance with the obligations under the agreements, or (iv)</w:t>
      </w:r>
      <w:r>
        <w:rPr>
          <w:color w:val="000000"/>
        </w:rPr>
        <w:t xml:space="preserve"> </w:t>
      </w:r>
      <w:r>
        <w:rPr>
          <w:rFonts w:ascii="Times New Roman;sans-serif" w:hAnsi="Times New Roman;sans-serif"/>
          <w:b w:val="false"/>
          <w:color w:val="000000"/>
          <w:sz w:val="20"/>
        </w:rPr>
        <w:t>reach certain research and development milestones within the scheduled timeframe set forth in the agreements; however, any such termination right would be limited in scope to the country to which such failure relates. Yale may also terminate for the Company</w:t>
      </w:r>
      <w:r>
        <w:rPr>
          <w:color w:val="000000"/>
        </w:rPr>
        <w:t>’</w:t>
      </w:r>
      <w:r>
        <w:rPr>
          <w:rFonts w:ascii="Times New Roman;sans-serif" w:hAnsi="Times New Roman;sans-serif"/>
          <w:b w:val="false"/>
          <w:color w:val="000000"/>
          <w:sz w:val="20"/>
        </w:rPr>
        <w:t>s non-payment, uncured material breach, failure to obtain adequate insurance, bringing or assisting in bringing of a patent challenge against Yale, abandonment of the research and development of the Company</w:t>
      </w:r>
      <w:r>
        <w:rPr>
          <w:color w:val="000000"/>
        </w:rPr>
        <w:t>’</w:t>
      </w:r>
      <w:r>
        <w:rPr>
          <w:rFonts w:ascii="Times New Roman;sans-serif" w:hAnsi="Times New Roman;sans-serif"/>
          <w:b w:val="false"/>
          <w:color w:val="000000"/>
          <w:sz w:val="20"/>
        </w:rPr>
        <w:t>s products or insolvency. The Company may terminate the license agreements (i)</w:t>
      </w:r>
      <w:r>
        <w:rPr>
          <w:color w:val="000000"/>
        </w:rPr>
        <w:t xml:space="preserve"> </w:t>
      </w:r>
      <w:r>
        <w:rPr>
          <w:rFonts w:ascii="Times New Roman;sans-serif" w:hAnsi="Times New Roman;sans-serif"/>
          <w:b w:val="false"/>
          <w:color w:val="000000"/>
          <w:sz w:val="20"/>
        </w:rPr>
        <w:t>on 90 days</w:t>
      </w:r>
      <w:r>
        <w:rPr>
          <w:color w:val="000000"/>
        </w:rPr>
        <w:t xml:space="preserve">’ </w:t>
      </w:r>
      <w:r>
        <w:rPr>
          <w:rFonts w:ascii="Times New Roman;sans-serif" w:hAnsi="Times New Roman;sans-serif"/>
          <w:b w:val="false"/>
          <w:color w:val="000000"/>
          <w:sz w:val="20"/>
        </w:rPr>
        <w:t>prior written notice to Yale, provided the Company is not in breach of the license agreements and has made all required payments to Yale thereunder and (ii)</w:t>
      </w:r>
      <w:r>
        <w:rPr>
          <w:color w:val="000000"/>
        </w:rPr>
        <w:t xml:space="preserve"> </w:t>
      </w:r>
      <w:r>
        <w:rPr>
          <w:rFonts w:ascii="Times New Roman;sans-serif" w:hAnsi="Times New Roman;sans-serif"/>
          <w:b w:val="false"/>
          <w:color w:val="000000"/>
          <w:sz w:val="20"/>
        </w:rPr>
        <w:t>on written notice to Yale following an uncured material breach. With respect to the license agreements related to small-diameter vessels and BVP, the Company</w:t>
      </w:r>
      <w:r>
        <w:rPr>
          <w:color w:val="000000"/>
        </w:rPr>
        <w:t>’</w:t>
      </w:r>
      <w:r>
        <w:rPr>
          <w:rFonts w:ascii="Times New Roman;sans-serif" w:hAnsi="Times New Roman;sans-serif"/>
          <w:b w:val="false"/>
          <w:color w:val="000000"/>
          <w:sz w:val="20"/>
        </w:rPr>
        <w:t>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w:t>
      </w:r>
      <w:r>
        <w:rPr>
          <w:color w:val="000000"/>
        </w:rPr>
        <w:t>’</w:t>
      </w:r>
      <w:r>
        <w:rPr>
          <w:rFonts w:ascii="Times New Roman;sans-serif" w:hAnsi="Times New Roman;sans-serif"/>
          <w:b w:val="false"/>
          <w:color w:val="000000"/>
          <w:sz w:val="20"/>
        </w:rPr>
        <w:t>s business, financial condition, results of operations, or cash flows.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To the extent permitted under Delaware law, the Company has agreed to indemnify its directors and officers for certain events or occurrences while the director or officer is, or was serving, at the Company</w:t>
      </w:r>
      <w:r>
        <w:rPr>
          <w:color w:val="000000"/>
        </w:rPr>
        <w:t>’</w:t>
      </w:r>
      <w:r>
        <w:rPr>
          <w:rFonts w:ascii="Times New Roman;sans-serif" w:hAnsi="Times New Roman;sans-serif"/>
          <w:b w:val="false"/>
          <w:color w:val="000000"/>
          <w:sz w:val="20"/>
        </w:rPr>
        <w:t>s request in such capacity. The indemnification period covers all pertinent events and occurrences during the director</w:t>
      </w:r>
      <w:r>
        <w:rPr>
          <w:color w:val="000000"/>
        </w:rPr>
        <w:t>’</w:t>
      </w:r>
      <w:r>
        <w:rPr>
          <w:rFonts w:ascii="Times New Roman;sans-serif" w:hAnsi="Times New Roman;sans-serif"/>
          <w:b w:val="false"/>
          <w:color w:val="000000"/>
          <w:sz w:val="20"/>
        </w:rPr>
        <w:t>s or officer</w:t>
      </w:r>
      <w:r>
        <w:rPr>
          <w:color w:val="000000"/>
        </w:rPr>
        <w:t>’</w:t>
      </w:r>
      <w:r>
        <w:rPr>
          <w:rFonts w:ascii="Times New Roman;sans-serif" w:hAnsi="Times New Roman;sans-serif"/>
          <w:b w:val="false"/>
          <w:color w:val="000000"/>
          <w:sz w:val="20"/>
        </w:rPr>
        <w:t>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Fresenius Medical Care investments and distribution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2018, the Company completed a $150 million financing transaction pursuant to which Fresenius Medical Care purchased shares of series D redeemable convertible preferred stock that at the Closing of the Merger converted into 15,812,735 shares of Common Stock. In August 2021, Fresenius Medical Care invested $25 million as part of the PIPE Financing and received an additional 2.5 million shares of Common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w:t>
      </w:r>
      <w:r>
        <w:rPr>
          <w:color w:val="000000"/>
        </w:rPr>
        <w:t>’</w:t>
      </w:r>
      <w:r>
        <w:rPr>
          <w:rFonts w:ascii="Times New Roman;sans-serif" w:hAnsi="Times New Roman;sans-serif"/>
          <w:b w:val="false"/>
          <w:color w:val="000000"/>
          <w:sz w:val="20"/>
        </w:rPr>
        <w:t>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w:t>
      </w:r>
      <w:r>
        <w:rPr>
          <w:color w:val="000000"/>
        </w:rPr>
        <w:t>’</w:t>
      </w:r>
      <w:r>
        <w:rPr>
          <w:rFonts w:ascii="Times New Roman;sans-serif" w:hAnsi="Times New Roman;sans-serif"/>
          <w:b w:val="false"/>
          <w:color w:val="000000"/>
          <w:sz w:val="20"/>
        </w:rPr>
        <w:t>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w:t>
      </w:r>
      <w:r>
        <w:rPr>
          <w:color w:val="000000"/>
        </w:rPr>
        <w:t>’</w:t>
      </w:r>
      <w:r>
        <w:rPr>
          <w:rFonts w:ascii="Times New Roman;sans-serif" w:hAnsi="Times New Roman;sans-serif"/>
          <w:b w:val="false"/>
          <w:color w:val="000000"/>
          <w:sz w:val="20"/>
        </w:rPr>
        <w:t>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w:t>
      </w:r>
      <w:r>
        <w:rPr>
          <w:color w:val="000000"/>
        </w:rPr>
        <w:t>’</w:t>
      </w:r>
      <w:r>
        <w:rPr>
          <w:rFonts w:ascii="Times New Roman;sans-serif" w:hAnsi="Times New Roman;sans-serif"/>
          <w:b w:val="false"/>
          <w:color w:val="000000"/>
          <w:sz w:val="20"/>
        </w:rPr>
        <w:t>s rights, or the satisfaction of its obligations, under the distribution agreement. In addition, Fresenius Medical Care may terminate the distribution agreement for convenience on a country-by-country basis upon not less than 12 months</w:t>
      </w:r>
      <w:r>
        <w:rPr>
          <w:color w:val="000000"/>
        </w:rPr>
        <w:t xml:space="preserve">’ </w:t>
      </w:r>
      <w:r>
        <w:rPr>
          <w:rFonts w:ascii="Times New Roman;sans-serif" w:hAnsi="Times New Roman;sans-serif"/>
          <w:b w:val="false"/>
          <w:color w:val="000000"/>
          <w:sz w:val="20"/>
        </w:rPr>
        <w:t>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paid approximately $0.1 million for clinical research services to Frenova Renal Research, a subsidiary of Fresenius Medical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Yale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Company’s President and Chief Executive Officer, Laura Niklason M.D., PhD., serves as an Adjunct Professor in Anesthesia at Yale University. As of March 31, 2023 and December 31, 2022, the Company was a party to license agreements with Yale University as described in Note 10</w:t>
      </w:r>
      <w:r>
        <w:rPr>
          <w:color w:val="000000"/>
        </w:rPr>
        <w:t xml:space="preserve"> — </w:t>
      </w:r>
      <w:r>
        <w:rPr>
          <w:rFonts w:ascii="Times New Roman;sans-serif" w:hAnsi="Times New Roman;sans-serif"/>
          <w:b w:val="false"/>
          <w:color w:val="000000"/>
          <w:sz w:val="20"/>
        </w:rPr>
        <w:t xml:space="preserve">Commitments and Contingencies, above.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related party expenses included in the statements of operations and comprehensive loss for the three months ended March 31, 2023 and 2022:</w:t>
      </w:r>
    </w:p>
    <w:tbl>
      <w:tblPr>
        <w:tblW w:w="4733"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92"/>
        <w:gridCol w:w="562"/>
        <w:gridCol w:w="150"/>
        <w:gridCol w:w="150"/>
        <w:gridCol w:w="150"/>
        <w:gridCol w:w="150"/>
        <w:gridCol w:w="292"/>
        <w:gridCol w:w="499"/>
        <w:gridCol w:w="150"/>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Subsequent Events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Interest Purchase Agreement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On May 12, 2023, Humacyte, Inc. and Humacyte Global, Inc. entered into the Purchase Agreement with the Purchasers and another affiliate of Oberland Capital Management LLC, as agent for the Purchasers, to obtain financing with respect to the further development and commercialization of the Company’s HAV, to repay the Company’s existing credit facility with SVB, and for other general corporate purposes. Pursuant to the Purchase Agreement, on May 12, 2023, the Purchasers purchased certain revenue interests (the “Revenue Interests”) from Global in exchange for an initial payment of $40.0 million, less certain transaction expenses, </w:t>
      </w:r>
      <w:r>
        <w:rPr>
          <w:rFonts w:ascii="Times New Roman;sans-serif" w:hAnsi="Times New Roman;sans-serif"/>
          <w:b w:val="false"/>
          <w:color w:val="000000"/>
          <w:sz w:val="20"/>
          <w:shd w:fill="FFFFFF" w:val="clear"/>
        </w:rPr>
        <w:t>which was used to repay in full the Company’s existing obligations under the Loan Agreement with SVB</w:t>
      </w:r>
      <w:r>
        <w:rPr>
          <w:rFonts w:ascii="Times New Roman;sans-serif" w:hAnsi="Times New Roman;sans-serif"/>
          <w:b w:val="false"/>
          <w:color w:val="000000"/>
          <w:sz w:val="20"/>
        </w:rPr>
        <w:t>. The Company will also be entitled to receive up to approximately $110.0 million in subsequent installments subject to the terms and conditions set forth in the Purchase Agreement, as follows: (i) $20.0 million upon the Company’s BLA being accepted on or prior to March 31, 2024, (ii) $40.0 million, at the Company’s option, upon the Company receiving FDA approval of the HAV for the vascular trauma indication on or prior to December 31, 2024 and (iii) $50.0 million, at the Company’s option, upon reaching $35.0 million trailing worldwide three-month net sales any time prior to December 31,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Purchasers have not received cumulative Revenue Interest Payments equal to 100% of the amount funded to date (the “Cumulative Purchaser Payments”) by the last Business Day of 2028 (the “Test Date”), (a) then following such date, the Rate shall increase to a rate that, had such increased rate applied during the period from May 12, 2023 through and including the Test Date, would have provided the Purchasers with cumulative Revenue Interest Payments equal to the Cumulative Purchaser Payments as of the Test Date, and (b) Global must promptly make a payment to the Purchasers of an amount equal to 100% of the Cumulative Purchaser Payments as of the Test Date less the total Revenue Interest Payments made by Global to the Purchasers under the Purchase Agreement as of the Test Date. Global’s obligation to make Revenue Interest Payments shall terminate on the date on which the Purchasers have received Revenue Interest Payments of 150% of the Cumulative Purchaser Payments as of such date unless the Purchase Agreement is terminated earlier due to the Purchaser’s exercise of a Put Option after the occurrence of a Put Option Event, the Company’s exercise of a call option, or by mutual consent; provided, however, that if on the Test Date, the Purchasers have received Revenue Interest Payments equal to less than 150% of the Cumulative Purchase Payments as of such date, the Purchase Agreement shall instead terminate on the date on which the Purchasers have received Revenue Interest Payments of 195% of the Cumulative Purchase Payments as of such date.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 Purchasers as of such date).</w:t>
      </w:r>
      <w:r>
        <w:rPr>
          <w:color w:val="000000"/>
        </w:rPr>
        <w:t xml:space="preserve"> </w:t>
      </w:r>
      <w:r>
        <w:rPr>
          <w:rFonts w:ascii="Times New Roman;sans-serif" w:hAnsi="Times New Roman;sans-serif"/>
          <w:b w:val="false"/>
          <w:color w:val="000000"/>
          <w:sz w:val="20"/>
        </w:rPr>
        <w:t>If a Put Option or Call Option is exercised after May 12, 2026, the required repurchase price will be 195% of the Cumulative Purchaser Payments (minus the aggregate Revenue Interest Payments Global has made to the Purchasers as of such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“Shares”) at an exercise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 the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product candidates for use in the treatment of diseases and conditions across a range of anatomic locations in multiple therapeutic areas.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artery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Phase 2 and Phase 3 trials of our 6 millimeter HAV across two therapeutic indications, vascular trauma and AV access for hemodialysis, as well as continuing long-term follow up of patients in our Phase 2 PAD studies.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3 trials, we intend to submit a BLA to the FDA for an indication in vascular trauma and AV access for hemodialysis.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no product revenue and incurred operating losses and negative cash flows from operations in each year since our inception in 2004. As of March 31, 2023 and December 31, 2022, we had an accumulated deficit of $463.5 million and $426.5 million, respectively, and working capital of $110.3 million and $134.6 million, respectively. Our operating losses were approximately $22.5 million and $21.8 million for the three months ended March 31, 2023 and 2022, respectively. Net cash flows used in operating activities were $18.6 million and $18.8 million during the three months ended March 31, 2023 and 2022,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and short-term investments of $131.7 million. We believe our cash and cash equivalents and short-term investments on hand will be sufficient to fund operations, including clinical trial expenses and capital expenditure requirements,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incur significant expenses and to increase operating losses for at least the next several years. We anticipate that our expenses will increase substantially as we seek to:</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obtain marketing approval for our 6 millimeter HAV for vascular repair, reconstruction and replacement, including for vascular trauma and AV access for hemodialysis;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commercialize the HAV via U.S. market launches in vascular trauma and hemodialysis AV access;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scale out our manufacturing facility to the extent required to satisfy potential demand following any receipt of marketing approval;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our preclinical and clinical development efforts;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maintain, expand and protect our intellectual property portfolio;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add operational, financial and management information systems and personnel to support, among other things, our product development and commercialization efforts and operations;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Interest Purchase Agreement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On May 12, 2023, we entered into the Purchase Agreement with the Purchasers and another affiliate of Oberland Capital Management LLC, as agent for the Purchasers, to obtain financing in respect to the further development and commercialization of our HAV, to repay our existing credit facility with SVB, and for other general corporate purposes. </w:t>
      </w:r>
      <w:r>
        <w:rPr>
          <w:rFonts w:ascii="Times New Roman;sans-serif" w:hAnsi="Times New Roman;sans-serif"/>
          <w:b w:val="false"/>
          <w:color w:val="000000"/>
          <w:sz w:val="20"/>
          <w:shd w:fill="FFFFFF" w:val="clear"/>
        </w:rPr>
        <w:t xml:space="preserve">Pursuant to the Purchase Agreement, the Purchasers have agreed to pay us an aggregate investment amount of up to $150.0 million. Under the terms of the Purchase Agreement, $40.0 million of the Investment Amount less certain transaction expenses was funded on </w:t>
      </w:r>
      <w:r>
        <w:rPr>
          <w:rFonts w:ascii="Times New Roman;sans-serif" w:hAnsi="Times New Roman;sans-serif"/>
          <w:b w:val="false"/>
          <w:color w:val="000000"/>
          <w:sz w:val="20"/>
        </w:rPr>
        <w:t>May 12, 2023</w:t>
      </w:r>
      <w:r>
        <w:rPr>
          <w:rFonts w:ascii="Times New Roman;sans-serif" w:hAnsi="Times New Roman;sans-serif"/>
          <w:b w:val="false"/>
          <w:color w:val="000000"/>
          <w:sz w:val="20"/>
          <w:shd w:fill="FFFFFF" w:val="clear"/>
        </w:rPr>
        <w:t xml:space="preserve">, which was used to repay in full and retire our indebtedness under the Loan Agreement, with the remaining proceeds funded to the Company. See </w:t>
      </w:r>
      <w:r>
        <w:rPr>
          <w:rFonts w:ascii="Times New Roman;sans-serif" w:hAnsi="Times New Roman;sans-serif"/>
          <w:b w:val="false"/>
          <w:color w:val="000000"/>
          <w:sz w:val="20"/>
        </w:rPr>
        <w:t>Note 12 — Subsequent Events to the condensed consolidated financial statements for additional details about this financing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JDRF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2023, we entered into an Industry Discovery and Development Partnership Agreement with JDRF International (“JDRF,” and such agreement, the “JDRF Agreement”) to further develop and perform preclinical testing of the BVP, a product candidate designed to deliver insulin-producing islets using the HAV as a means of treating patients with type 1 diabetes. According to the terms of the JDRF Agreement, JDRF will provide funding up to $0.8 million based on the achievement of certain research and development milestones.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Merger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2021, Legacy Humacyte and AHAC consummated a merger pursuant to the Merger Agreement, by and among Legacy Humacyte, AHAC and Merger Sub. As contemplated by the Merger Agreement, Merger Sub merged with and into Legacy Humacyte, with Legacy Humacyte continuing as the surviving corporation and as a wholly owned subsidiary of AHAC. On the Closing Date, AHAC changed its name to Humacyte, Inc. and Legacy Humacyte changed its name to Humacyte Global, Inc. Operations prior to the Merger included in this Quarterly Report are those of Legacy Humacyte.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PIPE Investors purchased an aggregate of 17,500,000 shares of Common Stock in the PIPE Financing. We received $242.4 million in proceeds from the Merger and related PIPE Financing, and incurred $3.9 million of transaction costs, consisting of banking, legal, and other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revenue from the sale of any products. All of our revenue has been derived from government and other grants. From inception through March 31, 2023 we have been awarded grants from the California Institute of Regenerative Medicine (“CIRM”), the National Institutes of Health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salaries and related overhead expenses for personnel in research and development functions, including stock-based compensation and benefits;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allocation of facility lease and maintenance costs;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depreciation of leasehold improvements, laboratory equipment and computers;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purchasing raw materials and producing our product candidates for clinical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compliance with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our manufacturing development and expanded-capabilities initiatives;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license fees related to in-licensed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successful patient enrollment in and the initiation and completion of clinical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receipt and terms of any marketing approvals from applicable regulatory authorities including the FDA and non-U.S. regulators;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development of clinical and commercial manufacturing capabilities or making arrangements with third-party manufacturers in order to ensure that it or its third-party manufacturers are able to successfully manufacture our product;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obtaining, maintaining, defending and enforcing patent claims and other intellectual property rights;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significant and changing government regulations;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launching commercial sales of our product candidates, if approved, whether alone or in collaboration with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degree of market acceptance of any product candidates that obtain marketing approval;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maintaining a continued acceptable safety profile following approval, if any, of our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Loan Agreement and finance leases during the periods each were outstanding, and (iv) a change in fair value of private placement Common Stock warrant liabilities related to the Private Placement Warrants, which we assumed in connection with the Merger, and which are subject to remeasurement to fair value at each balance sheet date resulting in a non-cash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Three Months Ended March 31, 2023 and 2022</w:t>
      </w:r>
    </w:p>
    <w:tbl>
      <w:tblPr>
        <w:tblW w:w="9594" w:type="dxa"/>
        <w:jc w:val="left"/>
        <w:tblInd w:w="0" w:type="dxa"/>
        <w:tblLayout w:type="fixed"/>
        <w:tblCellMar>
          <w:top w:w="28" w:type="dxa"/>
          <w:left w:w="28" w:type="dxa"/>
          <w:bottom w:w="28" w:type="dxa"/>
          <w:right w:w="28" w:type="dxa"/>
        </w:tblCellMar>
      </w:tblPr>
      <w:tblGrid>
        <w:gridCol w:w="1596"/>
        <w:gridCol w:w="1401"/>
        <w:gridCol w:w="141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69"/>
        <w:gridCol w:w="271"/>
        <w:gridCol w:w="316"/>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Not meaningful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Grant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revenue for the three months ended March 31, 2023, compared to $0.2 million for the three months ended March 31, 2022. Revenue for 2022 related to the reimbursement of qualifying expenses incurred in connection with our grant from DoD, which totaled approximately $6.8 million over the life of the grant before this program ended in November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breakdown of research and development expenses:</w:t>
      </w:r>
    </w:p>
    <w:tbl>
      <w:tblPr>
        <w:tblW w:w="8155" w:type="dxa"/>
        <w:jc w:val="left"/>
        <w:tblInd w:w="0" w:type="dxa"/>
        <w:tblLayout w:type="fixed"/>
        <w:tblCellMar>
          <w:top w:w="28" w:type="dxa"/>
          <w:left w:w="28" w:type="dxa"/>
          <w:bottom w:w="28" w:type="dxa"/>
          <w:right w:w="28" w:type="dxa"/>
        </w:tblCellMar>
      </w:tblPr>
      <w:tblGrid>
        <w:gridCol w:w="1271"/>
        <w:gridCol w:w="1116"/>
        <w:gridCol w:w="1122"/>
        <w:gridCol w:w="211"/>
        <w:gridCol w:w="736"/>
        <w:gridCol w:w="109"/>
        <w:gridCol w:w="109"/>
        <w:gridCol w:w="109"/>
        <w:gridCol w:w="109"/>
        <w:gridCol w:w="211"/>
        <w:gridCol w:w="736"/>
        <w:gridCol w:w="109"/>
        <w:gridCol w:w="109"/>
        <w:gridCol w:w="109"/>
        <w:gridCol w:w="109"/>
        <w:gridCol w:w="211"/>
        <w:gridCol w:w="481"/>
        <w:gridCol w:w="109"/>
        <w:gridCol w:w="109"/>
        <w:gridCol w:w="109"/>
        <w:gridCol w:w="109"/>
        <w:gridCol w:w="218"/>
        <w:gridCol w:w="218"/>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personnel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and development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$1.0 million, or 6%, from $16.3 million for the three months ended March 31, 2022 to $17.3 million for the three months ended March 31, 2023. The increase was primarily driven by expenses incurred to support our expanded research and development initiatives, including (i) a $2.0 million increase in payroll and personnel expenses, (ii) a $0.3 million increase in external services and (iii) a $0.2 million increase in other research and development expenses, partially offset by a $1.6 million decrease in the purchase of materials and supplies. Materials and supplies are used in our commercial-scale manufacturing facilities and in other research and development initiatives, and the current-year decrease was the result of a scheduled shutdown of manufacturing during the quarter ended March 31, 2023 to allow refurbishment of the facilities in preparation for a pre-approval inspection expected to be conducted by the FDA in conjunction with our planned BLA filing for the HAV for an indication in vascular trauma.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$5.2 million and $5.7 million for the three months ended March 31, 2023 and 2022, respectively. The decrease in general and administrative expenses during this period of $0.4 million, or 8%, was primarily driven by a $0.6 million decrease in professional fees.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was expense of $14.5 million compared to income of $1.9 million for the three months ended March 31, 2023 and 2022, respectively. The increase in expense of $16.4 million primarily resulted from a $17.4 million increase in the non-cash loss related to the remeasurement of the Contingent Earnout Liability as of March 31, 2023 compared to March 31, 2022, partially offset by a $1.4 million increase in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Sources of Liquidity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March 31, 2023 and December 31, 2022, we had an accumulated deficit of $463.5 million and $426.5 million, respectively.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cash and cash equivalents and short-term investments of $131.7 million and $151.9 million, respectively. We believe our cash and cash equivalents and short-term investments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As of March 31, 2023 and December 31, 2022, we had working capital of </w:t>
      </w:r>
      <w:r>
        <w:rPr>
          <w:rFonts w:ascii="Times New Roman;sans-serif" w:hAnsi="Times New Roman;sans-serif"/>
          <w:b w:val="false"/>
          <w:color w:val="000000"/>
          <w:sz w:val="20"/>
        </w:rPr>
        <w:t>$110.3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$134.6 million</w:t>
      </w:r>
      <w:r>
        <w:rPr>
          <w:rFonts w:ascii="Times New Roman;sans-serif" w:hAnsi="Times New Roman;sans-serif"/>
          <w:b w:val="false"/>
          <w:color w:val="231F20"/>
          <w:sz w:val="20"/>
        </w:rPr>
        <w:t xml:space="preserve">, respectively. As of March 31, 2023, we had </w:t>
      </w:r>
      <w:r>
        <w:rPr>
          <w:rFonts w:ascii="Times New Roman;sans-serif" w:hAnsi="Times New Roman;sans-serif"/>
          <w:b w:val="false"/>
          <w:color w:val="000000"/>
          <w:sz w:val="20"/>
        </w:rPr>
        <w:t>$30.0 million</w:t>
      </w:r>
      <w:r>
        <w:rPr>
          <w:color w:val="231F20"/>
        </w:rPr>
        <w:t xml:space="preserve"> </w:t>
      </w:r>
      <w:r>
        <w:rPr>
          <w:rFonts w:ascii="Times New Roman;sans-serif" w:hAnsi="Times New Roman;sans-serif"/>
          <w:b w:val="false"/>
          <w:color w:val="231F20"/>
          <w:sz w:val="20"/>
        </w:rPr>
        <w:t xml:space="preserve">outstanding principal under our Loan Agreement (as defined below), which was repaid in full on </w:t>
      </w:r>
      <w:r>
        <w:rPr>
          <w:rFonts w:ascii="Times New Roman;sans-serif" w:hAnsi="Times New Roman;sans-serif"/>
          <w:b w:val="false"/>
          <w:color w:val="000000"/>
          <w:sz w:val="20"/>
        </w:rPr>
        <w:t>May 12, 2023</w:t>
      </w:r>
      <w:r>
        <w:rPr>
          <w:rFonts w:ascii="Times New Roman;sans-serif" w:hAnsi="Times New Roman;sans-serif"/>
          <w:b w:val="false"/>
          <w:color w:val="231F20"/>
          <w:sz w:val="20"/>
        </w:rPr>
        <w:t>. Other than the Purchase Agreement (as discussed below), we do not currently have any committed external source of funds.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On May 12, 2023, we entered into the Purchase Agreement with the Purchasers and another affiliate of Oberland Capital Management LLC, as agent for the Purchasers. </w:t>
      </w:r>
      <w:r>
        <w:rPr>
          <w:rFonts w:ascii="Times New Roman;sans-serif" w:hAnsi="Times New Roman;sans-serif"/>
          <w:b w:val="false"/>
          <w:color w:val="000000"/>
          <w:sz w:val="20"/>
          <w:shd w:fill="FFFFFF" w:val="clear"/>
        </w:rPr>
        <w:t xml:space="preserve">Pursuant to the Purchase Agreement and subject to customary closing conditions, the Purchasers have agreed to pay us an aggregate investment amount of up to $150.0 million. Under the terms of the Purchase Agreement, an aggregate of $40.0 million less certain transaction expenses was funded on </w:t>
      </w:r>
      <w:r>
        <w:rPr>
          <w:rFonts w:ascii="Times New Roman;sans-serif" w:hAnsi="Times New Roman;sans-serif"/>
          <w:b w:val="false"/>
          <w:color w:val="000000"/>
          <w:sz w:val="20"/>
        </w:rPr>
        <w:t>May 12, 2023</w:t>
      </w:r>
      <w:r>
        <w:rPr>
          <w:rFonts w:ascii="Times New Roman;sans-serif" w:hAnsi="Times New Roman;sans-serif"/>
          <w:b w:val="false"/>
          <w:color w:val="000000"/>
          <w:sz w:val="20"/>
          <w:shd w:fill="FFFFFF" w:val="clear"/>
        </w:rPr>
        <w:t>, which was used to repay in full and retire our indebtedness under the Loan Agreement. See “Recent Developments” above for further information</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Cash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known material cash requirements include: (1) the purchase of supplies and services that are primarily for research and development; (2) debt repayments (for additional information, see below and Note 6 — Debt to our unaudited condensed consolidated financial statements contained elsewhere in this Quarterly Report); (3) employee wages, benefits, and incentives; and (4) financing and operating lease payments (for additional information see below).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of March 31, 2023, we had non-cancellable purchase com</w:t>
      </w:r>
      <w:r>
        <w:rPr>
          <w:rFonts w:ascii="Times New Roman;sans-serif" w:hAnsi="Times New Roman;sans-serif"/>
          <w:b w:val="false"/>
          <w:color w:val="231F20"/>
          <w:sz w:val="20"/>
        </w:rPr>
        <w:t>mitments of $18.5 million for supplies and services that are primarily for research and development. We have existing license agreements with Duke University and Yale University and have a distribution agreement with Fresenius Medical Care. The amount and timing of any potential milestone payments, license fee payments, royalties and other payments that we may be required to make under these agreements are unknown or uncertain at March 31, 2023. For additional information regarding our agreement with Fresenius Medical Care, and our agreements with Duke University and Yale University, see Note 11 — Related Party Transactions and Note 10 — Commitments and Contingencies, respectively, to our unaudited condensed consolidated financial statements contained elsewhere in this Quarterly Report.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In March 2021, we entered into the Loan Agreement with SVB and SVB Innovation Credit Fund VIII, L.P., as amended in June and September 2021, which provides a term loan facility of up to $50.0 million, with a maturity date of March 1, 2025. </w:t>
      </w:r>
      <w:r>
        <w:rPr>
          <w:rFonts w:ascii="Times New Roman;sans-serif" w:hAnsi="Times New Roman;sans-serif"/>
          <w:b w:val="false"/>
          <w:color w:val="000000"/>
          <w:sz w:val="20"/>
        </w:rPr>
        <w:t>On March 10, 2023, SVB was closed by the California Department of Financial Protection and Innovation, and the FDIC was appointed as receiver.</w:t>
      </w:r>
      <w:r>
        <w:rPr>
          <w:color w:val="000000"/>
        </w:rPr>
        <w:t xml:space="preserve"> </w:t>
      </w:r>
      <w:r>
        <w:rPr>
          <w:rFonts w:ascii="Times New Roman;sans-serif" w:hAnsi="Times New Roman;sans-serif"/>
          <w:b w:val="false"/>
          <w:color w:val="000000"/>
          <w:sz w:val="20"/>
        </w:rPr>
        <w:t>On March 13, 2023, the FDIC announced that all of SVB’s deposits and substantially all of its assets had been transferred to a newly created, full-service, FDIC-operated bridge bank, SVBB.</w:t>
      </w:r>
      <w:r>
        <w:rPr>
          <w:color w:val="000000"/>
        </w:rPr>
        <w:t xml:space="preserve"> </w:t>
      </w:r>
      <w:r>
        <w:rPr>
          <w:rFonts w:ascii="Times New Roman;sans-serif" w:hAnsi="Times New Roman;sans-serif"/>
          <w:b w:val="false"/>
          <w:color w:val="000000"/>
          <w:sz w:val="20"/>
        </w:rPr>
        <w:t>SVBB assumed all loans that were previously held by SVB. On March 27, 2023, First-Citizens Bank &amp; Trust Company assumed all of SVBB’s customer deposits and certain other liabilities and acquired substantially all of SVBB’s loans and certain other assets from the FDIC, including the Loan Agreement.</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initial term loan tranche of $20.0 million was funded upon the closing of the Loan Agreement, and on October 13, 2021, we borrowed an additional $10.0 million under the Loan Agreement. As of March 31, 2023, principal of $30.0 million was outstanding under the Loan Agreement and we were in compliance with all covenants in all material respects.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Borrowings under the Loan Agreement bear interest at a rate of 7.5% or the sum of the Wall Street Journal Prime Rate plus 4.25%, whichever is greater (</w:t>
      </w:r>
      <w:r>
        <w:rPr>
          <w:rFonts w:ascii="Times New Roman;sans-serif" w:hAnsi="Times New Roman;sans-serif"/>
          <w:b w:val="false"/>
          <w:color w:val="000000"/>
          <w:sz w:val="20"/>
        </w:rPr>
        <w:t>12.25% as of March 31, 2023)</w:t>
      </w:r>
      <w:r>
        <w:rPr>
          <w:rFonts w:ascii="Times New Roman;sans-serif" w:hAnsi="Times New Roman;sans-serif"/>
          <w:b w:val="false"/>
          <w:color w:val="231F20"/>
          <w:sz w:val="20"/>
        </w:rPr>
        <w:t>. In addition, the lenders were granted warrants to purchase Common Stock. Interest-only payments on the principal amount outstanding are due monthly beginning in the first month after the loan is dispersed.</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Our contractual obligations under the Loan Agreement as of March 31, 2023 include $12.9 million of cash payments related to principal within one year and $17.1 million of principal payments within one to two years. On </w:t>
      </w:r>
      <w:r>
        <w:rPr>
          <w:rFonts w:ascii="Times New Roman;sans-serif" w:hAnsi="Times New Roman;sans-serif"/>
          <w:b w:val="false"/>
          <w:color w:val="000000"/>
          <w:sz w:val="20"/>
        </w:rPr>
        <w:t>May 12, 2023, we repaid in full all of the outstanding obligations under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i/>
          <w:color w:val="231F20"/>
          <w:sz w:val="20"/>
        </w:rPr>
      </w:pPr>
      <w:r>
        <w:rPr>
          <w:rFonts w:ascii="Times New Roman;sans-serif" w:hAnsi="Times New Roman;sans-serif"/>
          <w:b w:val="false"/>
          <w:i/>
          <w:color w:val="231F20"/>
          <w:sz w:val="20"/>
        </w:rPr>
        <w:t>Leases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March 31, 2023 are as follows:</w:t>
      </w:r>
    </w:p>
    <w:tbl>
      <w:tblPr>
        <w:tblW w:w="7593" w:type="dxa"/>
        <w:jc w:val="left"/>
        <w:tblInd w:w="0" w:type="dxa"/>
        <w:tblLayout w:type="fixed"/>
        <w:tblCellMar>
          <w:top w:w="28" w:type="dxa"/>
          <w:left w:w="28" w:type="dxa"/>
          <w:bottom w:w="28" w:type="dxa"/>
          <w:right w:w="28" w:type="dxa"/>
        </w:tblCellMar>
      </w:tblPr>
      <w:tblGrid>
        <w:gridCol w:w="527"/>
        <w:gridCol w:w="463"/>
        <w:gridCol w:w="46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ATM Facility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 2022, we entered into an agreement for the sale from time to time up to $80.0 million of shares of Common Stock pursuant to a sales agreement (the “ATM Facility”). As of March 31, 2023, we have not conducted any sales of Common Stock under the ATM Facility.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Funding Requirements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incur significant expenses in connection with our ongoing activities as we seek to (i) continue clinical development of our 6 millimeter HAV for use in vascular trauma and hemodialysis AV access and submit biologics license applications for FDA approval, (ii) if marketing approval is obtained, to launch and commercialize our HAVs for hemodialysis AV access and vascular repair in the U.S. market, including subsequent launches in key international markets, (iii) advance our pipeline in major markets, including PAD Phase 3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future funding requirements, both short-term and long-term, will depend on many factors, including:</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progress and results of our clinical trials and interpretation of those results by the FDA and other regulatory authorities;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 timing and outcome of regulatory review of our product candidates, particularly for marketing approval of our HAVs in the United States;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scope, progress, results and costs of preclinical development, laboratory testing and clinical trials for our additional product candidates;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 and timing of our future commercialization activities, including product manufacturing, marketing and distribution for our HAVs if approved by the FDA, and any other product candidate for which we receive marketing approval in the future;</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amount and timing of revenues, if any, that we receive from commercial sales of any product candidates for which we receive marketing approval;</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of this Quarterly Report entitled “Risk Factors” for additional risks associated with our substantial capital requirements.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each of the periods shown below:</w:t>
      </w:r>
    </w:p>
    <w:tbl>
      <w:tblPr>
        <w:tblW w:w="9842" w:type="dxa"/>
        <w:jc w:val="left"/>
        <w:tblInd w:w="0" w:type="dxa"/>
        <w:tblLayout w:type="fixed"/>
        <w:tblCellMar>
          <w:top w:w="28" w:type="dxa"/>
          <w:left w:w="28" w:type="dxa"/>
          <w:bottom w:w="28" w:type="dxa"/>
          <w:right w:w="28" w:type="dxa"/>
        </w:tblCellMar>
      </w:tblPr>
      <w:tblGrid>
        <w:gridCol w:w="2519"/>
        <w:gridCol w:w="2215"/>
        <w:gridCol w:w="2226"/>
        <w:gridCol w:w="211"/>
        <w:gridCol w:w="826"/>
        <w:gridCol w:w="109"/>
        <w:gridCol w:w="109"/>
        <w:gridCol w:w="109"/>
        <w:gridCol w:w="109"/>
        <w:gridCol w:w="211"/>
        <w:gridCol w:w="826"/>
        <w:gridCol w:w="109"/>
        <w:gridCol w:w="109"/>
        <w:gridCol w:w="154"/>
      </w:tblGrid>
      <w:tr>
        <w:trPr/>
        <w:tc>
          <w:tcPr>
            <w:tcW w:w="251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adjustments to reconcile net loss to net cash used in operating activities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60" w:after="283"/>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depreciation, amortization related to our leases and our debt discount, stock-based compensation expense, and the changes in fair value of our Contingent Earnout Liability and our Common Stock warrant liabilities. </w:t>
      </w:r>
    </w:p>
    <w:p>
      <w:pPr>
        <w:pStyle w:val="TextBody"/>
        <w:bidi w:val="0"/>
        <w:spacing w:lineRule="auto" w:line="288" w:before="26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Operating Activities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Cash used in operating activities was substantially consistent for </w:t>
      </w:r>
      <w:r>
        <w:rPr>
          <w:rFonts w:ascii="Times New Roman;sans-serif" w:hAnsi="Times New Roman;sans-serif"/>
          <w:b w:val="false"/>
          <w:color w:val="000000"/>
          <w:sz w:val="20"/>
        </w:rPr>
        <w:t>the three months ended March 31, 2023 compared to the three months ended March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Investing Activities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Net cash used in investing activities for </w:t>
      </w:r>
      <w:r>
        <w:rPr>
          <w:rFonts w:ascii="Times New Roman;sans-serif" w:hAnsi="Times New Roman;sans-serif"/>
          <w:b w:val="false"/>
          <w:color w:val="000000"/>
          <w:sz w:val="20"/>
        </w:rPr>
        <w:t>the three months ended March 31, 2023 and 2022 consisted of the purchases of property and equipment.</w:t>
      </w:r>
    </w:p>
    <w:p>
      <w:pPr>
        <w:pStyle w:val="TextBody"/>
        <w:bidi w:val="0"/>
        <w:spacing w:lineRule="auto" w:line="288" w:before="20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Financing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2023 and 2022 consisted of principal payments of our finance leases, partially offset by proceeds from stock option exercises.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arrangements, as defined in SEC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2022 and 2021,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and Smaller Reporting Company Status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qualify as a smaller reporting company, as defined by Item 10 of Regulation S-K and, thus,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March 31,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during the three months ended March 31, 2023 that have materially affected, or are reasonably likely to materially affect, our internal control over financial reporting.</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Our risk factors are disclosed in Part I, Item 1A of our Annual Report. There have been no material changes during the three months ended March 31, 2023 from or updates to the risk factors discussed in Part I, Item 1A, </w:t>
      </w:r>
      <w:r>
        <w:fldChar w:fldCharType="begin"/>
      </w:r>
      <w:r>
        <w:rPr>
          <w:rStyle w:val="InternetLink"/>
          <w:sz w:val="20"/>
          <w:u w:val="single"/>
          <w:b w:val="false"/>
          <w:rFonts w:ascii="Times New Roman;sans-serif" w:hAnsi="Times New Roman;sans-serif"/>
          <w:color w:val="0E32E1"/>
        </w:rPr>
        <w:instrText xml:space="preserve"> HYPERLINK "http://www.sec.gov/ix?doc=/Archives/edgar/data/1818382/000181838223000016/huma-20221231.htm" \l "i43a8d28983794b558666e7c66bde2363_19"</w:instrText>
      </w:r>
      <w:r>
        <w:rPr>
          <w:rStyle w:val="InternetLink"/>
          <w:sz w:val="20"/>
          <w:u w:val="single"/>
          <w:b w:val="false"/>
          <w:rFonts w:ascii="Times New Roman;sans-serif" w:hAnsi="Times New Roman;sans-serif"/>
          <w:color w:val="0E32E1"/>
        </w:rPr>
        <w:fldChar w:fldCharType="separate"/>
      </w:r>
      <w:r>
        <w:rPr>
          <w:rStyle w:val="InternetLink"/>
          <w:rFonts w:ascii="Times New Roman;sans-serif" w:hAnsi="Times New Roman;sans-serif"/>
          <w:b w:val="false"/>
          <w:color w:val="0E32E1"/>
          <w:sz w:val="20"/>
          <w:u w:val="single"/>
        </w:rPr>
        <w:t>Risk Factors</w:t>
      </w:r>
      <w:r>
        <w:rPr>
          <w:rStyle w:val="InternetLink"/>
          <w:sz w:val="20"/>
          <w:u w:val="single"/>
          <w:b w:val="false"/>
          <w:rFonts w:ascii="Times New Roman;sans-serif" w:hAnsi="Times New Roman;sans-serif"/>
          <w:color w:val="0E32E1"/>
        </w:rPr>
        <w:fldChar w:fldCharType="end"/>
      </w:r>
      <w:r>
        <w:rPr>
          <w:color w:val="000000"/>
        </w:rPr>
        <w:t xml:space="preserve"> </w:t>
      </w:r>
      <w:r>
        <w:rPr>
          <w:rFonts w:ascii="Times New Roman;sans-serif" w:hAnsi="Times New Roman;sans-serif"/>
          <w:b w:val="false"/>
          <w:color w:val="000000"/>
          <w:sz w:val="20"/>
        </w:rPr>
        <w:t>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Interest Purchase Agreement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On May 12, 2023, Humacyte, Inc. and Humacyte Global, Inc. entered into the Purchase Agreement with the Purchasers and another affiliate of Oberland Capital Management LLC, as agent for the Purchasers, to obtain financing with respect to the further development and commercialization of the Company’s HAV, to repay the Company’s existing credit facility with SVB, and for other general corporate purposes. Pursuant to the Purchase Agreement, on May 12, 2023, the Purchasers purchased certain revenue interests from Global in exchange for an initial payment of $40.0 million, less certain transaction expenses, </w:t>
      </w:r>
      <w:r>
        <w:rPr>
          <w:rFonts w:ascii="Times New Roman;sans-serif" w:hAnsi="Times New Roman;sans-serif"/>
          <w:b w:val="false"/>
          <w:color w:val="000000"/>
          <w:sz w:val="20"/>
          <w:shd w:fill="FFFFFF" w:val="clear"/>
        </w:rPr>
        <w:t>which was used to repay in full the Company’s existing obligations under the Loan Agreement.</w:t>
      </w:r>
      <w:r>
        <w:rPr>
          <w:color w:val="000000"/>
        </w:rPr>
        <w:t xml:space="preserve"> </w:t>
      </w:r>
      <w:r>
        <w:rPr>
          <w:rFonts w:ascii="Times New Roman;sans-serif" w:hAnsi="Times New Roman;sans-serif"/>
          <w:b w:val="false"/>
          <w:color w:val="000000"/>
          <w:sz w:val="20"/>
        </w:rPr>
        <w:t>The Company will also be entitled to receive up to approximately $110.0 million in subsequent installments subject to the terms and conditions set forth in the Purchase Agreement, as follows: (i) $20.0 million upon the Company’s BLA being accepted on or prior to March 31, 2024, (ii) $40.0 million, at the Company’s option, upon the Company receiving FDA approval of the HAV for the vascular trauma indication on or prior to December 31, 2024 and (iii) $50.0 million, at the Company’s option, upon reaching $35.0 million trailing worldwide three-month net sales any time prior to December 31,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Purchase Agreement, the Revenue Interests entitle the Purchasers to receive a royalty initially equal to 7.5% of global net sales of the Company’s products (subject to a lower rate for net sales by specified licensees outside the United States), to be paid on a calendar quarterly basis.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Purchasers have not received cumulative Revenue Interest Payments equal to the Cumulative Purchaser Payments by the Test Date, (a) then following such date, the Rate shall increase to a rate that, had such increased rate applied during the period from May 12, 2023 through and including the Test Date, would have provided the Purchasers with cumulative Revenue Interest Payments equal to the Cumulative Purchaser Payments as of the Test Date, and (b) Global must promptly make a payment to the Purchasers of an amount equal to 100% of the Cumulative Purchaser Payments as of the Test Date less the total Revenue Interest Payments made by Global to the Purchasers under the Purchase Agreement as of the Test Date. Global’s obligation to make Revenue Interest Payments shall terminate on the date on which the Purchasers have received Revenue Interest Payments of 150% of the Cumulative Purchaser Payments as of such date unless the Purchase Agreement is terminated earlier due to the Purchaser’s exercise of a Put Option after the occurrence of a Put Option Event, the Company’s exercise of a call option, or by mutual consent; provided, however, that if on the Test Date, the Purchasers have received Revenue Interest Payments equal to less than 150% of the Cumulative Purchase Payments as of such date, the Purchase Agreement shall instead terminate on the date on which the Purchasers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received Revenue Interest Payments of 195% of the Cumulative Purchase Payments as of such date.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 Purchasers as of such date).</w:t>
      </w:r>
      <w:r>
        <w:rPr>
          <w:color w:val="000000"/>
        </w:rPr>
        <w:t xml:space="preserve"> </w:t>
      </w:r>
      <w:r>
        <w:rPr>
          <w:rFonts w:ascii="Times New Roman;sans-serif" w:hAnsi="Times New Roman;sans-serif"/>
          <w:b w:val="false"/>
          <w:color w:val="000000"/>
          <w:sz w:val="20"/>
        </w:rPr>
        <w:t>If a Put Option or Call Option is exercised after May 12, 2026, the required repurchase price will be 195% of the Cumulative Purchaser Payments (minus the aggregate Revenue Interest Payments Global has made to the Purchasers as of such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“Shares”) at an exercise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 the Option Agreement.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descriptions of the Purchase Agreement and the Option Agreement (collectively, the “Transaction Documents”) set forth above are only summaries of their material terms and do not purport to be complete. The Transaction Documents are not intended to be a source of factual, business or operational information about the Company or its subsidiaries. The representations, warranties and covenants contained in the Transaction Documents were made only for purposes of such agreements and as of specific dates, were solely for the benefit of the parties to such agreements, and may be subject to limitations agreed upon by the parties, including being qualified by disclosures for the purpose of allocating contractual risk between the parties instead of establishing matters as facts; and may be subject to standards of materiality applicable to the contracting parties that differ from those applicable to investors or security holders. Accordingly, investors should not rely on the representations, warranties and covenants or any descriptions thereof as characterizations of the actual state of facts or condition of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w10:wrap type="none"/>
              </v:rect>
            </w:pict>
          </mc:Fallback>
        </mc:AlternateContent>
      </w:r>
    </w:p>
    <w:p>
      <w:pPr>
        <w:pStyle w:val="TextBody"/>
        <w:bidi w:val="0"/>
        <w:spacing w:lineRule="auto" w:line="288" w:before="0" w:after="0"/>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5" w:after="5"/>
              <w:jc w:val="left"/>
              <w:rPr/>
            </w:pPr>
            <w:hyperlink w:anchor="huma-20230331x10qxex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331x10qxex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331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331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Humacyte, Inc.’s Quarterly Report on Form 10-Q for the quarter ended March 31, 2023, formatted in Inline XBRL (Inline eXtensible Business Reporting Language): (i) Condensed Consolidated Balance Sheets (unaudited), (ii) Condensed Consolidated Statements of Operations and Comprehensive Loss (unaudited), (iii) Condensed Consolidated Statements of Changes in Stockholders’ Equity (unaudited), (iv) Condensed Consolidated Statements of Cash Flows (unaudited), (v) Notes to Condensed Consolidated Financial Statements (unaudited), and (vi) Cover 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w10:wrap type="none"/>
              </v:rect>
            </w:pict>
          </mc:Fallback>
        </mc:AlternateContent>
      </w:r>
    </w:p>
    <w:p>
      <w:pPr>
        <w:pStyle w:val="TextBody"/>
        <w:bidi w:val="0"/>
        <w:spacing w:lineRule="auto" w:line="288" w:before="432" w:after="283"/>
        <w:jc w:val="left"/>
        <w:rPr/>
      </w:pPr>
      <w:hyperlink w:anchor="i5ba3e8aa42e648439b0ce0241fe6411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 on this 12th day of May, 2023.</w:t>
      </w:r>
    </w:p>
    <w:tbl>
      <w:tblPr>
        <w:tblW w:w="10047" w:type="dxa"/>
        <w:jc w:val="left"/>
        <w:tblInd w:w="0" w:type="dxa"/>
        <w:tblLayout w:type="fixed"/>
        <w:tblCellMar>
          <w:top w:w="28" w:type="dxa"/>
          <w:left w:w="28" w:type="dxa"/>
          <w:bottom w:w="28" w:type="dxa"/>
          <w:right w:w="28" w:type="dxa"/>
        </w:tblCellMar>
      </w:tblPr>
      <w:tblGrid>
        <w:gridCol w:w="629"/>
        <w:gridCol w:w="554"/>
        <w:gridCol w:w="557"/>
        <w:gridCol w:w="222"/>
        <w:gridCol w:w="222"/>
        <w:gridCol w:w="222"/>
        <w:gridCol w:w="452"/>
        <w:gridCol w:w="452"/>
        <w:gridCol w:w="452"/>
        <w:gridCol w:w="1815"/>
        <w:gridCol w:w="1815"/>
        <w:gridCol w:w="265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HUMACYTE,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41"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Laura E. Niklason,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Laura E. Niklason,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41"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Dale A. Sander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Dale A. Sander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Chief Corporate Development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Laura E. Niklason, certify that: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March 31, 2023;</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7103" w:type="dxa"/>
        <w:jc w:val="left"/>
        <w:tblInd w:w="0" w:type="dxa"/>
        <w:tblLayout w:type="fixed"/>
        <w:tblCellMar>
          <w:top w:w="28" w:type="dxa"/>
          <w:left w:w="28" w:type="dxa"/>
          <w:bottom w:w="28" w:type="dxa"/>
          <w:right w:w="28" w:type="dxa"/>
        </w:tblCellMar>
      </w:tblPr>
      <w:tblGrid>
        <w:gridCol w:w="722"/>
        <w:gridCol w:w="635"/>
        <w:gridCol w:w="638"/>
        <w:gridCol w:w="144"/>
        <w:gridCol w:w="144"/>
        <w:gridCol w:w="146"/>
        <w:gridCol w:w="328"/>
        <w:gridCol w:w="328"/>
        <w:gridCol w:w="328"/>
        <w:gridCol w:w="1074"/>
        <w:gridCol w:w="1074"/>
        <w:gridCol w:w="154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2023</w:t>
            </w:r>
          </w:p>
        </w:tc>
        <w:tc>
          <w:tcPr>
            <w:tcW w:w="4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Dale A. Sander, certify that: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March 31, 2023;</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694"/>
        <w:gridCol w:w="610"/>
        <w:gridCol w:w="613"/>
        <w:gridCol w:w="142"/>
        <w:gridCol w:w="142"/>
        <w:gridCol w:w="144"/>
        <w:gridCol w:w="296"/>
        <w:gridCol w:w="292"/>
        <w:gridCol w:w="286"/>
        <w:gridCol w:w="2042"/>
        <w:gridCol w:w="2042"/>
        <w:gridCol w:w="2902"/>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r>
      <w:tr>
        <w:trPr/>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2023</w:t>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86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 Dale A. Sander</w:t>
            </w:r>
          </w:p>
        </w:tc>
      </w:tr>
      <w:tr>
        <w:trP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March 31, 2023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Report fully complies with the requirements of Section 13(a) or 15(d) of the Securities Exchange Act of 1934, as amended; and</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tbl>
      <w:tblPr>
        <w:tblW w:w="7103" w:type="dxa"/>
        <w:jc w:val="left"/>
        <w:tblInd w:w="0" w:type="dxa"/>
        <w:tblLayout w:type="fixed"/>
        <w:tblCellMar>
          <w:top w:w="28" w:type="dxa"/>
          <w:left w:w="28" w:type="dxa"/>
          <w:bottom w:w="28" w:type="dxa"/>
          <w:right w:w="28" w:type="dxa"/>
        </w:tblCellMar>
      </w:tblPr>
      <w:tblGrid>
        <w:gridCol w:w="722"/>
        <w:gridCol w:w="635"/>
        <w:gridCol w:w="638"/>
        <w:gridCol w:w="144"/>
        <w:gridCol w:w="144"/>
        <w:gridCol w:w="146"/>
        <w:gridCol w:w="328"/>
        <w:gridCol w:w="328"/>
        <w:gridCol w:w="328"/>
        <w:gridCol w:w="1074"/>
        <w:gridCol w:w="1074"/>
        <w:gridCol w:w="154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March 31, 2023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696"/>
        <w:gridCol w:w="612"/>
        <w:gridCol w:w="615"/>
        <w:gridCol w:w="143"/>
        <w:gridCol w:w="143"/>
        <w:gridCol w:w="144"/>
        <w:gridCol w:w="287"/>
        <w:gridCol w:w="285"/>
        <w:gridCol w:w="278"/>
        <w:gridCol w:w="2048"/>
        <w:gridCol w:w="2048"/>
        <w:gridCol w:w="2906"/>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12, 2023</w:t>
            </w:r>
          </w:p>
        </w:tc>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Dale A. Sander</w:t>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7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7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22965</Words>
  <Characters>127982</Characters>
  <CharactersWithSpaces>149807</CharactersWithSpaces>
  <Paragraphs>1642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