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7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0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75"/>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May 2, 2024, 119,084,353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9"/>
          </w:tcPr>
          <w:p>
            <w:pPr>
              <w:jc w:val="center"/>
              <w:ind w:left="395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7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an application for, and obtain marketing approval from, the United States (“U.S.”) Food and Drug Administration (“FDA”) and other regulatory authorities, including the European Medicines Agency, for our bioengineered human acellular vessels (“HAVs”) and other product candidates;</w:t>
      </w:r>
    </w:p>
    <w:p>
      <w:pPr>
        <w:spacing w:after="0" w:line="6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FDA’s review of our Biologics License Application (“BLA”) seeking approval of the HAV in urgent arterial repair following extremity vascular trauma when synthetic graft is not indicated and when autologous vein use is not feasible, which we refer to in this Quarterly Report as vascular trauma;</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HAVs;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our HAVs and other product candidates, if approved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HAVs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HAVs, if approved, and the availability of third-party coverage and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HAVs and other product candidates in sufficient quantities to satisfy our clinical trial and commercial needs;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HAV for certain specified indications and in specified markets;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2023, which we filed with the SEC on March 28, 2024.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83,278</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161,466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18,443</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interest liability</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derivative liability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114,677</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March 31, 2024 and December 31, 2023; 0 shares issued and</w:t>
            </w:r>
          </w:p>
        </w:tc>
        <w:tc>
          <w:tcPr>
            <w:tcW w:w="26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outstanding as of March 31, 2024 and December 31, 2023</w:t>
            </w: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March 31, 2024 and December 31, 2023; 119,084,353 and</w:t>
            </w:r>
          </w:p>
        </w:tc>
        <w:tc>
          <w:tcPr>
            <w:tcW w:w="2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103,673,728 shares issued and outstanding as of March 31, 2024 and December 31, 2023, respectively</w:t>
            </w:r>
          </w:p>
        </w:tc>
        <w:tc>
          <w:tcPr>
            <w:tcW w:w="2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595,350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(537,314)</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(22,512)</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108,246,008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103,263,528</w:t>
            </w:r>
          </w:p>
        </w:tc>
        <w:tc>
          <w:tcPr>
            <w:tcW w:w="0" w:type="dxa"/>
            <w:vAlign w:val="bottom"/>
          </w:tcPr>
          <w:p>
            <w:pPr>
              <w:spacing w:after="0"/>
              <w:rPr>
                <w:sz w:val="1"/>
                <w:szCs w:val="1"/>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103,673,728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(537,314)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13,546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119,084,353</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595,350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(569,210)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26,152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200" w:type="dxa"/>
            <w:vAlign w:val="bottom"/>
          </w:tcPr>
          <w:p>
            <w:pPr>
              <w:spacing w:after="0"/>
              <w:rPr>
                <w:sz w:val="24"/>
                <w:szCs w:val="24"/>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103,229,013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543,456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(426,538)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116,928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103,329,171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545,384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81,887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14,191</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 liabilities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(18,641)</w:t>
            </w:r>
          </w:p>
        </w:tc>
      </w:tr>
      <w:tr>
        <w:trPr>
          <w:trHeight w:val="223"/>
        </w:trPr>
        <w:tc>
          <w:tcPr>
            <w:tcW w:w="7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23"/>
        </w:trPr>
        <w:tc>
          <w:tcPr>
            <w:tcW w:w="7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issuance costs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revenue interest purchase agreement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6"/>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16"/>
        </w:trPr>
        <w:tc>
          <w:tcPr>
            <w:tcW w:w="7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(20,202)</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80,801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149,772</w:t>
            </w: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115,858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129,570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223"/>
        </w:trPr>
        <w:tc>
          <w:tcPr>
            <w:tcW w:w="7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issuance costs in connection with public offering</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transaction costs related to revenue interest purchase agreement</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4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subsidiary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26, 2021 (the “Closing Date”), Alpha Healthcare Acquisition Corp. (“AHAC”) consummated a merger pursuant to a </w:t>
      </w:r>
      <w:r>
        <w:rPr>
          <w:rFonts w:ascii="Times New Roman" w:cs="Times New Roman" w:eastAsia="Times New Roman" w:hAnsi="Times New Roman"/>
          <w:sz w:val="18"/>
          <w:szCs w:val="18"/>
          <w:color w:val="231F20"/>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March 31, 2024 and December 31, 2023, the Company had an accumulated deficit of $569.2 million and $537.3 million, respectively. The Company’s operating losses were $26.6 million and $22.5 million for the three months ended March 31, 2024 and 2023, respectively. Net cash flows used in operating activities were $27.3 million and $18.6 million during the three months ended March 31, 2024 and 2023,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further disclosed in Note 6, on May 12, 2023, Humacyte, Inc. and Global entered into a Revenue Interest Purchase Agreement (the “Purchase Agreement”) with two purchasers, both affiliates of Oberland Capital Management LLC (the “Purchasers”), and another affiliate of Oberland Capital Management LLC, as agent for the Purchasers, to obtain financing with respect to the further development and commercialization of the Company’s HAV, to repay the Company’s then-existing credit facility with SVB, and for other general corporate purposes. As of March 31, 2024, $58.0 million was recorded as a revenue interest liability on the condensed consolidated balance sheet.</w:t>
      </w:r>
    </w:p>
    <w:p>
      <w:pPr>
        <w:spacing w:after="0" w:line="14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agreed with the Purchasers and the Agent, to waive certain breaches related to, and extend the deadline for certain post-closing obligations under, the Purchase Agreement, including the requirement for a leasehold mortgage over the Company’s headquarters. Giving effect to the extension and waiver, the Company was obligated to deliver by no later than April 30, 2024 (or such later date as the Agent may agree in its sole discretion), an executed leasehold mortgage (or alternative documentation satisfactory to the</w:t>
      </w:r>
    </w:p>
    <w:p>
      <w:pPr>
        <w:spacing w:after="0" w:line="2"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Agent in its sole discretion) over the Company’s headquarters. On May 8, 2024, the Company agreed with the Purchasers and the Agent to waive such breaches, for so long as, among other requirements, the Company (i) delivers by no later than June 7,</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2024 a landlord’s consent and waiver with respect to the Company’s headquarters and (ii) funds no later than August 17, 2024 an account in an amount of $54.0 million, over which the Agent will have certain consent and other rights. To the extent the Company is able to deliver a leasehold mortgage over its headquarters by June 7, 2024, the preceding requirements will not apply. If the Company is not successful in meeting the Agent’s deadlines in executing either a leasehold mortgage or a landlord consent and waiver or if the Company is unable to fund the required amount, the Purchasers have the right to terminate the Purchase Agreement and to require Global to repurchase the Revenue Interests. See Note 6 for further information.</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March 31, 2024, the Company had cash and cash equivalents of $115.5 million. The Company believes its cash and cash equivalents on hand will be sufficient to fund operations, including clinical trial expenses and capital expenditure requirements, for at least 12 months from the issuance date of these interim financial statements. As noted above, if the Company is not successful in executing a leasehold mortgage over its headquarters by June 7, 2024 and is required to fund a restricted account of $54.0 million or is required to repurchase the Revenue Interests, the Company’s available cash to fund operations going forward would be limited and, in such an event there could be substantial doubt about the Company’s ability to continue as a going concern as of the quarter ending June 30, 2024 unless the Company raises additional capital and/or obtains approval of the BLA, resulting in an assessment at that time that cash, additional funding commitments, and forecasted revenues are adequate to fund ongoing operations. Adequate capital may not be available to the Company when needed or on acceptable terms. If the Company is unable to raise capital, it could be forced to delay, reduce, suspend or cease its research and development programs or any future commercialization efforts, which would have a negative impact on its business, prospects, operating results and financial condition.</w:t>
      </w:r>
    </w:p>
    <w:p>
      <w:pPr>
        <w:spacing w:after="0" w:line="163" w:lineRule="exact"/>
        <w:rPr>
          <w:sz w:val="20"/>
          <w:szCs w:val="20"/>
          <w:color w:val="auto"/>
        </w:rPr>
      </w:pPr>
    </w:p>
    <w:p>
      <w:pPr>
        <w:ind w:right="7660" w:firstLine="8"/>
        <w:spacing w:after="0" w:line="456"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subsidiary. All intercompany accounts and transactions have been eliminated in consolidation.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 liabilities,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March 31, 2024 and its results of operations for the three months ended March 31, 2024 and 2023, and cash flows for the three months ended March 31, 2024 and 2023. The results of operations for the three months ended March 31, 2024 are not necessarily indicative of the results to be expected for the year ending December 31, 2024 or any other period. The December 31, 2023 year-end condensed consolidated balance sheet was derived from audited annual financial statements but does not include all disclosures from the annual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2023 and the related notes included in the Company’s Annual Report on Form 10-K, filed with the SEC on March 28, 2024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2023 and 2022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Total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balances exceeded insured balances by the Federal Deposit Insurance Corporation as of March 31, 2024 and December 31, 2023. As of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 the Company had cash equivalents held in highly rated money market funds that are invested only in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U.S. government and its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 contractual provisions. As of both March 31, 2024 and December 31, 2023, restricted cash consisted of $0.2 million in funds maintained in a separate deposit account to secure a letter of credit for the benefit of the lessor of the Company’s headquarters lease, and $0.1 million in cash balances held as collateral for the Company’s employee credit card program.</w:t>
      </w:r>
    </w:p>
    <w:p>
      <w:pPr>
        <w:spacing w:after="0" w:line="13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the amounts shown in the condensed consolidated statements of cash flows as of March 31, 2024 and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0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common shares outstanding during the period without consideration of potentially dilutive shares of the Company’s common stock, par value $0.0001 per share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three months ended March 31, 2024 and 2023, basic and diluted net loss per share is the same for each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324"/>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net loss per share for each period because including them would have had an antidilutive effect.</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11,882,290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7,174,560</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bl>
    <w:p>
      <w:pPr>
        <w:spacing w:after="0" w:line="2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6 — Revenue Interest Purchase Agreement, is excluded from the anti-dilutive table for the three months ended March 31, 2024 based on the Company’s assumption that the Option Agreement will not be exercised unless the Company’s stock price exceeds $7.50 per share, the minimum purchase price under the Option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the regulatory approval and commercialization of its HAVs and other product 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161" w:lineRule="exact"/>
        <w:rPr>
          <w:sz w:val="20"/>
          <w:szCs w:val="20"/>
          <w:color w:val="auto"/>
        </w:rPr>
      </w:pPr>
    </w:p>
    <w:p>
      <w:pPr>
        <w:ind w:right="260" w:firstLine="324"/>
        <w:spacing w:after="0" w:line="277"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HAV for certain specified indications outside the United States.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2023-07”). The FASB issued this update to improve the disclosures about an entity’s reportable segments, including providing more detailed information about a reportable segment’s expenses, enhancing interim disclosure requirements and providing new segment disclosure requirements for entities with a single reportable segment. This standard is effective for fiscal years beginning after December 15, 2023, and interim periods within fiscal years beginning after December 15, 2024, with early adoption permitted. Entities should apply the amendments retrospectively to all prior periods presented in the financial statements. This ASU is applicable to the Company’s Annual Report on Form 10-K for the fiscal year ending December 31, 2024, and subsequent interim periods. The Company is currently evaluating the impact of adopting ASU 2023-07 on its disclosures included in the notes to the consolidated financial statements.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is permitted. Entities should apply the amendments prospectively, with retrospective application permitted. This ASU is applicable to the Company’s Annual Report on Form 10-K for the fiscal year ending December 31, 2025. The Company is currently evaluating the impact of adopting ASU 2023-09 on its disclosures included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0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84"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8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The carrying values of cash, prepaid expenses and other current assets, accounts payable and accrued expenses as of March 31, 2024 and December 31, 2023 approximated their fair values due to the short-term nature of these items.</w:t>
      </w:r>
    </w:p>
    <w:p>
      <w:pPr>
        <w:spacing w:after="0" w:line="13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Measured as of March 31, 2024</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113,714</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Earnout Liability, Private Placement Warrants liability (as defined in Note 8 — Stockholders’ Equity),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Earnout Liability: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189"/>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Contingent earnout payments involve certain assumptions requiring significant judgment and actual results can differ from assumed and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derivative liability</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debt pursuant to the Purchase Agreement, as defined in Note 6,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the discount rates used to calculate the value of the contingent derivative liability were 13.9% to calculate the present-value of the revenue forecast and 17.5% to calculate the present-value of the payoff of the Put Option. As of December 31, 2023, the discount rates used to calculate the value of the contingent derivative liability were 14.5% to calculate the present-value of the revenue forecast and 17.1% to calculate the present-value of the payoff of the Put Option. Changes in fair value of the contingent derivative liability are recognized as other income (expense) in the condensed consolidated statements of operations and comprehensive loss, classified in change in fair value of derivative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3"/>
                <w:szCs w:val="13"/>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55"/>
        </w:trPr>
        <w:tc>
          <w:tcPr>
            <w:tcW w:w="8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8"/>
              </w:rPr>
              <w:t>(2,636)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180" w:type="dxa"/>
            <w:vAlign w:val="bottom"/>
          </w:tcPr>
          <w:p>
            <w:pPr>
              <w:spacing w:after="0"/>
              <w:rPr>
                <w:sz w:val="19"/>
                <w:szCs w:val="19"/>
                <w:color w:val="auto"/>
              </w:rPr>
            </w:pPr>
          </w:p>
        </w:tc>
        <w:tc>
          <w:tcPr>
            <w:tcW w:w="2000" w:type="dxa"/>
            <w:vAlign w:val="bottom"/>
            <w:gridSpan w:val="2"/>
          </w:tcPr>
          <w:p>
            <w:pPr>
              <w:ind w:left="1100"/>
              <w:spacing w:after="0" w:line="230" w:lineRule="exact"/>
              <w:rPr>
                <w:sz w:val="20"/>
                <w:szCs w:val="20"/>
                <w:color w:val="auto"/>
              </w:rPr>
            </w:pPr>
            <w:r>
              <w:rPr>
                <w:rFonts w:ascii="Times New Roman" w:cs="Times New Roman" w:eastAsia="Times New Roman" w:hAnsi="Times New Roman"/>
                <w:sz w:val="18"/>
                <w:szCs w:val="18"/>
                <w:color w:val="auto"/>
              </w:rPr>
              <w:t xml:space="preserve">(1,552)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8"/>
              </w:rPr>
              <w:t>(4,079)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 Represents an increase in debt discount upon issuance of the second installment under the Purchase Agreement. See Note 6 for further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$1.3 million and $1.6 million for the three months ended March 31, 2024 and 2023,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33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94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80" w:firstLine="8"/>
        <w:spacing w:after="0" w:line="456"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 Revenue Interest Purchase Agreement</w:t>
      </w: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May 12, 2023, Humacyte, Inc. and Global entered into the Purchase Agreement with the Purchasers, and another affiliate of Oberland Capital Management LLC, as agent for the Purchasers, to obtain financing with respect to the further development and commercialization of the Company’s HAV,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Loan Agreement with SVB, as defined in Note 7 — Debt. In February 2024, the FDA accepted the Company’s BLA for an indication in vascular trauma, and in accordance with the Purchase Agreement, on March 11, 2024, the Company received a subsequent installment of $20.0 million.</w:t>
      </w:r>
    </w:p>
    <w:p>
      <w:pPr>
        <w:spacing w:after="0" w:line="16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the Company is entitled to receive up to approximately $90.0 million in subsequent installments subject to the terms and conditions set forth in the Purchase Agreement, as follows: (i) $40.0 million, at the Company’s option, upon the Company receiving FDA approval of the HAV for the vascular trauma indication on or prior to December 31, 2024 and (ii) $50.0 million, at the Company’s option, upon reaching $35.0 million trailing worldwide three-month net sales any time prior to December 31, 2025. Each tranche is dependent on the satisfaction of the conditions and receipt of funds from the previous tranche.</w:t>
      </w:r>
    </w:p>
    <w:p>
      <w:pPr>
        <w:spacing w:after="0" w:line="14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35"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such date, the Purchase Agreement will instead terminate on the date on which the Purchasers receive Revenue Interest Payments of 195% of the Cumulative Purchaser Payments.</w:t>
      </w:r>
    </w:p>
    <w:p>
      <w:pPr>
        <w:spacing w:after="0" w:line="14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agreed with the Purchasers and the Agent, to waive certain breaches related to, and extend the deadline for certain post-closing obligations under, the Purchase Agreement, including the requirement for a leasehold mortgage over the Company’s headquarters. Giving effect to the extension and waiver, the Company was obligated to deliver by no later than April 30, 2024 (or such later date as the Agent may agree in its sole discretion), an executed leasehold mortgage (or alternative documentation satisfactory to the</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Agent in its sole discretion) over the Company’s headquarters. On May 8, 2024, the Company agreed with the Purchasers and the Agent to waive such breaches, for so long as, among other requirements, the Company (i) delivers by no later than June 7, 2024 a landlord’s consent and waiver with respect to the Company’s headquarters and (ii) funds no later than August 17, 2024 an account in an amount of $54.0 million, over which the Agent will have certain consent and other rights. To the extent the Company is able to deliver a leasehold mortgage over its headquarters by June 7, 2024, the preceding requirements will not apply. If the Company is not successful in meeting the Agent’s deadlines in executing either a leasehold mortgage or a landlord consent and waiver or if the Company is unable to fund the required amount, the Purchasers have the right to terminate the Purchase Agreement and to require Global to repurchase the Revenue Interests.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w:t>
      </w:r>
    </w:p>
    <w:p>
      <w:pPr>
        <w:spacing w:after="0" w:line="13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effective interest rate method.</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w:t>
      </w:r>
    </w:p>
    <w:p>
      <w:pPr>
        <w:spacing w:after="0" w:line="251" w:lineRule="auto"/>
        <w:rPr>
          <w:sz w:val="20"/>
          <w:szCs w:val="20"/>
          <w:color w:val="auto"/>
        </w:rPr>
      </w:pPr>
      <w:r>
        <w:rPr>
          <w:rFonts w:ascii="Times New Roman" w:cs="Times New Roman" w:eastAsia="Times New Roman" w:hAnsi="Times New Roman"/>
          <w:sz w:val="18"/>
          <w:szCs w:val="18"/>
          <w:color w:val="auto"/>
        </w:rPr>
        <w:t>$0.1 million fair value allocated to the Option Agreement, defined below, and the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6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$58.0 million and $38.6 million, respectively, was recorded as a revenue interest liability. The estimated effective annual interest rate as of March 31, 2024 and December 31, 2023 was 14.6% and 14.1%, respectively. The Company recorded $1.4 million in interest expense related to the Purchase Agreement for the three months ended March 31, 2024.</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effective interest method. See Note 3 — Fair Value Measurements for a further discussion of the fair value of the contingent derivative liability associated with the Put Option.</w:t>
      </w:r>
    </w:p>
    <w:p>
      <w:pPr>
        <w:spacing w:after="0" w:line="14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Revenue Interest Payments made as a result of the Company’s net product sales will reduce the revenue interest liability. During the three months ended March 31, 2024, the Company did not record any product sales revenue.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9"/>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revenue interest purchase agreement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discount from embedded contingent derivative liability</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30"/>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 accrued at March 31, 2024</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2024</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57,959</w:t>
            </w: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02"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“Option”) at a purchase price per share equal to the greater of $7.50, or the 15 day volume-weighted average price as of the exercise date, exercisable in cash only at any time prior to the earlier of (i) December 31,</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2026 and (ii) the closing date of a corporate reorganization. The Holders also received certain registration rights relating to the shares underlying the Option pursuant to the Option Agreement.</w:t>
      </w:r>
    </w:p>
    <w:p>
      <w:pPr>
        <w:spacing w:after="0" w:line="14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with subsequent changes in the fair value to be recognized in the condensed consolidated statements of operations and comprehensive loss at each reporting date. The fair value of the Option Agreement liability as of March 31, 2024 and December 31, 2023 was $41 thousand and $35 thousand,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on May 12, 2023, $40.0 million, less certain transaction expenses, was funded to the Company, which was used to repay in full the Company’s existing obligations under its term loan agreement with Silicon Valley Bank (“SVB”) and SVB Innovation Credit Fund VIII, L.P., entered into on March 30, 2021, as amended in June 2021 and September 2021 (the “Loan Agreement”).</w:t>
      </w:r>
    </w:p>
    <w:p>
      <w:pPr>
        <w:spacing w:after="0" w:line="131" w:lineRule="exact"/>
        <w:rPr>
          <w:sz w:val="20"/>
          <w:szCs w:val="20"/>
          <w:color w:val="auto"/>
        </w:rPr>
      </w:pPr>
    </w:p>
    <w:p>
      <w:pPr>
        <w:ind w:right="9420" w:firstLine="8"/>
        <w:spacing w:after="0" w:line="46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On August 26, 2021, the Merger and a related private placement offering (the “PIPE Financing”) were consummated and the Company issued 27,346,449 shares of Common Stock for proceeds of $242.4 million, incurring $3.9 million of transaction costs, consisting of banking, legal, and other professional fees. Immediately following the Merger, there were 103,003,384 shares of Common Stock outstanding with a par value of $0.0001 per share.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“Offering”) of 15,410,000 shares of the Company’s Common Stock, which included a full exercise of the Underwriters’ option to purchase additional shares, at a price to the public of $3.00 per share. The net proceeds to the Company from the Offering were approximately $43.0 million after deducting underwriting discounts and commissions and Offering expenses. The Offering closed on March 5, 2024. As of March 31, 2024, there were $0.4 million of unpaid offering expenses included in accrued expenses on the condensed consolidated balance sheet.</w:t>
      </w:r>
    </w:p>
    <w:p>
      <w:pPr>
        <w:spacing w:after="0" w:line="14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spacing w:after="0" w:line="14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Company’s board of directors. Through March 31, 2024, no dividends have been declared.</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 Company had reserved Common Stock for future issuances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3"/>
                <w:szCs w:val="13"/>
                <w:color w:val="auto"/>
              </w:rPr>
            </w:pP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r>
      <w:tr>
        <w:trPr>
          <w:trHeight w:val="195"/>
        </w:trPr>
        <w:tc>
          <w:tcPr>
            <w:tcW w:w="9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1,333,334</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3"/>
              </w:rPr>
              <w:t>(1)</w:t>
            </w: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11,882,290</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6,712,249</w:t>
            </w:r>
          </w:p>
        </w:tc>
        <w:tc>
          <w:tcPr>
            <w:tcW w:w="260" w:type="dxa"/>
            <w:vAlign w:val="bottom"/>
          </w:tcPr>
          <w:p>
            <w:pPr>
              <w:spacing w:after="0"/>
              <w:rPr>
                <w:sz w:val="19"/>
                <w:szCs w:val="19"/>
                <w:color w:val="auto"/>
              </w:rPr>
            </w:pP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260" w:type="dxa"/>
            <w:vAlign w:val="bottom"/>
            <w:tcBorders>
              <w:bottom w:val="single" w:sz="8" w:color="CCEEFF"/>
            </w:tcBorders>
          </w:tcPr>
          <w:p>
            <w:pPr>
              <w:spacing w:after="0"/>
              <w:rPr>
                <w:sz w:val="19"/>
                <w:szCs w:val="19"/>
                <w:color w:val="auto"/>
              </w:rPr>
            </w:pPr>
          </w:p>
        </w:tc>
      </w:tr>
      <w:tr>
        <w:trPr>
          <w:trHeight w:val="248"/>
        </w:trPr>
        <w:tc>
          <w:tcPr>
            <w:tcW w:w="9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41,546,412</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(1) Assumes the exercise of the entire Option as provided for in the Option Agreement at the minimum purchase price of </w:t>
      </w:r>
      <w:r>
        <w:rPr>
          <w:rFonts w:ascii="Times New Roman" w:cs="Times New Roman" w:eastAsia="Times New Roman" w:hAnsi="Times New Roman"/>
          <w:sz w:val="18"/>
          <w:szCs w:val="18"/>
          <w:color w:val="000000"/>
        </w:rPr>
        <w:t>$7.50</w:t>
      </w:r>
      <w:r>
        <w:rPr>
          <w:rFonts w:ascii="Times New Roman" w:cs="Times New Roman" w:eastAsia="Times New Roman" w:hAnsi="Times New Roman"/>
          <w:sz w:val="18"/>
          <w:szCs w:val="18"/>
          <w:color w:val="231F20"/>
        </w:rPr>
        <w:t xml:space="preserve">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March 31, 2024 and December 31,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March 31, 2024 and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6"/>
        </w:trPr>
        <w:tc>
          <w:tcPr>
            <w:tcW w:w="97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56"/>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Loan Agreement, 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 There were no issuances, exercises or expirations of warrants during the three months ended March 31, 2024 or March 31, 2023.</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14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See Note 3 — Fair Value Measurements for a summary of the change in the fair value of the Private Placement Warrants during the three months ended March 31, 2024 and 2023. The remeasurement of the Private Placement Warrant liability is classified within Change in fair value of derivative liabilities in the condensed consolidated statements of operations and comprehensive loss.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4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See Note 3 — Fair Value Measurements for a summary of the change in the fair value of the Contingent Earnout Liability during the three months ended March 31, 2024 and 2023. The remeasurement of the Contingent Earnout Liability to a fair value of $42.5 million as of March 31, 2024 from a fair value of $37.9 million as of December 31, 2023, resulted in a non-cash loss of $4.6 million for the three months ended March 31, 2024 compared to a non-cash loss of $14.2 million for the three months ended March 31, 2023 related to the remeasurement of the Contingent Earnout Liability.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5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 The Company’s board of directors determined that there would be no automatic increase in the number of shares reserved under the 2021 Plan on either January 1, 2022 or January 1, 2023. The 2021 Plan share reserve automatically increased on January 1, 2024 by 5,183,686, which was equivalent to 5% of the number of shares of the Company’s Common Stock outstanding on December 31, 2023. Since the inception of the ESPP, the Company’s board of directors has determined that there would be no automatic increase in the number of shares reserved under the ESPP. As of March 31, 2024, 6,712,249 and 1,030,033 shares of Common Stock were available under the 2021 Plan and ESPP, respectively.</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no further awards will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March 31, 2024, 8,470,527, 3,393,700 and 18,063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1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5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7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34"/>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Common Stock has been determined based on the closing price of the shares on Nasdaq.</w:t>
      </w:r>
    </w:p>
    <w:p>
      <w:pPr>
        <w:spacing w:after="0" w:line="184"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5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6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stock-based compensation expense included in the condensed consolidated statements of operations and comprehensive loss for the three months ended March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stock-based compensation cost for options was $16.5 million and is expected to be recognized over a weighted-average period of 3.0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Company’s stock option plans during the three months ended March 31, 2024 is presented below:</w:t>
      </w:r>
    </w:p>
    <w:p>
      <w:pPr>
        <w:spacing w:after="0" w:line="1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4,372,119</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March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2024. The Company’s effective federal and state tax rate for the three months ended March 31, 2024 and 2023 was 0%, primarily as a result of estimated net operating losses for the fiscal year to date offset by the increase in the valuation allowance against its deferred tax asset.</w:t>
      </w:r>
    </w:p>
    <w:p>
      <w:pPr>
        <w:spacing w:after="0" w:line="14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months ended March 31, 2024 and 2023.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400" w:firstLine="8"/>
        <w:spacing w:after="0" w:line="455" w:lineRule="auto"/>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Company’s entry into the license agreement, the Company granted equity consideration to Duke in the form of 52,693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Under the license agreement, the Company also agreed to pay Duke:</w:t>
      </w:r>
    </w:p>
    <w:p>
      <w:pPr>
        <w:spacing w:after="0" w:line="166" w:lineRule="exact"/>
        <w:rPr>
          <w:sz w:val="20"/>
          <w:szCs w:val="20"/>
          <w:color w:val="auto"/>
        </w:rPr>
      </w:pPr>
    </w:p>
    <w:p>
      <w:pPr>
        <w:ind w:left="660" w:right="6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134"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8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Company filed a BLA with the FDA for urgent arterial repair following extremity vascular trauma when synthetic graft is not indicated, and when autologous vein use is not feasible. Based on the achievement of this milestone under the Duke license agreement, the Company recorded license expense payable of $0.5 million in accounts payable in the Company’s condensed consolidated balance sheets as of December 31, 2023. The Company paid the license fee payable to Duke during the three months ended March 31, 2024. Payments to Duke under the license agreement were immaterial during the three months ended March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4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Tubular Prosthesis License Agreement, the Company paid Yale upfront cash fees. The Company has also agreed to pay Yale:</w:t>
      </w:r>
    </w:p>
    <w:p>
      <w:pPr>
        <w:spacing w:after="0" w:line="121" w:lineRule="exact"/>
        <w:rPr>
          <w:sz w:val="20"/>
          <w:szCs w:val="20"/>
          <w:color w:val="auto"/>
        </w:rPr>
      </w:pPr>
    </w:p>
    <w:p>
      <w:pPr>
        <w:ind w:left="660" w:right="2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JDRF International (“JDRF,” and such agreement, the “JDRF Agreement”) to further develop and perform preclinical testing of the BVP, a product candidate designed to deliver insulin-producing islets using the HAV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5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Company received the first milestone payment of $80 thousand in April 2023 upon execution of the JDRF Agreement. The Company determined that the JDRF Actual Award payments are to be classified as long-term debt under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in the condensed consolidated balance sheets. The JDRF liability related to the Actual Award payments is reported at amortized cost and is included in other long-term liabilities in the condensed consolidated balance sheets. As of March 31, 2024 and December 31, 2023, the carrying value of the JDRF liability is $76 thousand and $69 thousand, respectively.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85" w:lineRule="exact"/>
        <w:rPr>
          <w:sz w:val="20"/>
          <w:szCs w:val="20"/>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84"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classified in change in fair value of derivative liabilities.</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18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converted into 15,812,735 shares of Common Stock. In August 2021, Fresenius Medical Care invested $25 million as part of the PIPE Financing and received an additional 2.5 million shares of Common Stock.</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6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61"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3"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Frenova Renal Research</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May 2022 and June 2023, the Company entered into three services agreements with Frenova Renal Research (“Frenova”), a subsidiary of Fresenius Medical Care, to conduct a study to review the outcomes of 178,575 adult patients who received in-center dialysis at Fresenius Kidney Care dialysis centers. There were no amounts expensed under the agreements with Frenova during the three months ended March 31, 2024 and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President and Chief Executive Officer, Laura Niklason M.D., PhD., serves as an Adjunct Professor in Anesthesia at Yale University. As of March 31, 2024 and December 31, 2023, the Company was a party to license agreements with Yale University as described in Note 11 — Commitments and Contingencies above. Amounts expensed in relation to the license agreements with Yale University were insignificant during the three months ended March 31, 2024 and 2023.</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subsidiary (Humacyte Global, Inc.) following the Merger (defined below); references to “Legacy Humacyte” refer to Humacyte, Inc. prior to the Merger; and references to “AHAC” refer to Alpha Healthcare Acquisition Corp. prior to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and peripheral artery disease (“PAD”). We are also developing the HAV for coronary artery bypass grafting (“CABG”) and pediatric heart surgery. Over the longer term, we are developing our HAV for the delivery of cellular therapies, including pancreatic islet cell transplantation to treat Type 1 diabetes (our BioVascular Pancreas or “BVP</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We will continue to explore the application of our technology across a broad range of markets and indications, including the development of urinary conduit, trachea, esophagus and other novel cell delivery systems.</w:t>
      </w:r>
    </w:p>
    <w:p>
      <w:pPr>
        <w:spacing w:after="0" w:line="15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For the HAV,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6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and our collaborators are currently conducting Phase 3 and Phase 2 trials of our 6 millimeter HAV across three therapeutic indications: vascular trauma, AV access for hemodialysis, and PAD.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In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September 2023, we announced positive topline results from our V005 Phase 2/3 trial in vascular trauma, and in December 2023, we filed a BLA for urgent arterial repair following extremity vascular trauma when synthetic graft is not indicated, and when autologous vein use is not feasible. In February 2024, the FDA accepted the BLA filing and granted priority review and set a Prescription Drug User Fee Act date of August 10, 2024.</w:t>
      </w:r>
    </w:p>
    <w:p>
      <w:pPr>
        <w:spacing w:after="0" w:line="13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April 2023, we announced completion of enrollment of our V007 Phase 3 trial of the HAV for use in AV access for hemodialysis. Upon anticipated completion of our V007 Phase 3 trial in 2024, and dependent upon clinical results, we intend to submit a BLA supplement to the FDA for an indication in AV access for hemodialysis.</w:t>
      </w:r>
    </w:p>
    <w:p>
      <w:pPr>
        <w:spacing w:after="0" w:line="1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generated no product revenue and incurred operating losses and negative cash flows from operations in each year since our inception in 2004. As of March 31, 2024 and December 31, 2023, we had an accumulated deficit of $569.2 million and $537.3 million, respectively, and working capital of $103.8 million and $64.8 million, respectively. Our operating losses were approximately $26.6 million and $22.5 million for the three months ended March 31, 2024 and 2023, respectively.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$27.3 million and $18.6 million during the three months ended March 31, 2024 and 2023,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39"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As of March 31, 2024, we had cash and cash equivalents of $115.5 million. We believe our cash and cash equivalents on hand will be sufficient to fund operations, including clinical trial expenses and capital expenditure requirements, for at least 12 months from the date of this Quarterly Report. See Note 1</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Organization and Description of Business in the notes to our unaudited condensed consolidated financial statements included elsewhere in this Quarterly Report for additional information regarding this assessment.</w:t>
      </w:r>
    </w:p>
    <w:p>
      <w:pPr>
        <w:spacing w:after="0" w:line="1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5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right="42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indications in vascular trauma and AV access for hemodialysis;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for indications in vascular trauma and hemodialysis AV access;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17"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53" w:lineRule="exact"/>
        <w:rPr>
          <w:rFonts w:ascii="Times New Roman" w:cs="Times New Roman" w:eastAsia="Times New Roman" w:hAnsi="Times New Roman"/>
          <w:sz w:val="18"/>
          <w:szCs w:val="18"/>
          <w:color w:val="231F20"/>
        </w:rPr>
      </w:pPr>
    </w:p>
    <w:p>
      <w:pPr>
        <w:ind w:left="660" w:right="32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of our revenue has been derived from government and other grants. From inception through March 31, 2024 we have been awarded grants, including grants from the California Institute of Regenerative Medicine (“CIRM”), the National Institutes of Health (“NIH”), and the Department of Defense,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indications in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9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if any, of our product candidates.</w:t>
      </w:r>
    </w:p>
    <w:p>
      <w:pPr>
        <w:spacing w:after="0" w:line="19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above), finance leases, and our former loan agreement with SVB, during the periods each were outstanding, and (iv) the change in fair value of our derivative liabilities including the private placement Common Stock warrant liabilities related to the Private Placement Warrants, which we assumed in connection with the Merger; the contingent derivative liability related to the Purchase Agreement; a liability related to the Option Agreement; and the derivative liability related to our agreement with JDRF, all of which are subject to remeasurement to fair value at each balance sheet date resulting in a non-cash gain or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17,278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$21.3 million for the three months ended March 31, 2024, representing an increase of $4.0 million, or 23%, from $17.3 million for the three months ended March 31, 2023. The increase was primarily driven by expenses incurred to support our expanded research and development initiatives, including increased product manufacturing and development and clinical development of the HAV for use in AV access for hemodialysis. Expense increases were primarily comprised of a $3.3 million increase in the purchase of materials and supplies and $1.5 million in additional payroll and personnel expenses, partially offset by a $0.8 million decrease in external services.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$5.3 million and $5.2 million for the three months ended March 31, 2024 and 2023, respectively. The slight increase in general and administrative expenses during this period of $0.1 million, or 2%, was primarily driven by a $0.4 million increase in professional fees and a $0.2 million increase in external services, partially offset by a $0.5 million decrease in payroll and personnel expenses and a $0.1 million decrease in other general and administrative expenses.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$5.3 million for the three months ended March 31, 2024 compared to $14.5 million for the three months ended March 31, 2023. The decrease in net expense of $9.1 million during the three months ended March 31, 2024 compared to the three months ended March 31, 2023 primarily resulted from a $9.6 million reduction in the non-cash loss resulting from the remeasurement of the Contingent Earnout Liability during each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and convertible debt, including pursuant to the Offering,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March 31, 2024 and December 31, 2023, we had an accumulated deficit of $569.2 million and $537.3 million, respectively.</w:t>
      </w:r>
    </w:p>
    <w:p>
      <w:pPr>
        <w:spacing w:after="0" w:line="15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March 31, 2024 and December 31, 2023, we had working capital of $103.8 million and $64.8 million, respectively. As of March 31, 2024 and December 31, 2023, we had cash and cash equivalents of $115.5 million and $80.4 million, respectively. We believe our cash and cash equivalents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As noted in Note 1, if we are not successful in executing a leasehold mortgage over our headquarters by June 7, 2024 and are required to fund a restricted account of $54.0 million or are required to repurchase the Revenue Interests, our available cash to fund operations going forward would be limited, and in such an event there could be substantial doubt about our ability to continue as a going concern as of the quarter ending June 30, 2024 unless we raise additional capital and/or obtain approval of the BLA, resulting in an assessment at that time that cash, additional funding commitments, and forecasted revenues are adequate to fund ongoing operations. We believe that our longer-term working capital, planned research and development, capital expenditures and other general corporate funding requirements may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 w:cs="Times New Roman" w:eastAsia="Times New Roman" w:hAnsi="Times New Roman"/>
          <w:sz w:val="18"/>
          <w:szCs w:val="18"/>
          <w:color w:val="231F20"/>
        </w:rPr>
        <w:t>Adequate capital may not be available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May 12, 2023, we entered into the Purchase Agreement with the Purchasers and another affiliate of Oberland Capital Management LLC, as agent for the Purchasers, to obtain financing in respect to the further development and commercialization of our HAV, to repay the Loan Agreement, and for other general corporate purposes. Pursuant to the Purchase Agreement and subject to customary closing conditions, the Purchasers have agreed to pay us an aggregate investment amount of up to $150.0 million. Under the terms of the Purchase Agreement, $40.0 million of the Investment Amount, less certain transaction expenses, was funded on May 12, 2023, which was used to repay in full and retire our indebtedness under the Loan Agreement, with the remaining proceeds funded to the Company. On March 11, 2024, $20.0 million of the Investment Amount was funded to the Company. See Note 6 — Revenue Interest Purchase Agreement to the condensed consolidated financial statements for additional details about this financing transaction.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a leasehold mortgage over our headquarters. Giving effect to the extension and waiver, we were obligated to deliver by no later than April 30, 2024 (or such later date as the Agent may agree in its sole discretion), an executed leasehold mortgage (or alternative documentation satisfactory to the Agent in its sole discretion) over our headquarters. On May 8, 2024, we</w:t>
      </w:r>
    </w:p>
    <w:p>
      <w:pPr>
        <w:spacing w:after="0" w:line="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agreed with the Purchasers and the Agent to waive such breaches, for so long as, among other requirements, we (i) deliver by no later than June 7, 2024 a landlord’s consent and waiver with respect to the Company’s headquarters and (ii) funds no later than August 17, 2024 an account in an amount of $54.0 million, over which the Agent will have certain consent and other rights. To the extent we are able to deliver a leasehold mortgage over our headquarters by June 7, 2024, the preceding requirements will not apply. If we are not successful in meeting the Agent’s deadlines in executing either a leasehold mortgage or a landlord consent and waiver or if we are unable to fund the required amount, the Purchasers have the right to terminate the Purchase Agreement and to require Global to repurchase the Revenue Interests.</w:t>
      </w:r>
    </w:p>
    <w:p>
      <w:pPr>
        <w:spacing w:after="0" w:line="147"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On February 29, 2024, we entered into the Underwriting Agreement in connection with the Offering. The net proceeds to us from the Offering were approximately $43.0 million, after deducting underwriting discounts and commissions and Offering expenses. The Offering closed on March 5,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 </w:t>
      </w:r>
      <w:r>
        <w:rPr>
          <w:rFonts w:ascii="Times New Roman" w:cs="Times New Roman" w:eastAsia="Times New Roman" w:hAnsi="Times New Roman"/>
          <w:sz w:val="18"/>
          <w:szCs w:val="18"/>
          <w:color w:val="231F20"/>
        </w:rPr>
        <w:t>to our unaudited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consolidated financial statements contained elsewhere in this Quarterly Report)</w:t>
      </w:r>
      <w:r>
        <w:rPr>
          <w:rFonts w:ascii="Times New Roman" w:cs="Times New Roman" w:eastAsia="Times New Roman" w:hAnsi="Times New Roman"/>
          <w:sz w:val="18"/>
          <w:szCs w:val="18"/>
          <w:color w:val="000000"/>
        </w:rPr>
        <w:t>. We have also entered into contracts with CROs primarily for clinical trials.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March 31, 2024, we had non-cancellable purchase com</w:t>
      </w:r>
      <w:r>
        <w:rPr>
          <w:rFonts w:ascii="Times New Roman" w:cs="Times New Roman" w:eastAsia="Times New Roman" w:hAnsi="Times New Roman"/>
          <w:sz w:val="18"/>
          <w:szCs w:val="18"/>
          <w:color w:val="231F20"/>
        </w:rPr>
        <w:t>mitments of $23.0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March 31, 2024.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20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May 12, 2023, we entered into the Purchase Agreement and repaid in full all of the outstanding obligations under our Loan Agreement. Under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Purchase Agreement, as of March 31, 2024, we had </w:t>
      </w:r>
      <w:r>
        <w:rPr>
          <w:rFonts w:ascii="Times New Roman" w:cs="Times New Roman" w:eastAsia="Times New Roman" w:hAnsi="Times New Roman"/>
          <w:sz w:val="18"/>
          <w:szCs w:val="18"/>
          <w:color w:val="231F20"/>
        </w:rPr>
        <w:t>$58.0 million</w:t>
      </w:r>
      <w:r>
        <w:rPr>
          <w:rFonts w:ascii="Times New Roman" w:cs="Times New Roman" w:eastAsia="Times New Roman" w:hAnsi="Times New Roman"/>
          <w:sz w:val="18"/>
          <w:szCs w:val="18"/>
          <w:color w:val="000000"/>
        </w:rPr>
        <w:t xml:space="preserve"> recorded as a revenue interest liability on our condensed consolidated financial statements. For additional information regarding repayment, see Note 6 — Revenue Interest Purchase Agreement to our unaudited condensed consolidated financial statements contained elsewhere in this Quarterly Report.</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Our future contractual obligations under our lease agreements as of March 31, 2024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02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886"/>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On September 1, 2022, we entered into an agreement for the sale from time to time up to $80.0 million of shares of Common Stock pursuant to a sales agreement (the “ATM Facility”). As of March 31, 2024, we have not conducted any sales of Common Stock under the ATM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hemodialysis AV access and submit a BLA for FDA approval of an indication in hemodialysis AV access, (ii) if marketing approval is obtained, to launch and commercialize our HAVs for hemodialysis AV access and vascular repair in the U.S. market, including subsequent launches in key international markets, (iii) advance our pipeline in major markets, including PAD Phase 3 trials and continue preclinical development and advance to planned clinical studies in CABG and BVP for diabetes, and (iv) scale out our manufacturing facility as required to satisfy potential demand if our HAVs receive marketing approval. We will need additional funding in connection with these activities.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8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209"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84"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34"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1"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Quarterly Report entitled “Risk Factors” for additional risks associated with our substantial capital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180" w:hanging="172"/>
        <w:spacing w:after="0" w:line="242" w:lineRule="auto"/>
        <w:tabs>
          <w:tab w:leader="none" w:pos="199"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depreciation, amortization related to our leases and our debt discount, stock-based compensation expense, non-cash interest expense related to our revenue interest liability and our JDRF Award liability, and the changes in fair value of our Contingent Earnout Liability and our derivative liabilities.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187"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231F20"/>
        </w:rPr>
        <w:t xml:space="preserve">The increase in net cash used in operating activities from </w:t>
      </w:r>
      <w:r>
        <w:rPr>
          <w:rFonts w:ascii="Times New Roman" w:cs="Times New Roman" w:eastAsia="Times New Roman" w:hAnsi="Times New Roman"/>
          <w:sz w:val="17"/>
          <w:szCs w:val="17"/>
          <w:color w:val="000000"/>
        </w:rPr>
        <w:t>the three months ended March 31, 2023</w:t>
      </w:r>
      <w:r>
        <w:rPr>
          <w:rFonts w:ascii="Times New Roman" w:cs="Times New Roman" w:eastAsia="Times New Roman" w:hAnsi="Times New Roman"/>
          <w:sz w:val="17"/>
          <w:szCs w:val="17"/>
          <w:color w:val="231F20"/>
        </w:rPr>
        <w:t xml:space="preserve"> to </w:t>
      </w:r>
      <w:r>
        <w:rPr>
          <w:rFonts w:ascii="Times New Roman" w:cs="Times New Roman" w:eastAsia="Times New Roman" w:hAnsi="Times New Roman"/>
          <w:sz w:val="17"/>
          <w:szCs w:val="17"/>
          <w:color w:val="000000"/>
        </w:rPr>
        <w:t>the three months ended March 31, 2024 was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primarily due to increased spending on pre-clinical, clinical and pre-commercial activities as well as payroll and personnel expenses, expansion of clinical development of the HAV for use in AV access, and preparation for the planned commercial launch of the HAV for an indication in vascular trauma.</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200" w:lineRule="exact"/>
        <w:rPr>
          <w:sz w:val="20"/>
          <w:szCs w:val="20"/>
          <w:color w:val="auto"/>
        </w:rPr>
      </w:pPr>
    </w:p>
    <w:p>
      <w:pPr>
        <w:ind w:left="340"/>
        <w:spacing w:after="0" w:line="453"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w:t>
      </w:r>
      <w:r>
        <w:rPr>
          <w:rFonts w:ascii="Times New Roman" w:cs="Times New Roman" w:eastAsia="Times New Roman" w:hAnsi="Times New Roman"/>
          <w:sz w:val="18"/>
          <w:szCs w:val="18"/>
          <w:color w:val="000000"/>
        </w:rPr>
        <w:t>the three months ended March 31, 2024 and March 31, 2023 consisted of purchases of property and equipment.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Cash Flow from Financing Activities</w:t>
      </w:r>
    </w:p>
    <w:p>
      <w:pPr>
        <w:spacing w:after="0" w:line="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consisted primarily of $43.4 million of net proceeds from our Offering and $20.0 million of proceeds from the Purchase Agreement. Net cash used in financing activities for the three months ended March 31, 2023 consisted primarily of principal payments of our finance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2023 and 2022,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March 31, 2024 that have materially affected, or are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20" w:firstLine="324"/>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risk factors are disclosed in Part I, Item 1A of our Annual Report. There have been no material changes during the three months ended March 31, 2024 from or updates to the risk factors </w:t>
      </w:r>
      <w:r>
        <w:rPr>
          <w:rFonts w:ascii="Times New Roman" w:cs="Times New Roman" w:eastAsia="Times New Roman" w:hAnsi="Times New Roman"/>
          <w:sz w:val="18"/>
          <w:szCs w:val="18"/>
          <w:color w:val="000000"/>
        </w:rPr>
        <w:t>discussed in Part I, Item 1A,</w:t>
      </w:r>
      <w:r>
        <w:rPr>
          <w:rFonts w:ascii="Times New Roman" w:cs="Times New Roman" w:eastAsia="Times New Roman" w:hAnsi="Times New Roman"/>
          <w:sz w:val="18"/>
          <w:szCs w:val="18"/>
          <w:color w:val="231F20"/>
        </w:rPr>
        <w:t xml:space="preserve"> </w:t>
      </w:r>
      <w:hyperlink r:id="rId56">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Annual Report</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Exchange Act) of the Company adopted or terminated any “Rule 10b5-1 trading arrangement” or any “non Rule 10b5-1 trading arrangement,” as each term is defined in Item 408(a)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 Update</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May 12, 2023, Humacyte, Inc. and Global entered into the Purchase Agreement with the Purchasers and another affiliate of Oberland Capital Management LLC, as agent for the Purchasers, to obtain financing with respect to the further development and commercialization of the Company’s HAV, to repay the Company’s then-existing credit facility with SVB, and for other general corporate purposes. As of March 31, 2024, $58.0 million was recorded as a revenue interest liability on the condensed consolidated balance sheet of the Company.</w:t>
      </w:r>
    </w:p>
    <w:p>
      <w:pPr>
        <w:spacing w:after="0" w:line="13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agreed with the Purchasers and the Agent, to waive certain breaches related to, and extend the deadline for certain post-closing obligations under, the Purchase Agreement, including the requirement for a leasehold mortgage over the Company’s headquarters. Giving effect to the extension and waiver, the Company was obligated to deliver by no later than April 30, 2024 (or such later date as the Agent may agree in its sole discretion), an executed leasehold mortgage (or alternative documentation satisfactory to the Agent in its sole discretion) over the Company’s headquarters. On May 8, 2024, the Company agreed with the Purchasers and the Agent to waive such breaches, for so long as, among other requirements, the Company (i) delivers by no later than June 7, 2024 a landlord’s consent and waiver with respect to the Company’s headquarters and (ii) funds no later than August 17, 2024 an account in an amount of $54.0 million, over which the Agent will have certain consent and other rights. To the extent the Company is able to deliver a leasehold mortgage over its headquarters by June 7, 2024, the preceding requirements will not apply. If the Company is not successful in meeting the Agent’s deadlines in executing either a leasehold mortgage or a landlord consent and waiver or if the Company is unable to fund the required amount, the Purchasers have the right to terminate the Purchase Agreement and to require Global to repurchase the Revenue Interests.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Rules 13a-14(a) and 15d-14(a) under the Securities Exchange Act of 1934, as adopted pursuant to Section 302 of the Sarbanes-Oxley Act of 2002.</w:t>
      </w:r>
    </w:p>
    <w:p>
      <w:pPr>
        <w:spacing w:after="0" w:line="55" w:lineRule="exact"/>
        <w:rPr>
          <w:sz w:val="20"/>
          <w:szCs w:val="20"/>
          <w:color w:val="auto"/>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Humacyte, Inc.’s Quarterly Report on Form 10-Q for the quarter ended March 31, 2024, formatted in</w:t>
            </w:r>
          </w:p>
        </w:tc>
      </w:tr>
      <w:tr>
        <w:trPr>
          <w:trHeight w:val="203"/>
        </w:trPr>
        <w:tc>
          <w:tcPr>
            <w:tcW w:w="1460" w:type="dxa"/>
            <w:vAlign w:val="bottom"/>
          </w:tcPr>
          <w:p>
            <w:pPr>
              <w:spacing w:after="0"/>
              <w:rPr>
                <w:sz w:val="17"/>
                <w:szCs w:val="17"/>
                <w:color w:val="auto"/>
              </w:rPr>
            </w:pPr>
          </w:p>
        </w:tc>
        <w:tc>
          <w:tcPr>
            <w:tcW w:w="97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(iii) Condensed Consolidated Statements of</w:t>
            </w:r>
          </w:p>
        </w:tc>
      </w:tr>
      <w:tr>
        <w:trPr>
          <w:trHeight w:val="216"/>
        </w:trPr>
        <w:tc>
          <w:tcPr>
            <w:tcW w:w="146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Stockholders’ Equity (unaudited), (iv) Condensed Consolidated Statements of Cash Flows (unaudited), (v) Notes to</w:t>
            </w:r>
          </w:p>
        </w:tc>
      </w:tr>
      <w:tr>
        <w:trPr>
          <w:trHeight w:val="234"/>
        </w:trPr>
        <w:tc>
          <w:tcPr>
            <w:tcW w:w="146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 and (vi) Cover Page.</w:t>
            </w:r>
          </w:p>
        </w:tc>
      </w:tr>
    </w:tbl>
    <w:p>
      <w:pPr>
        <w:spacing w:after="0" w:line="76" w:lineRule="exact"/>
        <w:rPr>
          <w:sz w:val="20"/>
          <w:szCs w:val="20"/>
          <w:color w:val="auto"/>
        </w:rPr>
      </w:pPr>
    </w:p>
    <w:p>
      <w:pPr>
        <w:ind w:left="1480" w:hanging="1454"/>
        <w:spacing w:after="0"/>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13th day of May, 2024.</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28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6"/>
        </w:trPr>
        <w:tc>
          <w:tcPr>
            <w:tcW w:w="2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6"/>
        </w:trPr>
        <w:tc>
          <w:tcPr>
            <w:tcW w:w="2860" w:type="dxa"/>
            <w:vAlign w:val="bottom"/>
          </w:tcPr>
          <w:p>
            <w:pPr>
              <w:spacing w:after="0"/>
              <w:rPr>
                <w:sz w:val="24"/>
                <w:szCs w:val="24"/>
                <w:color w:val="auto"/>
              </w:rPr>
            </w:pP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28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7"/>
        </w:trPr>
        <w:tc>
          <w:tcPr>
            <w:tcW w:w="2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5"/>
        </w:trPr>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r>
    </w:tbl>
    <w:p>
      <w:pPr>
        <w:sectPr>
          <w:pgSz w:w="11900" w:h="16838" w:orient="portrait"/>
          <w:cols w:equalWidth="0" w:num="1">
            <w:col w:w="11240"/>
          </w:cols>
          <w:pgMar w:left="320" w:top="5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March 31,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May 13,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March 31,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2024</w:t>
            </w:r>
          </w:p>
        </w:tc>
        <w:tc>
          <w:tcPr>
            <w:tcW w:w="210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0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0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March 31, 2024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2024</w:t>
            </w:r>
          </w:p>
        </w:tc>
        <w:tc>
          <w:tcPr>
            <w:tcW w:w="246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3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March 31, 2024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Date: May 13, 2024</w:t>
            </w:r>
          </w:p>
        </w:tc>
        <w:tc>
          <w:tcPr>
            <w:tcW w:w="21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29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2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29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emdash "/>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6" Type="http://schemas.openxmlformats.org/officeDocument/2006/relationships/hyperlink" Target="https://www.sec.gov/ix?doc=/Archives/edgar/data/1818382/000181838224000040/huma-20231231.htm#i6b5275898eb74400a18c09ddc328b269_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2024-05-13T15:36:16Z</dcterms:created>
  <dcterms:modified xsi:type="dcterms:W3CDTF">2024-05-13T15:36:16Z</dcterms:modified>
</cp:coreProperties>
</file>