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185420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172720</wp:posOffset>
            </wp:positionV>
            <wp:extent cx="179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 UNDER THE</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173355</wp:posOffset>
            </wp:positionV>
            <wp:extent cx="1790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Humacyte,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640" w:type="dxa"/>
        <w:tblCellMar>
          <w:top w:w="0" w:type="dxa"/>
          <w:left w:w="0" w:type="dxa"/>
          <w:bottom w:w="0" w:type="dxa"/>
          <w:right w:w="0" w:type="dxa"/>
        </w:tblCellMar>
      </w:tblPr>
      <w:tr>
        <w:trPr>
          <w:trHeight w:val="218"/>
        </w:trPr>
        <w:tc>
          <w:tcPr>
            <w:tcW w:w="5400" w:type="dxa"/>
            <w:vAlign w:val="bottom"/>
          </w:tcPr>
          <w:p>
            <w:pPr>
              <w:jc w:val="center"/>
              <w:ind w:right="107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40" w:type="dxa"/>
            <w:vAlign w:val="bottom"/>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85-1763759</w:t>
            </w:r>
          </w:p>
        </w:tc>
      </w:tr>
      <w:tr>
        <w:trPr>
          <w:trHeight w:val="233"/>
        </w:trPr>
        <w:tc>
          <w:tcPr>
            <w:tcW w:w="5400" w:type="dxa"/>
            <w:vAlign w:val="bottom"/>
          </w:tcPr>
          <w:p>
            <w:pPr>
              <w:jc w:val="center"/>
              <w:ind w:right="105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374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31"/>
        </w:trPr>
        <w:tc>
          <w:tcPr>
            <w:tcW w:w="5400" w:type="dxa"/>
            <w:vAlign w:val="bottom"/>
          </w:tcPr>
          <w:p>
            <w:pPr>
              <w:jc w:val="center"/>
              <w:ind w:right="1051"/>
              <w:spacing w:after="0"/>
              <w:rPr>
                <w:sz w:val="20"/>
                <w:szCs w:val="20"/>
                <w:color w:val="auto"/>
              </w:rPr>
            </w:pPr>
            <w:r>
              <w:rPr>
                <w:rFonts w:ascii="Times New Roman" w:cs="Times New Roman" w:eastAsia="Times New Roman" w:hAnsi="Times New Roman"/>
                <w:sz w:val="18"/>
                <w:szCs w:val="18"/>
                <w:b w:val="1"/>
                <w:bCs w:val="1"/>
                <w:color w:val="auto"/>
                <w:w w:val="98"/>
              </w:rPr>
              <w:t>2525 East North Carolina Highway 54</w:t>
            </w:r>
          </w:p>
        </w:tc>
        <w:tc>
          <w:tcPr>
            <w:tcW w:w="3740" w:type="dxa"/>
            <w:vAlign w:val="bottom"/>
          </w:tcPr>
          <w:p>
            <w:pPr>
              <w:spacing w:after="0"/>
              <w:rPr>
                <w:sz w:val="24"/>
                <w:szCs w:val="24"/>
                <w:color w:val="auto"/>
              </w:rPr>
            </w:pPr>
          </w:p>
        </w:tc>
      </w:tr>
      <w:tr>
        <w:trPr>
          <w:trHeight w:val="218"/>
        </w:trPr>
        <w:tc>
          <w:tcPr>
            <w:tcW w:w="5400" w:type="dxa"/>
            <w:vAlign w:val="bottom"/>
          </w:tcPr>
          <w:p>
            <w:pPr>
              <w:jc w:val="center"/>
              <w:ind w:right="1051"/>
              <w:spacing w:after="0"/>
              <w:rPr>
                <w:sz w:val="20"/>
                <w:szCs w:val="20"/>
                <w:color w:val="auto"/>
              </w:rPr>
            </w:pPr>
            <w:r>
              <w:rPr>
                <w:rFonts w:ascii="Times New Roman" w:cs="Times New Roman" w:eastAsia="Times New Roman" w:hAnsi="Times New Roman"/>
                <w:sz w:val="18"/>
                <w:szCs w:val="18"/>
                <w:b w:val="1"/>
                <w:bCs w:val="1"/>
                <w:color w:val="auto"/>
                <w:w w:val="97"/>
              </w:rPr>
              <w:t>Durham, NC</w:t>
            </w:r>
          </w:p>
        </w:tc>
        <w:tc>
          <w:tcPr>
            <w:tcW w:w="3740" w:type="dxa"/>
            <w:vAlign w:val="bottom"/>
          </w:tcPr>
          <w:p>
            <w:pPr>
              <w:jc w:val="right"/>
              <w:ind w:right="971"/>
              <w:spacing w:after="0"/>
              <w:rPr>
                <w:sz w:val="20"/>
                <w:szCs w:val="20"/>
                <w:color w:val="auto"/>
              </w:rPr>
            </w:pPr>
            <w:r>
              <w:rPr>
                <w:rFonts w:ascii="Times New Roman" w:cs="Times New Roman" w:eastAsia="Times New Roman" w:hAnsi="Times New Roman"/>
                <w:sz w:val="18"/>
                <w:szCs w:val="18"/>
                <w:b w:val="1"/>
                <w:bCs w:val="1"/>
                <w:color w:val="auto"/>
              </w:rPr>
              <w:t>27713</w:t>
            </w:r>
          </w:p>
        </w:tc>
      </w:tr>
      <w:tr>
        <w:trPr>
          <w:trHeight w:val="233"/>
        </w:trPr>
        <w:tc>
          <w:tcPr>
            <w:tcW w:w="5400" w:type="dxa"/>
            <w:vAlign w:val="bottom"/>
          </w:tcPr>
          <w:p>
            <w:pPr>
              <w:jc w:val="center"/>
              <w:ind w:right="105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374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 2021 Long-Term Incentive Plan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Dale A. Sander</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2525 East North Carolina Highway 54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Durham, NC 27713</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(919) 313-9633</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Copy to</w:t>
      </w:r>
      <w:r>
        <w:rPr>
          <w:rFonts w:ascii="Times New Roman" w:cs="Times New Roman" w:eastAsia="Times New Roman" w:hAnsi="Times New Roman"/>
          <w:sz w:val="18"/>
          <w:szCs w:val="18"/>
          <w:b w:val="1"/>
          <w:bCs w:val="1"/>
          <w:i w:val="1"/>
          <w:iCs w:val="1"/>
          <w:color w:val="auto"/>
        </w:rPr>
        <w:t>:</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Kerry S. Burke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Covington &amp; Burling LLP</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CityCenter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850 Tenth Street, NW</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 662-6000</w:t>
      </w:r>
    </w:p>
    <w:p>
      <w:pPr>
        <w:spacing w:after="0" w:line="202"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700"/>
              <w:spacing w:after="0"/>
              <w:rPr>
                <w:sz w:val="20"/>
                <w:szCs w:val="20"/>
                <w:color w:val="auto"/>
              </w:rPr>
            </w:pPr>
            <w:r>
              <w:rPr>
                <w:rFonts w:ascii="Wingdings" w:cs="Wingdings" w:eastAsia="Wingdings" w:hAnsi="Wingdings"/>
                <w:sz w:val="18"/>
                <w:szCs w:val="18"/>
                <w:b w:val="1"/>
                <w:bCs w:val="1"/>
                <w:color w:val="auto"/>
              </w:rPr>
              <w:t>o</w:t>
            </w: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r>
        <w:trPr>
          <w:trHeight w:val="28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700"/>
              <w:spacing w:after="0"/>
              <w:rPr>
                <w:sz w:val="20"/>
                <w:szCs w:val="20"/>
                <w:color w:val="auto"/>
              </w:rPr>
            </w:pPr>
            <w:r>
              <w:rPr>
                <w:rFonts w:ascii="Wingdings" w:cs="Wingdings" w:eastAsia="Wingdings" w:hAnsi="Wingdings"/>
                <w:sz w:val="18"/>
                <w:szCs w:val="18"/>
                <w:b w:val="1"/>
                <w:bCs w:val="1"/>
                <w:color w:val="auto"/>
              </w:rPr>
              <w:t>x</w:t>
            </w: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281"/>
        </w:trPr>
        <w:tc>
          <w:tcPr>
            <w:tcW w:w="2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222"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1335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751840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right="120" w:firstLine="641"/>
        <w:spacing w:after="0" w:line="262"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filed by Humacyte, Inc. (the “Company”) for the purpose of registering additional shares of its common stock, par value $0.0001 per share (the “Common Stock”), under the Company’s 2021 Long-Term Incentive Plan (the “Plan”).</w:t>
      </w:r>
    </w:p>
    <w:p>
      <w:pPr>
        <w:spacing w:after="0" w:line="177" w:lineRule="exact"/>
        <w:rPr>
          <w:sz w:val="20"/>
          <w:szCs w:val="20"/>
          <w:color w:val="auto"/>
        </w:rPr>
      </w:pPr>
    </w:p>
    <w:p>
      <w:pPr>
        <w:ind w:right="40" w:firstLine="641"/>
        <w:spacing w:after="0" w:line="253" w:lineRule="auto"/>
        <w:rPr>
          <w:sz w:val="20"/>
          <w:szCs w:val="20"/>
          <w:color w:val="auto"/>
        </w:rPr>
      </w:pPr>
      <w:r>
        <w:rPr>
          <w:rFonts w:ascii="Times New Roman" w:cs="Times New Roman" w:eastAsia="Times New Roman" w:hAnsi="Times New Roman"/>
          <w:sz w:val="18"/>
          <w:szCs w:val="18"/>
          <w:color w:val="auto"/>
        </w:rPr>
        <w:t>The number of shares of Common Stock reserved and available for issuance under the Plan will automatically increase on January 1 of each year, but not after August 26, 2031, in an amount equal to 5% of the total number of shares of the Company’s capital stock outstanding on December 31 of the preceding year, unless the board of directors of the Company acts prior to January 1 of a given year to provide that the increase for such year will be a lesser number of shares of Common Stock (the “Plan Provision”). Pursuant to an action by the board of directors of the Company, the number of shares of Common Stock available for issuance under the Plan was increased by 4,000,000 shares, effective January 1, 2026. This Registration Statement registers the offer and sale of the 4,000,000 additional shares of Common Stock that are available for issuance under the Plan as a result of the Plan Provision.</w:t>
      </w:r>
    </w:p>
    <w:p>
      <w:pPr>
        <w:spacing w:after="0" w:line="187" w:lineRule="exact"/>
        <w:rPr>
          <w:sz w:val="20"/>
          <w:szCs w:val="20"/>
          <w:color w:val="auto"/>
        </w:rPr>
      </w:pPr>
    </w:p>
    <w:p>
      <w:pPr>
        <w:ind w:firstLine="641"/>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23,410,314 shares of Common Stock currently authorized by the Plan, the Company has previously registered the offer and sale of 7,725,253 shares of Common Stock pursuant to the Company’s </w:t>
      </w:r>
      <w:hyperlink r:id="rId15">
        <w:r>
          <w:rPr>
            <w:rFonts w:ascii="Times New Roman" w:cs="Times New Roman" w:eastAsia="Times New Roman" w:hAnsi="Times New Roman"/>
            <w:sz w:val="18"/>
            <w:szCs w:val="18"/>
            <w:u w:val="single" w:color="auto"/>
            <w:color w:val="0000EE"/>
          </w:rPr>
          <w:t>Registration Statement on Form S-8 filed on October 28,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(Commission File No. 333-260561), 5,183,686 shares of Common Stock pursuant to the Company’s </w:t>
      </w:r>
      <w:hyperlink r:id="rId16">
        <w:r>
          <w:rPr>
            <w:rFonts w:ascii="Times New Roman" w:cs="Times New Roman" w:eastAsia="Times New Roman" w:hAnsi="Times New Roman"/>
            <w:sz w:val="18"/>
            <w:szCs w:val="18"/>
            <w:u w:val="single" w:color="auto"/>
            <w:color w:val="0000EE"/>
          </w:rPr>
          <w:t>Registration Statement on Form S-8 filed on March 28,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(Commission File No. 333-278296) and 6,501,375 shares of Common Stock pursuant to the Company’s </w:t>
      </w:r>
      <w:hyperlink r:id="rId17">
        <w:r>
          <w:rPr>
            <w:rFonts w:ascii="Times New Roman" w:cs="Times New Roman" w:eastAsia="Times New Roman" w:hAnsi="Times New Roman"/>
            <w:sz w:val="18"/>
            <w:szCs w:val="18"/>
            <w:u w:val="single" w:color="auto"/>
            <w:color w:val="0000EE"/>
          </w:rPr>
          <w:t>Registration Statement on Form S-8 filed on 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(Commission File No. 333-286271) (collectively, the “Existing Plan Registration Statements”).</w:t>
      </w:r>
    </w:p>
    <w:p>
      <w:pPr>
        <w:spacing w:after="0" w:line="183" w:lineRule="exact"/>
        <w:rPr>
          <w:rFonts w:ascii="Times New Roman" w:cs="Times New Roman" w:eastAsia="Times New Roman" w:hAnsi="Times New Roman"/>
          <w:sz w:val="18"/>
          <w:szCs w:val="18"/>
          <w:color w:val="auto"/>
        </w:rPr>
      </w:pPr>
    </w:p>
    <w:p>
      <w:pPr>
        <w:ind w:right="120" w:firstLine="641"/>
        <w:spacing w:after="0" w:line="257" w:lineRule="auto"/>
        <w:rPr>
          <w:sz w:val="20"/>
          <w:szCs w:val="20"/>
          <w:color w:val="auto"/>
        </w:rPr>
      </w:pPr>
      <w:r>
        <w:rPr>
          <w:rFonts w:ascii="Times New Roman" w:cs="Times New Roman" w:eastAsia="Times New Roman" w:hAnsi="Times New Roman"/>
          <w:sz w:val="18"/>
          <w:szCs w:val="18"/>
          <w:color w:val="auto"/>
        </w:rPr>
        <w:t>Pursuant to General Instruction E to Form S-8 under the Securities Act of 1933, as amended, the contents of the Existing Plan Registration Statements, including any amendments thereto or filings incorporated therein by reference are incorporated herein by reference and made part of this Registration Statement. Any items in the Existing Plan Registration Statements not expressly changed hereby shall be as set forth in the applicable Existing Plan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2" w:name="page3"/>
    <w:bookmarkEnd w:id="2"/>
    <w:p>
      <w:pPr>
        <w:ind w:left="56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right="840" w:firstLine="641"/>
        <w:spacing w:after="0" w:line="277" w:lineRule="auto"/>
        <w:rPr>
          <w:sz w:val="20"/>
          <w:szCs w:val="20"/>
          <w:color w:val="auto"/>
        </w:rPr>
      </w:pPr>
      <w:r>
        <w:rPr>
          <w:rFonts w:ascii="Times New Roman" w:cs="Times New Roman" w:eastAsia="Times New Roman" w:hAnsi="Times New Roman"/>
          <w:sz w:val="18"/>
          <w:szCs w:val="18"/>
          <w:color w:val="auto"/>
        </w:rPr>
        <w:t>The following documents (File No. 001-818382) previously filed with the Securities and Exchange Commission (the “SEC”) are hereby incorporated by reference:</w:t>
      </w:r>
    </w:p>
    <w:p>
      <w:pPr>
        <w:spacing w:after="0" w:line="163" w:lineRule="exact"/>
        <w:rPr>
          <w:sz w:val="20"/>
          <w:szCs w:val="20"/>
          <w:color w:val="auto"/>
        </w:rPr>
      </w:pPr>
    </w:p>
    <w:p>
      <w:pPr>
        <w:ind w:left="640" w:right="60" w:hanging="313"/>
        <w:spacing w:after="0" w:line="308" w:lineRule="auto"/>
        <w:tabs>
          <w:tab w:leader="none" w:pos="6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Company’s </w:t>
      </w:r>
      <w:hyperlink r:id="rId19">
        <w:r>
          <w:rPr>
            <w:rFonts w:ascii="Times New Roman" w:cs="Times New Roman" w:eastAsia="Times New Roman" w:hAnsi="Times New Roman"/>
            <w:sz w:val="17"/>
            <w:szCs w:val="17"/>
            <w:u w:val="single" w:color="auto"/>
            <w:color w:val="0000EE"/>
          </w:rPr>
          <w:t>Annual Report on Form 10-K for the year ended December 31, 2025, filed with the SEC on March 27, 2026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(including the portions of the Company’s </w:t>
      </w:r>
      <w:hyperlink r:id="rId20">
        <w:r>
          <w:rPr>
            <w:rFonts w:ascii="Times New Roman" w:cs="Times New Roman" w:eastAsia="Times New Roman" w:hAnsi="Times New Roman"/>
            <w:sz w:val="17"/>
            <w:szCs w:val="17"/>
            <w:u w:val="single" w:color="auto"/>
            <w:color w:val="0000EE"/>
          </w:rPr>
          <w:t>Definitive Proxy Statement on Schedule 14A, filed with the SEC on April 28, 2026</w:t>
        </w:r>
      </w:hyperlink>
      <w:r>
        <w:rPr>
          <w:rFonts w:ascii="Times New Roman" w:cs="Times New Roman" w:eastAsia="Times New Roman" w:hAnsi="Times New Roman"/>
          <w:sz w:val="17"/>
          <w:szCs w:val="17"/>
          <w:color w:val="auto"/>
        </w:rPr>
        <w:t>, incorporated by reference therein);</w:t>
      </w:r>
    </w:p>
    <w:p>
      <w:pPr>
        <w:spacing w:after="0" w:line="166"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21">
        <w:r>
          <w:rPr>
            <w:rFonts w:ascii="Times New Roman" w:cs="Times New Roman" w:eastAsia="Times New Roman" w:hAnsi="Times New Roman"/>
            <w:sz w:val="18"/>
            <w:szCs w:val="18"/>
            <w:u w:val="single" w:color="auto"/>
            <w:color w:val="0000EE"/>
          </w:rPr>
          <w:t>Quarterly Report on Form 10-Q for the quarter ended March 31, 2026, filed with the SEC on May 13, 2026</w:t>
        </w:r>
      </w:hyperlink>
      <w:r>
        <w:rPr>
          <w:rFonts w:ascii="Times New Roman" w:cs="Times New Roman" w:eastAsia="Times New Roman" w:hAnsi="Times New Roman"/>
          <w:sz w:val="18"/>
          <w:szCs w:val="18"/>
          <w:color w:val="auto"/>
        </w:rPr>
        <w:t>;</w:t>
      </w:r>
    </w:p>
    <w:p>
      <w:pPr>
        <w:spacing w:after="0" w:line="247" w:lineRule="exact"/>
        <w:rPr>
          <w:rFonts w:ascii="Times New Roman" w:cs="Times New Roman" w:eastAsia="Times New Roman" w:hAnsi="Times New Roman"/>
          <w:sz w:val="18"/>
          <w:szCs w:val="18"/>
          <w:color w:val="auto"/>
        </w:rPr>
      </w:pPr>
    </w:p>
    <w:p>
      <w:pPr>
        <w:ind w:left="640" w:hanging="313"/>
        <w:spacing w:after="0" w:line="26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 No. 001-39532) (other than portions thereof furnished under Item 2.02 or Item 7.01 of Form 8-K and exhibits accompanying such reports that are related to such items) filed on </w:t>
      </w:r>
      <w:hyperlink r:id="rId22">
        <w:r>
          <w:rPr>
            <w:rFonts w:ascii="Times New Roman" w:cs="Times New Roman" w:eastAsia="Times New Roman" w:hAnsi="Times New Roman"/>
            <w:sz w:val="18"/>
            <w:szCs w:val="18"/>
            <w:u w:val="single" w:color="auto"/>
            <w:color w:val="0000EE"/>
          </w:rPr>
          <w:t>March 19, 2026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March 19, 2026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April 24,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
        <w:r>
          <w:rPr>
            <w:rFonts w:ascii="Times New Roman" w:cs="Times New Roman" w:eastAsia="Times New Roman" w:hAnsi="Times New Roman"/>
            <w:sz w:val="18"/>
            <w:szCs w:val="18"/>
            <w:u w:val="single" w:color="auto"/>
            <w:color w:val="0000EE"/>
          </w:rPr>
          <w:t>May 8, 2026</w:t>
        </w:r>
      </w:hyperlink>
      <w:r>
        <w:rPr>
          <w:rFonts w:ascii="Times New Roman" w:cs="Times New Roman" w:eastAsia="Times New Roman" w:hAnsi="Times New Roman"/>
          <w:sz w:val="18"/>
          <w:szCs w:val="18"/>
          <w:color w:val="auto"/>
        </w:rPr>
        <w:t>; and</w:t>
      </w:r>
    </w:p>
    <w:p>
      <w:pPr>
        <w:spacing w:after="0" w:line="203" w:lineRule="exact"/>
        <w:rPr>
          <w:rFonts w:ascii="Times New Roman" w:cs="Times New Roman" w:eastAsia="Times New Roman" w:hAnsi="Times New Roman"/>
          <w:sz w:val="18"/>
          <w:szCs w:val="18"/>
          <w:color w:val="auto"/>
        </w:rPr>
      </w:pPr>
    </w:p>
    <w:p>
      <w:pPr>
        <w:jc w:val="both"/>
        <w:ind w:left="640" w:hanging="313"/>
        <w:spacing w:after="0" w:line="308" w:lineRule="auto"/>
        <w:tabs>
          <w:tab w:leader="none" w:pos="6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Company’s Common Stock contained in </w:t>
      </w:r>
      <w:hyperlink r:id="rId26">
        <w:r>
          <w:rPr>
            <w:rFonts w:ascii="Times New Roman" w:cs="Times New Roman" w:eastAsia="Times New Roman" w:hAnsi="Times New Roman"/>
            <w:sz w:val="17"/>
            <w:szCs w:val="17"/>
            <w:u w:val="single" w:color="auto"/>
            <w:color w:val="0000EE"/>
          </w:rPr>
          <w:t>Exhibit 4.6</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Company’s Annual Report on Form 10-K for the fiscal year ended December 31, 2023, filed with the SEC on March 28, 2024, including any amendments or reports filed for the purposes of updating this description.</w:t>
      </w:r>
    </w:p>
    <w:p>
      <w:pPr>
        <w:spacing w:after="0" w:line="139" w:lineRule="exact"/>
        <w:rPr>
          <w:rFonts w:ascii="Times New Roman" w:cs="Times New Roman" w:eastAsia="Times New Roman" w:hAnsi="Times New Roman"/>
          <w:sz w:val="18"/>
          <w:szCs w:val="18"/>
          <w:color w:val="auto"/>
        </w:rPr>
      </w:pPr>
    </w:p>
    <w:p>
      <w:pPr>
        <w:ind w:firstLine="641"/>
        <w:spacing w:after="0" w:line="257" w:lineRule="auto"/>
        <w:rPr>
          <w:sz w:val="20"/>
          <w:szCs w:val="20"/>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Securities Exchange Act of 1934, as amended, prior to the filing of a post-effective amendment which indicates that all securities registered have been sold or which deregisters all securities then remaining unsold, shall be deemed to be incorporated by reference into this Registration Statement and to be a part hereof from the date of filing of such documents, except as to specific sections of such statements as set forth therein.</w:t>
      </w:r>
    </w:p>
    <w:p>
      <w:pPr>
        <w:spacing w:after="0" w:line="182" w:lineRule="exact"/>
        <w:rPr>
          <w:rFonts w:ascii="Times New Roman" w:cs="Times New Roman" w:eastAsia="Times New Roman" w:hAnsi="Times New Roman"/>
          <w:sz w:val="18"/>
          <w:szCs w:val="18"/>
          <w:color w:val="auto"/>
        </w:rPr>
      </w:pPr>
    </w:p>
    <w:p>
      <w:pPr>
        <w:ind w:right="40" w:firstLine="641"/>
        <w:spacing w:after="0" w:line="277" w:lineRule="auto"/>
        <w:rPr>
          <w:sz w:val="20"/>
          <w:szCs w:val="20"/>
          <w:color w:val="auto"/>
        </w:rPr>
      </w:pPr>
      <w:r>
        <w:rPr>
          <w:rFonts w:ascii="Times New Roman" w:cs="Times New Roman" w:eastAsia="Times New Roman" w:hAnsi="Times New Roman"/>
          <w:sz w:val="17"/>
          <w:szCs w:val="17"/>
          <w:color w:val="auto"/>
        </w:rPr>
        <w:t>Unless expressly incorporated into this Registration Statement, a report furnished on Form 8-K (or any portion thereof so furnished) prior or subsequent to the date hereof shall not be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405765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1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8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2"/>
        </w:trPr>
        <w:tc>
          <w:tcPr>
            <w:tcW w:w="320" w:type="dxa"/>
            <w:vAlign w:val="bottom"/>
            <w:gridSpan w:val="2"/>
          </w:tcPr>
          <w:p>
            <w:pPr>
              <w:spacing w:after="0" w:line="192"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60" w:type="dxa"/>
            <w:vAlign w:val="bottom"/>
            <w:gridSpan w:val="12"/>
          </w:tcPr>
          <w:p>
            <w:pPr>
              <w:spacing w:after="0" w:line="192"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Second Amended and Restated Certificate of Incorporation of Humacyte, Inc., as amended (incorporated by reference to Exhibit 3.1 to</w:t>
              </w:r>
            </w:hyperlink>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2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Humacyte, Inc.’s Current Report on Form 10-K, filed with the SEC on March 27, 2026).</w:t>
              </w:r>
            </w:hyperlink>
          </w:p>
        </w:tc>
        <w:tc>
          <w:tcPr>
            <w:tcW w:w="40" w:type="dxa"/>
            <w:vAlign w:val="bottom"/>
          </w:tcPr>
          <w:p>
            <w:pPr>
              <w:spacing w:after="0"/>
              <w:rPr>
                <w:sz w:val="16"/>
                <w:szCs w:val="16"/>
                <w:color w:val="auto"/>
              </w:rPr>
            </w:pPr>
          </w:p>
        </w:tc>
      </w:tr>
      <w:tr>
        <w:trPr>
          <w:trHeight w:val="20"/>
        </w:trPr>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07"/>
        </w:trPr>
        <w:tc>
          <w:tcPr>
            <w:tcW w:w="320" w:type="dxa"/>
            <w:vAlign w:val="bottom"/>
            <w:gridSpan w:val="2"/>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60" w:type="dxa"/>
            <w:vAlign w:val="bottom"/>
            <w:gridSpan w:val="12"/>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Amended and Restated By Laws of Humacyte, Inc. (incorporated by reference to Exhibit 3.2 to Humacyte, Inc.’s Current Report on</w:t>
              </w:r>
            </w:hyperlink>
          </w:p>
        </w:tc>
      </w:tr>
      <w:tr>
        <w:trPr>
          <w:trHeight w:val="194"/>
        </w:trPr>
        <w:tc>
          <w:tcPr>
            <w:tcW w:w="22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0" w:type="dxa"/>
            <w:vAlign w:val="bottom"/>
            <w:tcBorders>
              <w:top w:val="single" w:sz="8" w:color="0000EE"/>
            </w:tcBorders>
            <w:gridSpan w:val="10"/>
          </w:tcPr>
          <w:p>
            <w:pPr>
              <w:spacing w:after="0" w:line="194"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8-K, filed with the SEC on December 12, 2022).</w:t>
              </w:r>
            </w:hyperlink>
          </w:p>
        </w:tc>
        <w:tc>
          <w:tcPr>
            <w:tcW w:w="260" w:type="dxa"/>
            <w:vAlign w:val="bottom"/>
            <w:gridSpan w:val="2"/>
          </w:tcPr>
          <w:p>
            <w:pPr>
              <w:spacing w:after="0"/>
              <w:rPr>
                <w:sz w:val="16"/>
                <w:szCs w:val="16"/>
                <w:color w:val="auto"/>
              </w:rPr>
            </w:pPr>
          </w:p>
        </w:tc>
      </w:tr>
      <w:tr>
        <w:trPr>
          <w:trHeight w:val="407"/>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Opinion of Covington &amp; Burling LLP.</w:t>
            </w:r>
          </w:p>
        </w:tc>
        <w:tc>
          <w:tcPr>
            <w:tcW w:w="1140" w:type="dxa"/>
            <w:vAlign w:val="bottom"/>
            <w:tcBorders>
              <w:top w:val="single" w:sz="8" w:color="0000EE"/>
            </w:tcBorders>
            <w:gridSpan w:val="4"/>
          </w:tcPr>
          <w:p>
            <w:pPr>
              <w:spacing w:after="0"/>
              <w:rPr>
                <w:sz w:val="24"/>
                <w:szCs w:val="24"/>
                <w:color w:val="auto"/>
              </w:rPr>
            </w:pPr>
          </w:p>
        </w:tc>
        <w:tc>
          <w:tcPr>
            <w:tcW w:w="5780" w:type="dxa"/>
            <w:vAlign w:val="bottom"/>
            <w:gridSpan w:val="6"/>
          </w:tcPr>
          <w:p>
            <w:pPr>
              <w:spacing w:after="0"/>
              <w:rPr>
                <w:sz w:val="24"/>
                <w:szCs w:val="24"/>
                <w:color w:val="auto"/>
              </w:rPr>
            </w:pPr>
          </w:p>
        </w:tc>
      </w:tr>
      <w:tr>
        <w:trPr>
          <w:trHeight w:val="407"/>
        </w:trPr>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1*</w:t>
            </w:r>
          </w:p>
        </w:tc>
        <w:tc>
          <w:tcPr>
            <w:tcW w:w="1180" w:type="dxa"/>
            <w:vAlign w:val="bottom"/>
          </w:tcPr>
          <w:p>
            <w:pPr>
              <w:spacing w:after="0"/>
              <w:rPr>
                <w:sz w:val="24"/>
                <w:szCs w:val="24"/>
                <w:color w:val="auto"/>
              </w:rPr>
            </w:pPr>
          </w:p>
        </w:tc>
        <w:tc>
          <w:tcPr>
            <w:tcW w:w="96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Covington &amp; Burling LLP (included in Exhibit 5.1).</w:t>
            </w:r>
          </w:p>
        </w:tc>
      </w:tr>
      <w:tr>
        <w:trPr>
          <w:trHeight w:val="407"/>
        </w:trPr>
        <w:tc>
          <w:tcPr>
            <w:tcW w:w="4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2*</w:t>
            </w:r>
          </w:p>
        </w:tc>
        <w:tc>
          <w:tcPr>
            <w:tcW w:w="118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Consent of PricewaterhouseCoopers LLP.</w:t>
            </w:r>
          </w:p>
        </w:tc>
        <w:tc>
          <w:tcPr>
            <w:tcW w:w="1560" w:type="dxa"/>
            <w:vAlign w:val="bottom"/>
            <w:tcBorders>
              <w:top w:val="single" w:sz="8" w:color="0000EE"/>
            </w:tcBorders>
            <w:gridSpan w:val="4"/>
          </w:tcPr>
          <w:p>
            <w:pPr>
              <w:spacing w:after="0"/>
              <w:rPr>
                <w:sz w:val="24"/>
                <w:szCs w:val="24"/>
                <w:color w:val="auto"/>
              </w:rPr>
            </w:pPr>
          </w:p>
        </w:tc>
        <w:tc>
          <w:tcPr>
            <w:tcW w:w="5120" w:type="dxa"/>
            <w:vAlign w:val="bottom"/>
            <w:gridSpan w:val="5"/>
          </w:tcPr>
          <w:p>
            <w:pPr>
              <w:spacing w:after="0"/>
              <w:rPr>
                <w:sz w:val="24"/>
                <w:szCs w:val="24"/>
                <w:color w:val="auto"/>
              </w:rPr>
            </w:pPr>
          </w:p>
        </w:tc>
      </w:tr>
      <w:tr>
        <w:trPr>
          <w:trHeight w:val="407"/>
        </w:trPr>
        <w:tc>
          <w:tcPr>
            <w:tcW w:w="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3"/>
              </w:rPr>
              <w:t>24.</w:t>
            </w:r>
            <w:r>
              <w:rPr>
                <w:rFonts w:ascii="Times New Roman" w:cs="Times New Roman" w:eastAsia="Times New Roman" w:hAnsi="Times New Roman"/>
                <w:sz w:val="18"/>
                <w:szCs w:val="18"/>
                <w:u w:val="single" w:color="auto"/>
                <w:color w:val="0000EE"/>
                <w:w w:val="93"/>
              </w:rPr>
              <w:t>1*</w:t>
            </w:r>
          </w:p>
        </w:tc>
        <w:tc>
          <w:tcPr>
            <w:tcW w:w="1180" w:type="dxa"/>
            <w:vAlign w:val="bottom"/>
          </w:tcPr>
          <w:p>
            <w:pPr>
              <w:spacing w:after="0"/>
              <w:rPr>
                <w:sz w:val="24"/>
                <w:szCs w:val="24"/>
                <w:color w:val="auto"/>
              </w:rPr>
            </w:pPr>
          </w:p>
        </w:tc>
        <w:tc>
          <w:tcPr>
            <w:tcW w:w="3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signature page).</w:t>
            </w:r>
          </w:p>
        </w:tc>
        <w:tc>
          <w:tcPr>
            <w:tcW w:w="6260" w:type="dxa"/>
            <w:vAlign w:val="bottom"/>
            <w:gridSpan w:val="8"/>
          </w:tcPr>
          <w:p>
            <w:pPr>
              <w:spacing w:after="0"/>
              <w:rPr>
                <w:sz w:val="24"/>
                <w:szCs w:val="24"/>
                <w:color w:val="auto"/>
              </w:rPr>
            </w:pPr>
          </w:p>
        </w:tc>
      </w:tr>
      <w:tr>
        <w:trPr>
          <w:trHeight w:val="407"/>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r:id="rId30">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Humacyte, Inc. 2021 Long-Term Incentive Plan (incorporated by reference to Exhibit 10.4 to Humacyte, Inc.’s Current Report on</w:t>
              </w:r>
            </w:hyperlink>
          </w:p>
        </w:tc>
        <w:tc>
          <w:tcPr>
            <w:tcW w:w="420" w:type="dxa"/>
            <w:vAlign w:val="bottom"/>
            <w:gridSpan w:val="3"/>
          </w:tcPr>
          <w:p>
            <w:pPr>
              <w:spacing w:after="0"/>
              <w:rPr>
                <w:sz w:val="24"/>
                <w:szCs w:val="24"/>
                <w:color w:val="auto"/>
              </w:rPr>
            </w:pPr>
          </w:p>
        </w:tc>
      </w:tr>
      <w:tr>
        <w:trPr>
          <w:trHeight w:val="194"/>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8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Form 8-K, filed with the SEC on August 27, 2021).</w:t>
              </w:r>
            </w:hyperlink>
          </w:p>
        </w:tc>
        <w:tc>
          <w:tcPr>
            <w:tcW w:w="5980" w:type="dxa"/>
            <w:vAlign w:val="bottom"/>
            <w:gridSpan w:val="7"/>
          </w:tcPr>
          <w:p>
            <w:pPr>
              <w:spacing w:after="0"/>
              <w:rPr>
                <w:sz w:val="16"/>
                <w:szCs w:val="16"/>
                <w:color w:val="auto"/>
              </w:rPr>
            </w:pPr>
          </w:p>
        </w:tc>
      </w:tr>
      <w:tr>
        <w:trPr>
          <w:trHeight w:val="407"/>
        </w:trPr>
        <w:tc>
          <w:tcPr>
            <w:tcW w:w="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4"/>
              </w:rPr>
              <w:t>107*</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440" w:type="dxa"/>
            <w:vAlign w:val="bottom"/>
            <w:gridSpan w:val="11"/>
          </w:tcPr>
          <w:p>
            <w:pPr>
              <w:spacing w:after="0"/>
              <w:rPr>
                <w:sz w:val="24"/>
                <w:szCs w:val="24"/>
                <w:color w:val="auto"/>
              </w:rPr>
            </w:pPr>
          </w:p>
        </w:tc>
      </w:tr>
      <w:tr>
        <w:trPr>
          <w:trHeight w:val="448"/>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67"/>
        </w:trPr>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firstLine="64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Humacyte, Inc. certifies that it has reasonable grounds to believe that it meets all of the requirements for filing on Form S-8 and has duly caused this Registration Statement to be signed on its behalf by the undersigned, thereunto duly authorized, in the City of Durham, State of North Carolina, on May 14, 2026.</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HUMACYTE,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Laura E. Niklason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15875</wp:posOffset>
            </wp:positionV>
            <wp:extent cx="3350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Laura E. Niklason, M.D., Ph.D.</w:t>
      </w:r>
    </w:p>
    <w:p>
      <w:pPr>
        <w:spacing w:after="0" w:line="20"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19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Laura E. Niklason and Dale A. Sander, and each of them severally,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may lawfully do or cause to be done by virtue hereof.</w:t>
      </w:r>
    </w:p>
    <w:p>
      <w:pPr>
        <w:spacing w:after="0" w:line="189" w:lineRule="exact"/>
        <w:rPr>
          <w:sz w:val="20"/>
          <w:szCs w:val="20"/>
          <w:color w:val="auto"/>
        </w:rPr>
      </w:pPr>
    </w:p>
    <w:p>
      <w:pPr>
        <w:ind w:right="44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May 14, 2026.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5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Signature</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Title</w:t>
            </w:r>
          </w:p>
        </w:tc>
        <w:tc>
          <w:tcPr>
            <w:tcW w:w="0" w:type="dxa"/>
            <w:vAlign w:val="bottom"/>
          </w:tcPr>
          <w:p>
            <w:pPr>
              <w:spacing w:after="0"/>
              <w:rPr>
                <w:sz w:val="1"/>
                <w:szCs w:val="1"/>
                <w:color w:val="auto"/>
              </w:rPr>
            </w:pPr>
          </w:p>
        </w:tc>
      </w:tr>
      <w:tr>
        <w:trPr>
          <w:trHeight w:val="427"/>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Laura E. Niklason</w:t>
            </w:r>
          </w:p>
        </w:tc>
        <w:tc>
          <w:tcPr>
            <w:tcW w:w="57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E. Niklason, M.D., Ph.D.</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0" w:type="dxa"/>
            <w:vAlign w:val="bottom"/>
          </w:tcPr>
          <w:p>
            <w:pPr>
              <w:spacing w:after="0"/>
              <w:rPr>
                <w:sz w:val="1"/>
                <w:szCs w:val="1"/>
                <w:color w:val="auto"/>
              </w:rPr>
            </w:pPr>
          </w:p>
        </w:tc>
      </w:tr>
      <w:tr>
        <w:trPr>
          <w:trHeight w:val="409"/>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 Dale A. Sander</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Chief Financial Officer, Chief Corporate Development Officer and Treasurer</w:t>
            </w:r>
          </w:p>
        </w:tc>
        <w:tc>
          <w:tcPr>
            <w:tcW w:w="0" w:type="dxa"/>
            <w:vAlign w:val="bottom"/>
          </w:tcPr>
          <w:p>
            <w:pPr>
              <w:spacing w:after="0"/>
              <w:rPr>
                <w:sz w:val="1"/>
                <w:szCs w:val="1"/>
                <w:color w:val="auto"/>
              </w:rPr>
            </w:pPr>
          </w:p>
        </w:tc>
      </w:tr>
      <w:tr>
        <w:trPr>
          <w:trHeight w:val="218"/>
        </w:trPr>
        <w:tc>
          <w:tcPr>
            <w:tcW w:w="5520" w:type="dxa"/>
            <w:vAlign w:val="bottom"/>
            <w:tcBorders>
              <w:bottom w:val="single" w:sz="8" w:color="auto"/>
            </w:tcBorders>
            <w:gridSpan w:val="2"/>
            <w:vMerge w:val="continue"/>
          </w:tcPr>
          <w:p>
            <w:pPr>
              <w:spacing w:after="0"/>
              <w:rPr>
                <w:sz w:val="18"/>
                <w:szCs w:val="18"/>
                <w:color w:val="auto"/>
              </w:rPr>
            </w:pPr>
          </w:p>
        </w:tc>
        <w:tc>
          <w:tcPr>
            <w:tcW w:w="572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Dale A. Sander</w:t>
            </w: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Bamforth</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Bamforth</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Emery N. Brown</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Emery N. Brown, M.D., Ph.D.</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T. Constantino</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 Constantino</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Brady W. Dougan</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Brady W. Dougan</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 Bruce Green</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Bruce Green, M.D.</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Keith Anthony Jones</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Anthony Jones, M.D.</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Todd M. Pope</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M. Pope</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Kathleen Sebelius</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Diane Seimetz</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Seimetz</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Max Wallace</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Wallace, J.D.</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Susan Windham-Bannister</w:t>
            </w:r>
          </w:p>
        </w:tc>
        <w:tc>
          <w:tcPr>
            <w:tcW w:w="57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Windham-Bannister, Ph.D.</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6"/>
        </w:trPr>
        <w:tc>
          <w:tcPr>
            <w:tcW w:w="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2" w:right="339" w:bottom="358"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2909570" cy="661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2909570" cy="661670"/>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154305</wp:posOffset>
            </wp:positionV>
            <wp:extent cx="1696720" cy="729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1696720" cy="729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14,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Humacyte,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2525 East North Carolina Highway 54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Durham, NC 27713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8" w:lineRule="exact"/>
        <w:rPr>
          <w:sz w:val="20"/>
          <w:szCs w:val="20"/>
          <w:color w:val="auto"/>
        </w:rPr>
      </w:pPr>
    </w:p>
    <w:p>
      <w:pPr>
        <w:ind w:right="260" w:firstLine="641"/>
        <w:spacing w:after="0" w:line="258" w:lineRule="auto"/>
        <w:rPr>
          <w:sz w:val="20"/>
          <w:szCs w:val="20"/>
          <w:color w:val="auto"/>
        </w:rPr>
      </w:pPr>
      <w:r>
        <w:rPr>
          <w:rFonts w:ascii="Times New Roman" w:cs="Times New Roman" w:eastAsia="Times New Roman" w:hAnsi="Times New Roman"/>
          <w:sz w:val="18"/>
          <w:szCs w:val="18"/>
          <w:color w:val="auto"/>
        </w:rPr>
        <w:t>We have acted as counsel to Humacyte,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are rendering this opinion in connection with the registration by the Company under the Securities Act of 1933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of the offer and sale of 4,000,000 shares of the Company’s common stock, par value $0.0001 per share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issuable under the Company’s 2021 Long-Term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pursuant to the registration statement on Form S-8 filed with the United States Securities and Exchange Commission on the date hereof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641"/>
        <w:spacing w:after="0" w:line="255" w:lineRule="auto"/>
        <w:rPr>
          <w:sz w:val="20"/>
          <w:szCs w:val="20"/>
          <w:color w:val="auto"/>
        </w:rPr>
      </w:pPr>
      <w:r>
        <w:rPr>
          <w:rFonts w:ascii="Times New Roman" w:cs="Times New Roman" w:eastAsia="Times New Roman" w:hAnsi="Times New Roman"/>
          <w:sz w:val="18"/>
          <w:szCs w:val="18"/>
          <w:color w:val="auto"/>
        </w:rPr>
        <w:t>We have reviewed the Registration Statement, the Plan, and such corporate records, certificates and other documents, and such questions of law, as we deemed necessary or appropriate for the purposes of this opinion. We have assumed that all signatures are genuine, that all documents submitted to us as originals are authentic and that all copies of documents submitted to us conform to the originals. We have assumed further that, except as to legal conclusions expressly set forth in this opinion, the information contained in the agreements, records, certificates and other documents we reviewed were true, accurate and complete as of their stated date and are true, accurate and complete as of the date of this letter.</w:t>
      </w:r>
    </w:p>
    <w:p>
      <w:pPr>
        <w:spacing w:after="0" w:line="183" w:lineRule="exact"/>
        <w:rPr>
          <w:sz w:val="20"/>
          <w:szCs w:val="20"/>
          <w:color w:val="auto"/>
        </w:rPr>
      </w:pPr>
    </w:p>
    <w:p>
      <w:pPr>
        <w:ind w:right="200" w:firstLine="641"/>
        <w:spacing w:after="0" w:line="277"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 responsible.</w:t>
      </w:r>
    </w:p>
    <w:p>
      <w:pPr>
        <w:spacing w:after="0" w:line="163" w:lineRule="exact"/>
        <w:rPr>
          <w:sz w:val="20"/>
          <w:szCs w:val="20"/>
          <w:color w:val="auto"/>
        </w:rPr>
      </w:pPr>
    </w:p>
    <w:p>
      <w:pPr>
        <w:ind w:right="340" w:firstLine="641"/>
        <w:spacing w:after="0" w:line="277"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have been duly authorized and, when issued in accordance with the terms of the Plan, and any individual agreements relating to such Shares, the Shares will be validly issued, fully paid and nonassessable.</w:t>
      </w:r>
    </w:p>
    <w:p>
      <w:pPr>
        <w:spacing w:after="0" w:line="163" w:lineRule="exact"/>
        <w:rPr>
          <w:sz w:val="20"/>
          <w:szCs w:val="20"/>
          <w:color w:val="auto"/>
        </w:rPr>
      </w:pPr>
    </w:p>
    <w:p>
      <w:pPr>
        <w:ind w:right="680" w:firstLine="641"/>
        <w:spacing w:after="0" w:line="277" w:lineRule="auto"/>
        <w:rPr>
          <w:sz w:val="20"/>
          <w:szCs w:val="20"/>
          <w:color w:val="auto"/>
        </w:rPr>
      </w:pPr>
      <w:r>
        <w:rPr>
          <w:rFonts w:ascii="Times New Roman" w:cs="Times New Roman" w:eastAsia="Times New Roman" w:hAnsi="Times New Roman"/>
          <w:sz w:val="18"/>
          <w:szCs w:val="18"/>
          <w:color w:val="auto"/>
        </w:rPr>
        <w:t>We are members of the bar of the District of Columbia. We do not express any opinion herein on any laws other than the Delaware General Corporation Law.</w:t>
      </w:r>
    </w:p>
    <w:p>
      <w:pPr>
        <w:spacing w:after="0" w:line="163" w:lineRule="exact"/>
        <w:rPr>
          <w:sz w:val="20"/>
          <w:szCs w:val="20"/>
          <w:color w:val="auto"/>
        </w:rPr>
      </w:pPr>
    </w:p>
    <w:p>
      <w:pPr>
        <w:ind w:right="60" w:firstLine="641"/>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In giving such consent, we do not thereby admit that we are in the category of persons whose consent is required under Section 7 of the Securities Act.</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Humacyte, Inc. of our report dated March 27, 2026 relating to the financial statements, which appears in Humacyte, Inc.'s Annual Report on Form 10-K for the year ended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2026</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Humacyte,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4,000,000</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$ 0.95</w:t>
            </w:r>
          </w:p>
        </w:tc>
        <w:tc>
          <w:tcPr>
            <w:tcW w:w="4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$ 3,800,000.00</w:t>
            </w:r>
          </w:p>
        </w:tc>
        <w:tc>
          <w:tcPr>
            <w:tcW w:w="4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$ 524.78</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$ 3,800,000.00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$ 524.78</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$ 524.78</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80"/>
        <w:spacing w:after="0" w:line="258" w:lineRule="auto"/>
        <w:rPr>
          <w:sz w:val="20"/>
          <w:szCs w:val="20"/>
          <w:color w:val="auto"/>
        </w:rPr>
      </w:pPr>
      <w:r>
        <w:rPr>
          <w:rFonts w:ascii="Arial" w:cs="Arial" w:eastAsia="Arial" w:hAnsi="Arial"/>
          <w:sz w:val="21"/>
          <w:szCs w:val="21"/>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183" w:lineRule="exact"/>
        <w:rPr>
          <w:sz w:val="20"/>
          <w:szCs w:val="20"/>
          <w:color w:val="auto"/>
        </w:rPr>
      </w:pPr>
    </w:p>
    <w:p>
      <w:pPr>
        <w:ind w:left="800" w:right="640"/>
        <w:spacing w:after="0" w:line="248" w:lineRule="auto"/>
        <w:rPr>
          <w:sz w:val="20"/>
          <w:szCs w:val="20"/>
          <w:color w:val="auto"/>
        </w:rPr>
      </w:pPr>
      <w:r>
        <w:rPr>
          <w:rFonts w:ascii="Arial" w:cs="Arial" w:eastAsia="Arial" w:hAnsi="Arial"/>
          <w:sz w:val="21"/>
          <w:szCs w:val="21"/>
          <w:color w:val="auto"/>
        </w:rPr>
        <w:t>Represents additional shares of common stock, par value $0.0001 per share ("Common Stock"), of Humacyte, Inc. (the "Company") reserved for issuance under the Humacyte, Inc. 2021 Long-Term Incentive Plan (the "Plan"). Pursuant to an action by the board of directors of the Company, the number of shares of Common Stock reserved and available for issuance under the Plan increased by 4,000,000 shares on January 1, 2026.</w:t>
      </w:r>
    </w:p>
    <w:p>
      <w:pPr>
        <w:spacing w:after="0" w:line="195" w:lineRule="exact"/>
        <w:rPr>
          <w:sz w:val="20"/>
          <w:szCs w:val="20"/>
          <w:color w:val="auto"/>
        </w:rPr>
      </w:pPr>
    </w:p>
    <w:p>
      <w:pPr>
        <w:jc w:val="both"/>
        <w:ind w:left="800" w:right="760"/>
        <w:spacing w:after="0" w:line="252" w:lineRule="auto"/>
        <w:rPr>
          <w:sz w:val="20"/>
          <w:szCs w:val="20"/>
          <w:color w:val="auto"/>
        </w:rPr>
      </w:pPr>
      <w:r>
        <w:rPr>
          <w:rFonts w:ascii="Arial" w:cs="Arial" w:eastAsia="Arial" w:hAnsi="Arial"/>
          <w:sz w:val="21"/>
          <w:szCs w:val="21"/>
          <w:color w:val="auto"/>
        </w:rPr>
        <w:t>Estimated solely for the purpose of calculating the registration fee pursuant to Rules 457(c) and 457(h) under the Securities Act of 1933, as amended, and based upon the average of the high and low prices of the Common Stock, as reported on the Nasdaq Global Select Market under the symbol "HUMA" on May 12, 2026, which was $0.95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225425</wp:posOffset>
            </wp:positionV>
            <wp:extent cx="6387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27"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jpeg"/><Relationship Id="rId33" Type="http://schemas.openxmlformats.org/officeDocument/2006/relationships/image" Target="media/image12.jpe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15" Type="http://schemas.openxmlformats.org/officeDocument/2006/relationships/hyperlink" Target="https://www.sec.gov/Archives/edgar/data/1818382/000110465921131098/tm2131108d1_s8.htm" TargetMode="External"/><Relationship Id="rId16" Type="http://schemas.openxmlformats.org/officeDocument/2006/relationships/hyperlink" Target="https://www.sec.gov/Archives/edgar/data/1818382/000181838224000042/huma20240328s-8.htm" TargetMode="External"/><Relationship Id="rId17" Type="http://schemas.openxmlformats.org/officeDocument/2006/relationships/hyperlink" Target="https://www.sec.gov/Archives/edgar/data/1818382/000181838225000037/huma20250331s-8.htm" TargetMode="External"/><Relationship Id="rId19" Type="http://schemas.openxmlformats.org/officeDocument/2006/relationships/hyperlink" Target="http://www.sec.gov/ix?doc=/Archives/edgar/data/0001818382/000181838226000004/huma-20251231.htm" TargetMode="External"/><Relationship Id="rId20" Type="http://schemas.openxmlformats.org/officeDocument/2006/relationships/hyperlink" Target="https://www.sec.gov/ix?doc=/Archives/edgar/data/0001818382/000119312526187449/huma-20260428.htm" TargetMode="External"/><Relationship Id="rId21" Type="http://schemas.openxmlformats.org/officeDocument/2006/relationships/hyperlink" Target="https://www.sec.gov/ix?doc=/Archives/edgar/data/1818382/000119312526221755/huma-20260331.htm" TargetMode="External"/><Relationship Id="rId22" Type="http://schemas.openxmlformats.org/officeDocument/2006/relationships/hyperlink" Target="https://www.sec.gov/ix?doc=/Archives/edgar/data/0001818382/000110465926031780/tm269106d1_8k.htm" TargetMode="External"/><Relationship Id="rId23" Type="http://schemas.openxmlformats.org/officeDocument/2006/relationships/hyperlink" Target="https://www.sec.gov/ix?doc=/Archives/edgar/data/0001818382/000110465926032116/tm269106d2_8k.htm" TargetMode="External"/><Relationship Id="rId24" Type="http://schemas.openxmlformats.org/officeDocument/2006/relationships/hyperlink" Target="https://www.sec.gov/ix?doc=/Archives/edgar/data/0001818382/000110465926048164/tm2612631d1_8k.htm" TargetMode="External"/><Relationship Id="rId25" Type="http://schemas.openxmlformats.org/officeDocument/2006/relationships/hyperlink" Target="https://www.sec.gov/ix?doc=/Archives/edgar/data/0001818382/000110465926057974/tm2614071d1_8k.htm" TargetMode="External"/><Relationship Id="rId26" Type="http://schemas.openxmlformats.org/officeDocument/2006/relationships/hyperlink" Target="https://www.sec.gov/Archives/edgar/data/1818382/000181838224000040/huma-20231231x10kxexhibit46.htm" TargetMode="External"/><Relationship Id="rId28" Type="http://schemas.openxmlformats.org/officeDocument/2006/relationships/hyperlink" Target="http://www.sec.gov/Archives/edgar/data/1818382/000181838226000004/huma-ex3_1.htm" TargetMode="External"/><Relationship Id="rId29" Type="http://schemas.openxmlformats.org/officeDocument/2006/relationships/hyperlink" Target="http://www.sec.gov/Archives/edgar/data/1818382/000181838222000195/huma-20221208xexhibit32.htm" TargetMode="External"/><Relationship Id="rId30" Type="http://schemas.openxmlformats.org/officeDocument/2006/relationships/hyperlink" Target="http://www.sec.gov/Archives/edgar/data/1818382/000110465921110678/tm2126013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2026-05-14T15:46:18Z</dcterms:created>
  <dcterms:modified xsi:type="dcterms:W3CDTF">2026-05-14T15:46:18Z</dcterms:modified>
</cp:coreProperties>
</file>