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ma-20260922.htm"/>
      <w:bookmarkStart w:id="1" w:name="kshuma20260922"/>
      <w:bookmarkEnd w:id="0"/>
      <w:bookmarkEnd w:id="1"/>
      <w:r>
        <w:rPr/>
        <w:t> </w:t>
      </w:r>
    </w:p>
    <w:p>
      <w:pPr>
        <w:pStyle w:val="TextBody"/>
        <w:pBdr>
          <w:top w:val="single" w:sz="12" w:space="1" w:color="000000"/>
        </w:pBdr>
        <w:bidi w:val="0"/>
        <w:jc w:val="left"/>
        <w:rPr/>
      </w:pPr>
      <w:bookmarkStart w:id="2" w:name="section1"/>
      <w:bookmarkEnd w:id="2"/>
      <w:r>
        <w:rPr/>
        <w:t> </w:t>
      </w:r>
    </w:p>
    <w:p>
      <w:pPr>
        <w:pStyle w:val="TextBody"/>
        <w:pBdr>
          <w:top w:val="sing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Washington, D.C. 20549</w:t>
      </w:r>
    </w:p>
    <w:p>
      <w:pPr>
        <w:pStyle w:val="TextBody"/>
        <w:pBdr>
          <w:top w:val="single" w:sz="6" w:space="1" w:color="000000"/>
        </w:pBdr>
        <w:bidi w:val="0"/>
        <w:jc w:val="left"/>
        <w:rPr/>
      </w:pPr>
      <w:r>
        <w:rPr/>
        <w:t> </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Date of Report (Date of earliest event reported): September 22, 2026</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Humacyte, Inc.</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top w:val="single" w:sz="6" w:space="1" w:color="000000"/>
        </w:pBdr>
        <w:bidi w:val="0"/>
        <w:jc w:val="center"/>
        <w:rPr/>
      </w:pPr>
      <w:r>
        <w:rPr/>
        <w:t> </w:t>
      </w:r>
    </w:p>
    <w:p>
      <w:pPr>
        <w:pStyle w:val="TextBody"/>
        <w:bidi w:val="0"/>
        <w:jc w:val="left"/>
        <w:rPr/>
      </w:pPr>
      <w:r>
        <w:rPr/>
        <w:t> </w:t>
      </w:r>
    </w:p>
    <w:tbl>
      <w:tblPr>
        <w:tblW w:w="6888" w:type="dxa"/>
        <w:jc w:val="left"/>
        <w:tblInd w:w="0" w:type="dxa"/>
        <w:tblLayout w:type="fixed"/>
        <w:tblCellMar>
          <w:top w:w="28" w:type="dxa"/>
          <w:left w:w="28" w:type="dxa"/>
          <w:bottom w:w="28" w:type="dxa"/>
          <w:right w:w="28" w:type="dxa"/>
        </w:tblCellMar>
      </w:tblPr>
      <w:tblGrid>
        <w:gridCol w:w="2581"/>
        <w:gridCol w:w="2296"/>
        <w:gridCol w:w="2011"/>
      </w:tblGrid>
      <w:tr>
        <w:trPr/>
        <w:tc>
          <w:tcPr>
            <w:tcW w:w="25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001-39532</w:t>
            </w:r>
          </w:p>
        </w:tc>
        <w:tc>
          <w:tcPr>
            <w:tcW w:w="201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85-1763759</w:t>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20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Number)</w:t>
            </w:r>
          </w:p>
        </w:tc>
      </w:tr>
    </w:tbl>
    <w:p>
      <w:pPr>
        <w:pStyle w:val="TextBody"/>
        <w:bidi w:val="0"/>
        <w:jc w:val="left"/>
        <w:rPr/>
      </w:pPr>
      <w:r>
        <w:rPr/>
        <w:t> </w:t>
      </w:r>
    </w:p>
    <w:tbl>
      <w:tblPr>
        <w:tblW w:w="4366" w:type="dxa"/>
        <w:jc w:val="left"/>
        <w:tblInd w:w="0" w:type="dxa"/>
        <w:tblLayout w:type="fixed"/>
        <w:tblCellMar>
          <w:top w:w="28" w:type="dxa"/>
          <w:left w:w="28" w:type="dxa"/>
          <w:bottom w:w="28" w:type="dxa"/>
          <w:right w:w="28" w:type="dxa"/>
        </w:tblCellMar>
      </w:tblPr>
      <w:tblGrid>
        <w:gridCol w:w="2358"/>
        <w:gridCol w:w="1017"/>
        <w:gridCol w:w="991"/>
      </w:tblGrid>
      <w:tr>
        <w:trPr/>
        <w:tc>
          <w:tcPr>
            <w:tcW w:w="23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2525 East North Carolina Highway 54</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Durham,</w:t>
            </w:r>
          </w:p>
        </w:tc>
        <w:tc>
          <w:tcPr>
            <w:tcW w:w="10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NC</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27713</w:t>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(919) 313-9633</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20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482" w:type="dxa"/>
        <w:jc w:val="left"/>
        <w:tblInd w:w="0" w:type="dxa"/>
        <w:tblLayout w:type="fixed"/>
        <w:tblCellMar>
          <w:top w:w="28" w:type="dxa"/>
          <w:left w:w="28" w:type="dxa"/>
          <w:bottom w:w="28" w:type="dxa"/>
          <w:right w:w="28" w:type="dxa"/>
        </w:tblCellMar>
      </w:tblPr>
      <w:tblGrid>
        <w:gridCol w:w="301"/>
        <w:gridCol w:w="9181"/>
      </w:tblGrid>
      <w:tr>
        <w:trPr/>
        <w:tc>
          <w:tcPr>
            <w:tcW w:w="30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Wingdings;serif" w:hAnsi="Wingdings;serif"/>
                <w:color w:val="000000"/>
                <w:sz w:val="20"/>
              </w:rPr>
            </w:pPr>
            <w:r>
              <w:rPr>
                <w:rFonts w:ascii="Wingdings;serif" w:hAnsi="Wingdings;serif"/>
                <w:color w:val="000000"/>
                <w:sz w:val="20"/>
              </w:rPr>
              <w:t>o</w:t>
            </w:r>
          </w:p>
        </w:tc>
        <w:tc>
          <w:tcPr>
            <w:tcW w:w="91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Wingdings;serif" w:hAnsi="Wingdings;serif"/>
                <w:color w:val="000000"/>
                <w:sz w:val="20"/>
              </w:rPr>
            </w:pPr>
            <w:r>
              <w:rPr>
                <w:rFonts w:ascii="Wingdings;serif" w:hAnsi="Wingdings;serif"/>
                <w:color w:val="000000"/>
                <w:sz w:val="20"/>
              </w:rPr>
              <w:t>o</w:t>
            </w:r>
          </w:p>
        </w:tc>
        <w:tc>
          <w:tcPr>
            <w:tcW w:w="91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Wingdings;serif" w:hAnsi="Wingdings;serif"/>
                <w:color w:val="000000"/>
                <w:sz w:val="20"/>
              </w:rPr>
            </w:pPr>
            <w:r>
              <w:rPr>
                <w:rFonts w:ascii="Wingdings;serif" w:hAnsi="Wingdings;serif"/>
                <w:color w:val="000000"/>
                <w:sz w:val="20"/>
              </w:rPr>
              <w:t>o</w:t>
            </w:r>
          </w:p>
        </w:tc>
        <w:tc>
          <w:tcPr>
            <w:tcW w:w="91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pBdr>
          <w:top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785" w:type="dxa"/>
        <w:jc w:val="left"/>
        <w:tblInd w:w="0" w:type="dxa"/>
        <w:tblLayout w:type="fixed"/>
        <w:tblCellMar>
          <w:top w:w="28" w:type="dxa"/>
          <w:left w:w="28" w:type="dxa"/>
          <w:bottom w:w="28" w:type="dxa"/>
          <w:right w:w="28" w:type="dxa"/>
        </w:tblCellMar>
      </w:tblPr>
      <w:tblGrid>
        <w:gridCol w:w="3871"/>
        <w:gridCol w:w="146"/>
        <w:gridCol w:w="1696"/>
        <w:gridCol w:w="146"/>
        <w:gridCol w:w="29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Name of each exchange on which</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HUMA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Emerging growth company </w:t>
      </w:r>
      <w:r>
        <w:rPr>
          <w:rFonts w:ascii="Wingdings;serif" w:hAnsi="Wingdings;serif"/>
          <w:color w:val="000000"/>
          <w:sz w:val="20"/>
        </w:rPr>
        <w:t>o</w:t>
      </w:r>
    </w:p>
    <w:p>
      <w:pPr>
        <w:pStyle w:val="TextBody"/>
        <w:bidi w:val="0"/>
        <w:spacing w:before="120" w:after="200"/>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erif" w:hAnsi="Wingdings;serif"/>
          <w:color w:val="000000"/>
          <w:sz w:val="20"/>
        </w:rPr>
        <w:t>o</w:t>
      </w:r>
    </w:p>
    <w:p>
      <w:pPr>
        <w:pStyle w:val="TextBody"/>
        <w:pBdr>
          <w:top w:val="single" w:sz="6" w:space="1" w:color="000000"/>
        </w:pBdr>
        <w:bidi w:val="0"/>
        <w:jc w:val="left"/>
        <w:rPr/>
      </w:pPr>
      <w:r>
        <w:rPr/>
        <w:t> </w:t>
      </w:r>
    </w:p>
    <w:p>
      <w:pPr>
        <w:pStyle w:val="TextBody"/>
        <w:pBdr>
          <w:top w:val="single" w:sz="12"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section2"/>
      <w:bookmarkEnd w:id="3"/>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22, 2026, the Board of Directors (the “Board”) of Humacyte, Inc. (the “Company”), appointed Scott Coward and Paul Kuznik to the Board. Mr. Coward will serve as a Class I director with a term expiring in 2028, or until his earlier death, resignation, retirement, disqualification or removal. Mr. Kuznik will serve as a Class II director with a term expiring in 2029, or until his earlier death, resignation, retirement, disqualification or removal.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Coward has been an attorney at K&amp;L Gates since July 2026, previously serving as the managing partner of the Raleigh office. Prior to that, he served as Executive Vice President, Chief Legal Officer, Chief Administrative Officer and Secretary of Exact Sciences Corporation from January 2015 to December 2022. Mr. Coward led the integration of Genomic Health Corporation following its acquisition by Exact Sciences. He served on the Exact Sciences board of directors from December 2022 to March 2026. Mr. Coward brings significant experience in public company board service and corporate governance, executive leadership within publicly traded life sciences companies, mergers and acquisitions and post-acquisition integration, executive compensation, compliance and legal affairs, organizational leadership during periods of substantial growth and change, and has partnered with executive management teams and boards through transformational corporate events. Mr. Coward received his J.D. from Columbia Law School and his B.S. from the University of North Carolina at Chapel Hill. He has been appointed to the Company’s Audit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Kuznik is a medical technology executive whose career spans more than three decades in diagnostics, cardiovascular devices, and vascular healthcare. From 2015 to 2018, Mr. Kuznik served as the Chief Executive Officer and a member of the board of directors of Bolton Medical, a developer of endovascular technologies for complex aortic disease, which was acquired by Terumo Corporation. Following the acquisition, Mr. Kuznik remained with Terumo Corporation, one of Japan's leading global medical technology companies. He helped integrate Bolton Medical with Vascutek to create Terumo Aortic and subsequently served as President of Terumo Aortic United States from 2019 to 2020 and as President of Terumo Aortic North America from 2020 to 2023. Mr. Kuznik brings extensive experience in commercialization, enterprise leadership, organizational integration, manufacturing, clinical affairs, regulatory oversight, quality systems, strategic planning, physician engagement and board governance. Mr. Kuznik is a graduate of the United States Military Academy at West Point and served as an officer in the United States Army. He has been appointed to the Company’s Commercial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their service on the Board, each of Mr. Coward and Mr. Kuznik will participate in the Company’s previously disclosed compensation program for non-employee directors, pursuant to which each will receive (i) a $50,000 annual cash retainer (prorated in 2026 for his partial year of service), (ii) $5,000 per annum for service on a board committee (prorated in 2026 for his partial year of service) and (iii) an option to purchase 125,000 shares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arrangement between either Mr. Coward or Mr. Kuznik and any other person pursuant to which Mr. Coward or Mr. Kuznik, respectively, was selected as a director. Neither Mr. Coward nor Mr. Kuznik has a direct or indirect material interest in any existing or currently proposed transaction that would require disclosure under Item 404(a) of Regulation S-K.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28, 2026, the Company issued a press release announcing the appointment of Mr. Coward and Mr. Kuznik to the Board. A copy of this press release is furnished as Exhibit 99.1 to this Current Report on Form 8-K and is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Item 7.01,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filed pursuant to the Securities Act of 1933, as amended, or the Exchange Act, except as otherwise expressly stated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1486"/>
        <w:gridCol w:w="146"/>
        <w:gridCol w:w="664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664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pPr>
            <w:hyperlink w:anchor="huma-ex99_1.htm">
              <w:r>
                <w:rPr>
                  <w:rStyle w:val="InternetLink"/>
                  <w:rFonts w:ascii="Times New Roman" w:hAnsi="Times New Roman"/>
                  <w:color w:val="0000FF"/>
                  <w:sz w:val="20"/>
                  <w:u w:val="single"/>
                </w:rPr>
                <w:t>Press release, dated September 28, 2026.</w:t>
              </w:r>
            </w:hyperlink>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9544" w:type="dxa"/>
        <w:jc w:val="left"/>
        <w:tblInd w:w="0" w:type="dxa"/>
        <w:tblLayout w:type="fixed"/>
        <w:tblCellMar>
          <w:top w:w="28" w:type="dxa"/>
          <w:left w:w="28" w:type="dxa"/>
          <w:bottom w:w="28" w:type="dxa"/>
          <w:right w:w="28" w:type="dxa"/>
        </w:tblCellMar>
      </w:tblPr>
      <w:tblGrid>
        <w:gridCol w:w="2221"/>
        <w:gridCol w:w="406"/>
        <w:gridCol w:w="631"/>
        <w:gridCol w:w="6286"/>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HUMACYTE, INC.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28,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1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Dale A. Sander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Dale A. Sander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Chief Corporate Development Officer and Treasurer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3525" w:right="0" w:hanging="0"/>
        <w:jc w:val="right"/>
        <w:rPr>
          <w:rFonts w:ascii="Times New Roman" w:hAnsi="Times New Roman"/>
          <w:b/>
          <w:color w:val="000000"/>
          <w:sz w:val="18"/>
        </w:rPr>
      </w:pPr>
      <w:bookmarkStart w:id="4" w:name="huma-ex99_1.htm"/>
      <w:bookmarkStart w:id="5" w:name="kshumaex99_1"/>
      <w:bookmarkEnd w:id="4"/>
      <w:bookmarkEnd w:id="5"/>
      <w:r>
        <w:rPr>
          <w:rFonts w:ascii="Times New Roman" w:hAnsi="Times New Roman"/>
          <w:b/>
          <w:color w:val="000000"/>
          <w:sz w:val="18"/>
        </w:rPr>
        <w:t>Exhibit 99.1</w:t>
      </w:r>
      <w:r>
        <w:br w:type="page"/>
      </w:r>
    </w:p>
    <w:p>
      <w:pPr>
        <w:pStyle w:val="TextBody"/>
        <w:bidi w:val="0"/>
        <w:ind w:left="3525" w:right="0" w:hanging="0"/>
        <w:jc w:val="left"/>
        <w:rPr/>
      </w:pPr>
      <w:r>
        <w:rPr/>
        <w:drawing>
          <wp:inline distT="0" distB="0" distL="0" distR="0">
            <wp:extent cx="23812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457200"/>
                    </a:xfrm>
                    <a:prstGeom prst="rect">
                      <a:avLst/>
                    </a:prstGeom>
                  </pic:spPr>
                </pic:pic>
              </a:graphicData>
            </a:graphic>
          </wp:inline>
        </w:drawing>
      </w:r>
    </w:p>
    <w:p>
      <w:pPr>
        <w:pStyle w:val="Heading1"/>
        <w:bidi w:val="0"/>
        <w:spacing w:before="194" w:after="283"/>
        <w:ind w:left="803" w:right="0" w:hanging="0"/>
        <w:jc w:val="left"/>
        <w:rPr>
          <w:rFonts w:ascii="Times New Roman" w:hAnsi="Times New Roman"/>
          <w:color w:val="000000"/>
          <w:sz w:val="22"/>
        </w:rPr>
      </w:pPr>
      <w:r>
        <w:rPr>
          <w:rFonts w:ascii="Times New Roman" w:hAnsi="Times New Roman"/>
          <w:color w:val="000000"/>
          <w:sz w:val="22"/>
        </w:rPr>
        <w:t>Humacyte Expands Board Expertise with Appointment of Scott Coward and Paul Kuznik</w:t>
      </w:r>
    </w:p>
    <w:p>
      <w:pPr>
        <w:pStyle w:val="TextBody"/>
        <w:bidi w:val="0"/>
        <w:spacing w:before="193" w:after="283"/>
        <w:ind w:left="119" w:right="0" w:hanging="0"/>
        <w:jc w:val="left"/>
        <w:rPr>
          <w:rFonts w:ascii="Times New Roman" w:hAnsi="Times New Roman"/>
          <w:color w:val="000000"/>
          <w:sz w:val="18"/>
        </w:rPr>
      </w:pPr>
      <w:r>
        <w:rPr>
          <w:rFonts w:ascii="Times New Roman" w:hAnsi="Times New Roman"/>
          <w:color w:val="000000"/>
          <w:sz w:val="18"/>
        </w:rPr>
        <w:t>DURHAM, N.C., Sept. 28, 2026 (GLOBE NEWSWIRE) – Humacyte, Inc. (Nasdaq: HUMA), a commercial-stage biotechnology platform company developing universally implantable, bioengineered human tissues at commercial scale, today announced the addition of life science industry veterans Scott Coward and Paul Kuznik to the Company’s Board of Directors, both of whom bring substantial experience in the areas of commercialization, enterprise leadership, and global operations.</w:t>
      </w:r>
    </w:p>
    <w:p>
      <w:pPr>
        <w:pStyle w:val="TextBody"/>
        <w:pBdr/>
        <w:bidi w:val="0"/>
        <w:spacing w:lineRule="auto" w:line="360" w:before="148" w:after="283"/>
        <w:ind w:left="104" w:right="116" w:hanging="15"/>
        <w:jc w:val="both"/>
        <w:rPr/>
      </w:pPr>
      <w:r>
        <w:rPr>
          <w:color w:val="000000"/>
        </w:rPr>
        <w:t>“</w:t>
      </w:r>
      <w:r>
        <w:rPr>
          <w:rFonts w:ascii="Times New Roman" w:hAnsi="Times New Roman"/>
          <w:color w:val="000000"/>
          <w:sz w:val="18"/>
        </w:rPr>
        <w:t>We are delighted to welcome two distinguished commercialization and life science leaders to the Humacyte Board as we continue to expand our ongoing Symvess</w:t>
      </w:r>
      <w:r>
        <w:rPr>
          <w:rFonts w:ascii="Times New Roman" w:hAnsi="Times New Roman"/>
          <w:color w:val="000000"/>
          <w:sz w:val="12"/>
        </w:rPr>
        <w:t xml:space="preserve">® </w:t>
      </w:r>
      <w:r>
        <w:rPr>
          <w:rFonts w:ascii="Times New Roman" w:hAnsi="Times New Roman"/>
          <w:color w:val="000000"/>
          <w:sz w:val="18"/>
        </w:rPr>
        <w:t>launch and prepare for our planned commercial launch of the ATEV in the dialysis access indication,” said Dr.</w:t>
      </w:r>
      <w:r>
        <w:rPr>
          <w:rFonts w:ascii="Times New Roman" w:hAnsi="Times New Roman"/>
          <w:color w:val="000000"/>
          <w:sz w:val="12"/>
        </w:rPr>
        <w:t xml:space="preserve"> </w:t>
      </w:r>
      <w:r>
        <w:rPr>
          <w:rFonts w:ascii="Times New Roman" w:hAnsi="Times New Roman"/>
          <w:color w:val="000000"/>
          <w:sz w:val="18"/>
        </w:rPr>
        <w:t>Laura Niklason, Founder, President, and Chief Executive Officer of Humacyte. “Scott Coward brings a track record of success through his leadership at Exact Sciences and has significant experience in board service and executive leadership within publicly traded life sciences companies. Paul Kuznik has extensive experience in vascular healthcare and cardiovascular devices, including extensive leadership roles in commercialization, enterprise leadership, manufacturing, strategic planning, and physician engagement. We look forward to their contributions as we work toward our anticipated U.S.</w:t>
      </w:r>
      <w:r>
        <w:rPr>
          <w:rFonts w:ascii="Times New Roman" w:hAnsi="Times New Roman"/>
          <w:color w:val="000000"/>
          <w:sz w:val="12"/>
        </w:rPr>
        <w:t xml:space="preserve"> </w:t>
      </w:r>
      <w:r>
        <w:rPr>
          <w:rFonts w:ascii="Times New Roman" w:hAnsi="Times New Roman"/>
          <w:color w:val="000000"/>
          <w:sz w:val="18"/>
        </w:rPr>
        <w:t>market</w:t>
      </w:r>
      <w:r>
        <w:rPr>
          <w:rFonts w:ascii="Times New Roman" w:hAnsi="Times New Roman"/>
          <w:color w:val="000000"/>
          <w:sz w:val="12"/>
        </w:rPr>
        <w:t xml:space="preserve"> </w:t>
      </w:r>
      <w:r>
        <w:rPr>
          <w:rFonts w:ascii="Times New Roman" w:hAnsi="Times New Roman"/>
          <w:color w:val="000000"/>
          <w:sz w:val="18"/>
        </w:rPr>
        <w:t>launch</w:t>
      </w:r>
      <w:r>
        <w:rPr>
          <w:rFonts w:ascii="Times New Roman" w:hAnsi="Times New Roman"/>
          <w:color w:val="000000"/>
          <w:sz w:val="12"/>
        </w:rPr>
        <w:t xml:space="preserve"> </w:t>
      </w:r>
      <w:r>
        <w:rPr>
          <w:rFonts w:ascii="Times New Roman" w:hAnsi="Times New Roman"/>
          <w:color w:val="000000"/>
          <w:sz w:val="18"/>
        </w:rPr>
        <w:t>in</w:t>
      </w:r>
      <w:r>
        <w:rPr>
          <w:rFonts w:ascii="Times New Roman" w:hAnsi="Times New Roman"/>
          <w:color w:val="000000"/>
          <w:sz w:val="12"/>
        </w:rPr>
        <w:t xml:space="preserve"> </w:t>
      </w:r>
      <w:r>
        <w:rPr>
          <w:rFonts w:ascii="Times New Roman" w:hAnsi="Times New Roman"/>
          <w:color w:val="000000"/>
          <w:sz w:val="18"/>
        </w:rPr>
        <w:t>dialysis.”</w:t>
      </w:r>
    </w:p>
    <w:p>
      <w:pPr>
        <w:pStyle w:val="TextBody"/>
        <w:bidi w:val="0"/>
        <w:spacing w:before="15" w:after="283"/>
        <w:jc w:val="left"/>
        <w:rPr/>
      </w:pPr>
      <w:r>
        <w:rPr/>
        <w:t> </w:t>
      </w:r>
    </w:p>
    <w:p>
      <w:pPr>
        <w:pStyle w:val="TextBody"/>
        <w:bidi w:val="0"/>
        <w:spacing w:before="1" w:after="283"/>
        <w:ind w:left="119" w:right="116" w:hanging="0"/>
        <w:jc w:val="both"/>
        <w:rPr>
          <w:rFonts w:ascii="Times New Roman" w:hAnsi="Times New Roman"/>
          <w:sz w:val="18"/>
        </w:rPr>
      </w:pPr>
      <w:r>
        <w:rPr>
          <w:rFonts w:ascii="Times New Roman" w:hAnsi="Times New Roman"/>
          <w:b/>
          <w:color w:val="000000"/>
          <w:sz w:val="18"/>
        </w:rPr>
        <w:t>Scott</w:t>
      </w:r>
      <w:r>
        <w:rPr>
          <w:rFonts w:ascii="Times New Roman" w:hAnsi="Times New Roman"/>
          <w:color w:val="000000"/>
          <w:sz w:val="18"/>
        </w:rPr>
        <w:t xml:space="preserve"> </w:t>
      </w:r>
      <w:r>
        <w:rPr>
          <w:rFonts w:ascii="Times New Roman" w:hAnsi="Times New Roman"/>
          <w:b/>
          <w:color w:val="000000"/>
          <w:sz w:val="18"/>
        </w:rPr>
        <w:t>Coward</w:t>
      </w:r>
      <w:r>
        <w:rPr>
          <w:rFonts w:ascii="Times New Roman" w:hAnsi="Times New Roman"/>
          <w:color w:val="000000"/>
          <w:sz w:val="18"/>
        </w:rPr>
        <w:t xml:space="preserve"> served as Executive Vice President, Chief Legal Officer, Chief Administrative Officer and Secretary of Exact Sciences Corporation from January 2015 to December 2022. Mr. Coward led the integration of Genomic Health Corp. following its acquisition by Exact Sciences. He also served on the Exact Sciences board of directors from December 2022 to March 2026. Mr. Coward has been an attorney at K&amp;L Gates since July 2026 and was previously a partner in the firm from 2008 through 2014. During that tenure, he served in different leadership roles, including as the managing partner of the Raleigh office. Mr. Coward brings significant experience in public company board service and corporate governance, executive leadership within publicly traded life sciences companies, mergers and acquisitions and post-acquisition integration, executive compensation, compliance and legal affairs, organizational leadership during periods of substantial growth and change, and has partnered with executive management teams and boards through transformational corporate events. Mr. Coward received his J.D. from Columbia Law School and his B.S. from the University of North Carolina at Chapel Hill. He has been appointed to the Company’s Audit Committee.</w:t>
      </w:r>
    </w:p>
    <w:p>
      <w:pPr>
        <w:pStyle w:val="TextBody"/>
        <w:pBdr/>
        <w:bidi w:val="0"/>
        <w:spacing w:before="145" w:after="283"/>
        <w:ind w:left="104" w:right="117" w:hanging="15"/>
        <w:jc w:val="both"/>
        <w:rPr/>
      </w:pPr>
      <w:r>
        <w:rPr>
          <w:color w:val="000000"/>
        </w:rPr>
        <w:t>“</w:t>
      </w:r>
      <w:r>
        <w:rPr>
          <w:rFonts w:ascii="Times New Roman" w:hAnsi="Times New Roman"/>
          <w:i/>
          <w:color w:val="000000"/>
          <w:sz w:val="18"/>
        </w:rPr>
        <w:t>I am honored to join the Humacyte Board of Directors at such an exciting time for the Company,”</w:t>
      </w:r>
      <w:r>
        <w:rPr>
          <w:rFonts w:ascii="Times New Roman" w:hAnsi="Times New Roman"/>
          <w:color w:val="000000"/>
          <w:sz w:val="18"/>
        </w:rPr>
        <w:t xml:space="preserve"> </w:t>
      </w:r>
      <w:r>
        <w:rPr>
          <w:rFonts w:ascii="Times New Roman" w:hAnsi="Times New Roman"/>
          <w:i/>
          <w:color w:val="000000"/>
          <w:sz w:val="18"/>
        </w:rPr>
        <w:t>said</w:t>
      </w:r>
      <w:r>
        <w:rPr>
          <w:rFonts w:ascii="Times New Roman" w:hAnsi="Times New Roman"/>
          <w:color w:val="000000"/>
          <w:sz w:val="18"/>
        </w:rPr>
        <w:t xml:space="preserve"> </w:t>
      </w:r>
      <w:r>
        <w:rPr>
          <w:rFonts w:ascii="Times New Roman" w:hAnsi="Times New Roman"/>
          <w:i/>
          <w:color w:val="000000"/>
          <w:sz w:val="18"/>
        </w:rPr>
        <w:t>Mr. Coward. “Humacyte's pioneering work in regenerative medicine has the potential to transform patient care, and I look forward to working with the Board and management team to support the Company's continued growth and long-term success.”</w:t>
      </w:r>
    </w:p>
    <w:p>
      <w:pPr>
        <w:pStyle w:val="TextBody"/>
        <w:bidi w:val="0"/>
        <w:spacing w:before="152" w:after="283"/>
        <w:ind w:left="119" w:right="116" w:hanging="0"/>
        <w:jc w:val="both"/>
        <w:rPr>
          <w:rFonts w:ascii="Times New Roman" w:hAnsi="Times New Roman"/>
          <w:sz w:val="18"/>
        </w:rPr>
      </w:pPr>
      <w:r>
        <w:rPr>
          <w:rFonts w:ascii="Times New Roman" w:hAnsi="Times New Roman"/>
          <w:b/>
          <w:color w:val="000000"/>
          <w:sz w:val="18"/>
        </w:rPr>
        <w:t xml:space="preserve">Paul Kuznik </w:t>
      </w:r>
      <w:r>
        <w:rPr>
          <w:rFonts w:ascii="Times New Roman" w:hAnsi="Times New Roman"/>
          <w:color w:val="000000"/>
          <w:sz w:val="18"/>
        </w:rPr>
        <w:t>is a medical technology executive whose career spans more than three decades in vascular healthcare, cardiovascular devices, and medical diagnostics. Mr. Kuznik served as the Chief Executive Officer and a member of the Board of Directors from 2015 to 2018 at Bolton Medical, a developer of endovascular technologies for complex aortic disease, which was acquired by Terumo Corporation. Following the acquisition, Mr. Kuznik remained with Terumo Corporation, one of Japan's leading global medical technology companies. He helped lead the integration of Bolton Medical with Vascutek to create Terumo Aortic and subsequently served as President of Terumo Aortic United States from 2019 to 2020 and as President of Terumo Aortic North America from 2020 to 2023. Mr. Kuznik brings extensive experience in commercialization, enterprise leadership, organizational integration, strategic planning, manufacturing, clinical affairs, regulatory oversight, quality systems, physician engagement and board governance. Mr. Kuznik is a graduate of the United States Military Academy at West Point and served as an officer in the United States Army. He has been appointed to the Company’s Commercial Committee.</w:t>
      </w:r>
    </w:p>
    <w:p>
      <w:pPr>
        <w:pStyle w:val="TextBody"/>
        <w:bidi w:val="0"/>
        <w:spacing w:before="145" w:after="283"/>
        <w:ind w:left="119" w:right="117" w:hanging="0"/>
        <w:jc w:val="both"/>
        <w:rPr>
          <w:rFonts w:ascii="Times New Roman" w:hAnsi="Times New Roman"/>
          <w:sz w:val="18"/>
        </w:rPr>
      </w:pPr>
      <w:r>
        <w:rPr>
          <w:rFonts w:ascii="Times New Roman" w:hAnsi="Times New Roman"/>
          <w:i/>
          <w:color w:val="000000"/>
          <w:sz w:val="18"/>
        </w:rPr>
        <w:t>"I'm thrilled to join the Board of Directors at Humacyte as the Company's regenerative medicine technologies have the potential to make a significant impact</w:t>
      </w:r>
      <w:r>
        <w:rPr>
          <w:rFonts w:ascii="Times New Roman" w:hAnsi="Times New Roman"/>
          <w:color w:val="000000"/>
          <w:sz w:val="18"/>
        </w:rPr>
        <w:t xml:space="preserve"> </w:t>
      </w:r>
      <w:r>
        <w:rPr>
          <w:rFonts w:ascii="Times New Roman" w:hAnsi="Times New Roman"/>
          <w:i/>
          <w:color w:val="000000"/>
          <w:sz w:val="18"/>
        </w:rPr>
        <w:t>across</w:t>
      </w:r>
      <w:r>
        <w:rPr>
          <w:rFonts w:ascii="Times New Roman" w:hAnsi="Times New Roman"/>
          <w:color w:val="000000"/>
          <w:sz w:val="18"/>
        </w:rPr>
        <w:t xml:space="preserve"> </w:t>
      </w:r>
      <w:r>
        <w:rPr>
          <w:rFonts w:ascii="Times New Roman" w:hAnsi="Times New Roman"/>
          <w:i/>
          <w:color w:val="000000"/>
          <w:sz w:val="18"/>
        </w:rPr>
        <w:t>numerous</w:t>
      </w:r>
      <w:r>
        <w:rPr>
          <w:rFonts w:ascii="Times New Roman" w:hAnsi="Times New Roman"/>
          <w:color w:val="000000"/>
          <w:sz w:val="18"/>
        </w:rPr>
        <w:t xml:space="preserve"> </w:t>
      </w:r>
      <w:r>
        <w:rPr>
          <w:rFonts w:ascii="Times New Roman" w:hAnsi="Times New Roman"/>
          <w:i/>
          <w:color w:val="000000"/>
          <w:sz w:val="18"/>
        </w:rPr>
        <w:t>markets</w:t>
      </w:r>
      <w:r>
        <w:rPr>
          <w:rFonts w:ascii="Times New Roman" w:hAnsi="Times New Roman"/>
          <w:color w:val="000000"/>
          <w:sz w:val="18"/>
        </w:rPr>
        <w:t xml:space="preserve"> </w:t>
      </w:r>
      <w:r>
        <w:rPr>
          <w:rFonts w:ascii="Times New Roman" w:hAnsi="Times New Roman"/>
          <w:i/>
          <w:color w:val="000000"/>
          <w:sz w:val="18"/>
        </w:rPr>
        <w:t>while</w:t>
      </w:r>
      <w:r>
        <w:rPr>
          <w:rFonts w:ascii="Times New Roman" w:hAnsi="Times New Roman"/>
          <w:color w:val="000000"/>
          <w:sz w:val="18"/>
        </w:rPr>
        <w:t xml:space="preserve"> </w:t>
      </w:r>
      <w:r>
        <w:rPr>
          <w:rFonts w:ascii="Times New Roman" w:hAnsi="Times New Roman"/>
          <w:i/>
          <w:color w:val="000000"/>
          <w:sz w:val="18"/>
        </w:rPr>
        <w:t>benefiting</w:t>
      </w:r>
      <w:r>
        <w:rPr>
          <w:rFonts w:ascii="Times New Roman" w:hAnsi="Times New Roman"/>
          <w:color w:val="000000"/>
          <w:sz w:val="18"/>
        </w:rPr>
        <w:t xml:space="preserve"> </w:t>
      </w:r>
      <w:r>
        <w:rPr>
          <w:rFonts w:ascii="Times New Roman" w:hAnsi="Times New Roman"/>
          <w:i/>
          <w:color w:val="000000"/>
          <w:sz w:val="18"/>
        </w:rPr>
        <w:t>patients</w:t>
      </w:r>
      <w:r>
        <w:rPr>
          <w:rFonts w:ascii="Times New Roman" w:hAnsi="Times New Roman"/>
          <w:color w:val="000000"/>
          <w:sz w:val="18"/>
        </w:rPr>
        <w:t xml:space="preserve"> </w:t>
      </w:r>
      <w:r>
        <w:rPr>
          <w:rFonts w:ascii="Times New Roman" w:hAnsi="Times New Roman"/>
          <w:i/>
          <w:color w:val="000000"/>
          <w:sz w:val="18"/>
        </w:rPr>
        <w:t>throughout</w:t>
      </w:r>
      <w:r>
        <w:rPr>
          <w:rFonts w:ascii="Times New Roman" w:hAnsi="Times New Roman"/>
          <w:color w:val="000000"/>
          <w:sz w:val="18"/>
        </w:rPr>
        <w:t xml:space="preserve"> </w:t>
      </w:r>
      <w:r>
        <w:rPr>
          <w:rFonts w:ascii="Times New Roman" w:hAnsi="Times New Roman"/>
          <w:i/>
          <w:color w:val="000000"/>
          <w:sz w:val="18"/>
        </w:rPr>
        <w:t>the</w:t>
      </w:r>
      <w:r>
        <w:rPr>
          <w:rFonts w:ascii="Times New Roman" w:hAnsi="Times New Roman"/>
          <w:color w:val="000000"/>
          <w:sz w:val="18"/>
        </w:rPr>
        <w:t xml:space="preserve"> </w:t>
      </w:r>
      <w:r>
        <w:rPr>
          <w:rFonts w:ascii="Times New Roman" w:hAnsi="Times New Roman"/>
          <w:i/>
          <w:color w:val="000000"/>
          <w:sz w:val="18"/>
        </w:rPr>
        <w:t>world,”</w:t>
      </w:r>
      <w:r>
        <w:rPr>
          <w:rFonts w:ascii="Times New Roman" w:hAnsi="Times New Roman"/>
          <w:color w:val="000000"/>
          <w:sz w:val="18"/>
        </w:rPr>
        <w:t xml:space="preserve"> </w:t>
      </w:r>
      <w:r>
        <w:rPr>
          <w:rFonts w:ascii="Times New Roman" w:hAnsi="Times New Roman"/>
          <w:i/>
          <w:color w:val="000000"/>
          <w:sz w:val="18"/>
        </w:rPr>
        <w:t>said</w:t>
      </w:r>
      <w:r>
        <w:rPr>
          <w:rFonts w:ascii="Times New Roman" w:hAnsi="Times New Roman"/>
          <w:color w:val="000000"/>
          <w:sz w:val="18"/>
        </w:rPr>
        <w:t xml:space="preserve"> </w:t>
      </w:r>
      <w:r>
        <w:rPr>
          <w:rFonts w:ascii="Times New Roman" w:hAnsi="Times New Roman"/>
          <w:i/>
          <w:color w:val="000000"/>
          <w:sz w:val="18"/>
        </w:rPr>
        <w:t>Mr.</w:t>
      </w:r>
      <w:r>
        <w:rPr>
          <w:rFonts w:ascii="Times New Roman" w:hAnsi="Times New Roman"/>
          <w:color w:val="000000"/>
          <w:sz w:val="18"/>
        </w:rPr>
        <w:t xml:space="preserve"> </w:t>
      </w:r>
      <w:r>
        <w:rPr>
          <w:rFonts w:ascii="Times New Roman" w:hAnsi="Times New Roman"/>
          <w:i/>
          <w:color w:val="000000"/>
          <w:sz w:val="18"/>
        </w:rPr>
        <w:t>Kuznik.</w:t>
      </w:r>
      <w:r>
        <w:rPr>
          <w:rFonts w:ascii="Times New Roman" w:hAnsi="Times New Roman"/>
          <w:color w:val="000000"/>
          <w:sz w:val="18"/>
        </w:rPr>
        <w:t xml:space="preserve"> “</w:t>
      </w:r>
      <w:r>
        <w:rPr>
          <w:rFonts w:ascii="Times New Roman" w:hAnsi="Times New Roman"/>
          <w:i/>
          <w:color w:val="000000"/>
          <w:sz w:val="18"/>
        </w:rPr>
        <w:t>I'm</w:t>
      </w:r>
      <w:r>
        <w:rPr>
          <w:rFonts w:ascii="Times New Roman" w:hAnsi="Times New Roman"/>
          <w:color w:val="000000"/>
          <w:sz w:val="18"/>
        </w:rPr>
        <w:t xml:space="preserve"> </w:t>
      </w:r>
      <w:r>
        <w:rPr>
          <w:rFonts w:ascii="Times New Roman" w:hAnsi="Times New Roman"/>
          <w:i/>
          <w:color w:val="000000"/>
          <w:sz w:val="18"/>
        </w:rPr>
        <w:t>excited</w:t>
      </w:r>
      <w:r>
        <w:rPr>
          <w:rFonts w:ascii="Times New Roman" w:hAnsi="Times New Roman"/>
          <w:color w:val="000000"/>
          <w:sz w:val="18"/>
        </w:rPr>
        <w:t xml:space="preserve"> </w:t>
      </w:r>
      <w:r>
        <w:rPr>
          <w:rFonts w:ascii="Times New Roman" w:hAnsi="Times New Roman"/>
          <w:i/>
          <w:color w:val="000000"/>
          <w:sz w:val="18"/>
        </w:rPr>
        <w:t>to</w:t>
      </w:r>
      <w:r>
        <w:rPr>
          <w:rFonts w:ascii="Times New Roman" w:hAnsi="Times New Roman"/>
          <w:color w:val="000000"/>
          <w:sz w:val="18"/>
        </w:rPr>
        <w:t xml:space="preserve"> </w:t>
      </w:r>
      <w:r>
        <w:rPr>
          <w:rFonts w:ascii="Times New Roman" w:hAnsi="Times New Roman"/>
          <w:i/>
          <w:color w:val="000000"/>
          <w:sz w:val="18"/>
        </w:rPr>
        <w:t>work</w:t>
      </w:r>
      <w:r>
        <w:rPr>
          <w:rFonts w:ascii="Times New Roman" w:hAnsi="Times New Roman"/>
          <w:color w:val="000000"/>
          <w:sz w:val="18"/>
        </w:rPr>
        <w:t xml:space="preserve"> </w:t>
      </w:r>
      <w:r>
        <w:rPr>
          <w:rFonts w:ascii="Times New Roman" w:hAnsi="Times New Roman"/>
          <w:i/>
          <w:color w:val="000000"/>
          <w:sz w:val="18"/>
        </w:rPr>
        <w:t>with</w:t>
      </w:r>
      <w:r>
        <w:rPr>
          <w:rFonts w:ascii="Times New Roman" w:hAnsi="Times New Roman"/>
          <w:color w:val="000000"/>
          <w:sz w:val="18"/>
        </w:rPr>
        <w:t xml:space="preserve"> </w:t>
      </w:r>
      <w:r>
        <w:rPr>
          <w:rFonts w:ascii="Times New Roman" w:hAnsi="Times New Roman"/>
          <w:i/>
          <w:color w:val="000000"/>
          <w:sz w:val="18"/>
        </w:rPr>
        <w:t>the</w:t>
      </w:r>
      <w:r>
        <w:rPr>
          <w:rFonts w:ascii="Times New Roman" w:hAnsi="Times New Roman"/>
          <w:color w:val="000000"/>
          <w:sz w:val="18"/>
        </w:rPr>
        <w:t xml:space="preserve"> </w:t>
      </w:r>
      <w:r>
        <w:rPr>
          <w:rFonts w:ascii="Times New Roman" w:hAnsi="Times New Roman"/>
          <w:i/>
          <w:color w:val="000000"/>
          <w:sz w:val="18"/>
        </w:rPr>
        <w:t>Board</w:t>
      </w:r>
      <w:r>
        <w:rPr>
          <w:rFonts w:ascii="Times New Roman" w:hAnsi="Times New Roman"/>
          <w:color w:val="000000"/>
          <w:sz w:val="18"/>
        </w:rPr>
        <w:t xml:space="preserve"> </w:t>
      </w:r>
      <w:r>
        <w:rPr>
          <w:rFonts w:ascii="Times New Roman" w:hAnsi="Times New Roman"/>
          <w:i/>
          <w:color w:val="000000"/>
          <w:sz w:val="18"/>
        </w:rPr>
        <w:t>of</w:t>
      </w:r>
      <w:r>
        <w:rPr>
          <w:rFonts w:ascii="Times New Roman" w:hAnsi="Times New Roman"/>
          <w:color w:val="000000"/>
          <w:sz w:val="18"/>
        </w:rPr>
        <w:t xml:space="preserve"> </w:t>
      </w:r>
      <w:r>
        <w:rPr>
          <w:rFonts w:ascii="Times New Roman" w:hAnsi="Times New Roman"/>
          <w:i/>
          <w:color w:val="000000"/>
          <w:sz w:val="18"/>
        </w:rPr>
        <w:t>Directors</w:t>
      </w:r>
      <w:r>
        <w:rPr>
          <w:rFonts w:ascii="Times New Roman" w:hAnsi="Times New Roman"/>
          <w:color w:val="000000"/>
          <w:sz w:val="18"/>
        </w:rPr>
        <w:t xml:space="preserve"> </w:t>
      </w:r>
      <w:r>
        <w:rPr>
          <w:rFonts w:ascii="Times New Roman" w:hAnsi="Times New Roman"/>
          <w:i/>
          <w:color w:val="000000"/>
          <w:sz w:val="18"/>
        </w:rPr>
        <w:t>and Humacyte in</w:t>
      </w:r>
      <w:r>
        <w:rPr>
          <w:rFonts w:ascii="Times New Roman" w:hAnsi="Times New Roman"/>
          <w:color w:val="000000"/>
          <w:sz w:val="18"/>
        </w:rPr>
        <w:t xml:space="preserve"> </w:t>
      </w:r>
      <w:r>
        <w:rPr>
          <w:rFonts w:ascii="Times New Roman" w:hAnsi="Times New Roman"/>
          <w:i/>
          <w:color w:val="000000"/>
          <w:sz w:val="18"/>
        </w:rPr>
        <w:t>our</w:t>
      </w:r>
      <w:r>
        <w:rPr>
          <w:rFonts w:ascii="Times New Roman" w:hAnsi="Times New Roman"/>
          <w:color w:val="000000"/>
          <w:sz w:val="18"/>
        </w:rPr>
        <w:t xml:space="preserve"> </w:t>
      </w:r>
      <w:r>
        <w:rPr>
          <w:rFonts w:ascii="Times New Roman" w:hAnsi="Times New Roman"/>
          <w:i/>
          <w:color w:val="000000"/>
          <w:sz w:val="18"/>
        </w:rPr>
        <w:t>efforts</w:t>
      </w:r>
      <w:r>
        <w:rPr>
          <w:rFonts w:ascii="Times New Roman" w:hAnsi="Times New Roman"/>
          <w:color w:val="000000"/>
          <w:sz w:val="18"/>
        </w:rPr>
        <w:t xml:space="preserve"> </w:t>
      </w:r>
      <w:r>
        <w:rPr>
          <w:rFonts w:ascii="Times New Roman" w:hAnsi="Times New Roman"/>
          <w:i/>
          <w:color w:val="000000"/>
          <w:sz w:val="18"/>
        </w:rPr>
        <w:t>to</w:t>
      </w:r>
      <w:r>
        <w:rPr>
          <w:rFonts w:ascii="Times New Roman" w:hAnsi="Times New Roman"/>
          <w:color w:val="000000"/>
          <w:sz w:val="18"/>
        </w:rPr>
        <w:t xml:space="preserve"> </w:t>
      </w:r>
      <w:r>
        <w:rPr>
          <w:rFonts w:ascii="Times New Roman" w:hAnsi="Times New Roman"/>
          <w:i/>
          <w:color w:val="000000"/>
          <w:sz w:val="18"/>
        </w:rPr>
        <w:t>expand</w:t>
      </w:r>
      <w:r>
        <w:rPr>
          <w:rFonts w:ascii="Times New Roman" w:hAnsi="Times New Roman"/>
          <w:color w:val="000000"/>
          <w:sz w:val="18"/>
        </w:rPr>
        <w:t xml:space="preserve"> </w:t>
      </w:r>
      <w:r>
        <w:rPr>
          <w:rFonts w:ascii="Times New Roman" w:hAnsi="Times New Roman"/>
          <w:i/>
          <w:color w:val="000000"/>
          <w:sz w:val="18"/>
        </w:rPr>
        <w:t>both</w:t>
      </w:r>
      <w:r>
        <w:rPr>
          <w:rFonts w:ascii="Times New Roman" w:hAnsi="Times New Roman"/>
          <w:color w:val="000000"/>
          <w:sz w:val="18"/>
        </w:rPr>
        <w:t xml:space="preserve"> </w:t>
      </w:r>
      <w:r>
        <w:rPr>
          <w:rFonts w:ascii="Times New Roman" w:hAnsi="Times New Roman"/>
          <w:i/>
          <w:color w:val="000000"/>
          <w:sz w:val="18"/>
        </w:rPr>
        <w:t>physician</w:t>
      </w:r>
      <w:r>
        <w:rPr>
          <w:rFonts w:ascii="Times New Roman" w:hAnsi="Times New Roman"/>
          <w:color w:val="000000"/>
          <w:sz w:val="18"/>
        </w:rPr>
        <w:t xml:space="preserve"> </w:t>
      </w:r>
      <w:r>
        <w:rPr>
          <w:rFonts w:ascii="Times New Roman" w:hAnsi="Times New Roman"/>
          <w:i/>
          <w:color w:val="000000"/>
          <w:sz w:val="18"/>
        </w:rPr>
        <w:t>and</w:t>
      </w:r>
      <w:r>
        <w:rPr>
          <w:rFonts w:ascii="Times New Roman" w:hAnsi="Times New Roman"/>
          <w:color w:val="000000"/>
          <w:sz w:val="18"/>
        </w:rPr>
        <w:t xml:space="preserve"> </w:t>
      </w:r>
      <w:r>
        <w:rPr>
          <w:rFonts w:ascii="Times New Roman" w:hAnsi="Times New Roman"/>
          <w:i/>
          <w:color w:val="000000"/>
          <w:sz w:val="18"/>
        </w:rPr>
        <w:t>patient</w:t>
      </w:r>
      <w:r>
        <w:rPr>
          <w:rFonts w:ascii="Times New Roman" w:hAnsi="Times New Roman"/>
          <w:color w:val="000000"/>
          <w:sz w:val="18"/>
        </w:rPr>
        <w:t xml:space="preserve"> </w:t>
      </w:r>
      <w:r>
        <w:rPr>
          <w:rFonts w:ascii="Times New Roman" w:hAnsi="Times New Roman"/>
          <w:i/>
          <w:color w:val="000000"/>
          <w:sz w:val="18"/>
        </w:rPr>
        <w:t>access</w:t>
      </w:r>
      <w:r>
        <w:rPr>
          <w:rFonts w:ascii="Times New Roman" w:hAnsi="Times New Roman"/>
          <w:color w:val="000000"/>
          <w:sz w:val="18"/>
        </w:rPr>
        <w:t xml:space="preserve"> </w:t>
      </w:r>
      <w:r>
        <w:rPr>
          <w:rFonts w:ascii="Times New Roman" w:hAnsi="Times New Roman"/>
          <w:i/>
          <w:color w:val="000000"/>
          <w:sz w:val="18"/>
        </w:rPr>
        <w:t>to</w:t>
      </w:r>
      <w:r>
        <w:rPr>
          <w:rFonts w:ascii="Times New Roman" w:hAnsi="Times New Roman"/>
          <w:color w:val="000000"/>
          <w:sz w:val="18"/>
        </w:rPr>
        <w:t xml:space="preserve"> </w:t>
      </w:r>
      <w:r>
        <w:rPr>
          <w:rFonts w:ascii="Times New Roman" w:hAnsi="Times New Roman"/>
          <w:i/>
          <w:color w:val="000000"/>
          <w:sz w:val="18"/>
        </w:rPr>
        <w:t>the</w:t>
      </w:r>
      <w:r>
        <w:rPr>
          <w:rFonts w:ascii="Times New Roman" w:hAnsi="Times New Roman"/>
          <w:color w:val="000000"/>
          <w:sz w:val="18"/>
        </w:rPr>
        <w:t xml:space="preserve"> </w:t>
      </w:r>
      <w:r>
        <w:rPr>
          <w:rFonts w:ascii="Times New Roman" w:hAnsi="Times New Roman"/>
          <w:i/>
          <w:color w:val="000000"/>
          <w:sz w:val="18"/>
        </w:rPr>
        <w:t>innovative</w:t>
      </w:r>
      <w:r>
        <w:rPr>
          <w:rFonts w:ascii="Times New Roman" w:hAnsi="Times New Roman"/>
          <w:color w:val="000000"/>
          <w:sz w:val="18"/>
        </w:rPr>
        <w:t xml:space="preserve"> </w:t>
      </w:r>
      <w:r>
        <w:rPr>
          <w:rFonts w:ascii="Times New Roman" w:hAnsi="Times New Roman"/>
          <w:i/>
          <w:color w:val="000000"/>
          <w:sz w:val="18"/>
        </w:rPr>
        <w:t>regenerative</w:t>
      </w:r>
      <w:r>
        <w:rPr>
          <w:rFonts w:ascii="Times New Roman" w:hAnsi="Times New Roman"/>
          <w:color w:val="000000"/>
          <w:sz w:val="18"/>
        </w:rPr>
        <w:t xml:space="preserve"> </w:t>
      </w:r>
      <w:r>
        <w:rPr>
          <w:rFonts w:ascii="Times New Roman" w:hAnsi="Times New Roman"/>
          <w:i/>
          <w:color w:val="000000"/>
          <w:sz w:val="18"/>
        </w:rPr>
        <w:t>vascular</w:t>
      </w:r>
      <w:r>
        <w:rPr>
          <w:rFonts w:ascii="Times New Roman" w:hAnsi="Times New Roman"/>
          <w:color w:val="000000"/>
          <w:sz w:val="18"/>
        </w:rPr>
        <w:t xml:space="preserve"> </w:t>
      </w:r>
      <w:r>
        <w:rPr>
          <w:rFonts w:ascii="Times New Roman" w:hAnsi="Times New Roman"/>
          <w:i/>
          <w:color w:val="000000"/>
          <w:sz w:val="18"/>
        </w:rPr>
        <w:t>solutions</w:t>
      </w:r>
      <w:r>
        <w:rPr>
          <w:rFonts w:ascii="Times New Roman" w:hAnsi="Times New Roman"/>
          <w:color w:val="000000"/>
          <w:sz w:val="18"/>
        </w:rPr>
        <w:t xml:space="preserve"> </w:t>
      </w:r>
      <w:r>
        <w:rPr>
          <w:rFonts w:ascii="Times New Roman" w:hAnsi="Times New Roman"/>
          <w:i/>
          <w:color w:val="000000"/>
          <w:sz w:val="18"/>
        </w:rPr>
        <w:t>offered</w:t>
      </w:r>
      <w:r>
        <w:rPr>
          <w:rFonts w:ascii="Times New Roman" w:hAnsi="Times New Roman"/>
          <w:color w:val="000000"/>
          <w:sz w:val="18"/>
        </w:rPr>
        <w:t xml:space="preserve"> </w:t>
      </w:r>
      <w:r>
        <w:rPr>
          <w:rFonts w:ascii="Times New Roman" w:hAnsi="Times New Roman"/>
          <w:i/>
          <w:color w:val="000000"/>
          <w:sz w:val="18"/>
        </w:rPr>
        <w:t>by</w:t>
      </w:r>
      <w:r>
        <w:rPr>
          <w:rFonts w:ascii="Times New Roman" w:hAnsi="Times New Roman"/>
          <w:color w:val="000000"/>
          <w:sz w:val="18"/>
        </w:rPr>
        <w:t xml:space="preserve"> </w:t>
      </w:r>
      <w:r>
        <w:rPr>
          <w:rFonts w:ascii="Times New Roman" w:hAnsi="Times New Roman"/>
          <w:i/>
          <w:color w:val="000000"/>
          <w:sz w:val="18"/>
        </w:rPr>
        <w:t>the</w:t>
      </w:r>
      <w:r>
        <w:rPr>
          <w:rFonts w:ascii="Times New Roman" w:hAnsi="Times New Roman"/>
          <w:color w:val="000000"/>
          <w:sz w:val="18"/>
        </w:rPr>
        <w:t xml:space="preserve"> </w:t>
      </w:r>
      <w:r>
        <w:rPr>
          <w:rFonts w:ascii="Times New Roman" w:hAnsi="Times New Roman"/>
          <w:i/>
          <w:color w:val="000000"/>
          <w:sz w:val="18"/>
        </w:rPr>
        <w:t>Company."</w:t>
      </w:r>
    </w:p>
    <w:p>
      <w:pPr>
        <w:pStyle w:val="Heading2"/>
        <w:bidi w:val="0"/>
        <w:spacing w:before="148" w:after="283"/>
        <w:ind w:left="119" w:right="0" w:hanging="0"/>
        <w:jc w:val="both"/>
        <w:rPr>
          <w:rFonts w:ascii="Times New Roman" w:hAnsi="Times New Roman"/>
          <w:color w:val="000000"/>
          <w:sz w:val="18"/>
        </w:rPr>
      </w:pPr>
      <w:r>
        <w:rPr>
          <w:rFonts w:ascii="Times New Roman" w:hAnsi="Times New Roman"/>
          <w:color w:val="000000"/>
          <w:sz w:val="18"/>
        </w:rPr>
        <w:t>About Humacyte</w:t>
      </w:r>
    </w:p>
    <w:p>
      <w:pPr>
        <w:pStyle w:val="TextBody"/>
        <w:bidi w:val="0"/>
        <w:spacing w:before="166" w:after="283"/>
        <w:ind w:left="119" w:right="51" w:hanging="0"/>
        <w:jc w:val="left"/>
        <w:rPr>
          <w:rFonts w:ascii="Times New Roman" w:hAnsi="Times New Roman"/>
          <w:sz w:val="18"/>
        </w:rPr>
      </w:pPr>
      <w:r>
        <w:rPr>
          <w:rFonts w:ascii="Times New Roman" w:hAnsi="Times New Roman"/>
          <w:color w:val="000000"/>
          <w:sz w:val="18"/>
        </w:rPr>
        <w:t xml:space="preserve">Humacyte, Inc. (Nasdaq: HUMA) is developing a disruptive biotechnology platform to deliver universally implantable bioengineered human tissues, advanced tissue constructs, and organ systems designed to improve the lives of patients and transform the practice of medicine. The Company develops and manufactures acellular tissues to treat a wide range of diseases, injuries, and chronic conditions. Humacyte’s Biologics License Application for the acellular tissue engineered vessel (ATEV) in the vascular trauma indication was approved by the FDA in December 2024. ATEVs are also currently in late-stage clinical trials targeting other vascular applications, including arteriovenous (AV) access for hemodialysis and peripheral artery disease (PAD). Preclinical development is also underway in coronary artery bypass grafts, pediatric heart surgery, treatment of type 1 diabetes, and multiple novel cell and tissue applications. Humacyte’s 6mm ATEV for AV access in hemodialysis was the first product candidate to receive the FDA’s Regenerative Medicine Advanced Therapy (RMAT) designation and has also received FDA Fast Track designation. Humacyte’s 6mm ATEV for urgent arterial repair following extremity vascular trauma and for advanced PAD also have received RMAT designations. The ATEV received priority designation for the treatment of vascular trauma by the U.S. Secretary of Defense. For more information, visit </w:t>
      </w:r>
      <w:r>
        <w:rPr>
          <w:rFonts w:ascii="Times New Roman" w:hAnsi="Times New Roman"/>
          <w:color w:val="0000ED"/>
          <w:sz w:val="18"/>
          <w:u w:val="single"/>
        </w:rPr>
        <w:t>www.Humacyte.com</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spacing w:before="80" w:after="283"/>
        <w:ind w:left="119" w:right="51" w:hanging="0"/>
        <w:jc w:val="left"/>
        <w:rPr>
          <w:rFonts w:ascii="Times New Roman" w:hAnsi="Times New Roman"/>
          <w:color w:val="000000"/>
          <w:sz w:val="18"/>
        </w:rPr>
      </w:pPr>
      <w:r>
        <w:rPr>
          <w:rFonts w:ascii="Times New Roman" w:hAnsi="Times New Roman"/>
          <w:color w:val="000000"/>
          <w:sz w:val="18"/>
        </w:rPr>
        <w:t>For uses other than the FDA approval in the extremity vascular trauma indication, the ATEV is an investigational product and has not been approved for sale by the FDA or any other regulatory agency.</w:t>
      </w:r>
    </w:p>
    <w:p>
      <w:pPr>
        <w:pStyle w:val="TextBody"/>
        <w:bidi w:val="0"/>
        <w:spacing w:before="80" w:after="283"/>
        <w:ind w:left="119" w:right="51" w:hanging="0"/>
        <w:jc w:val="left"/>
        <w:rPr/>
      </w:pPr>
      <w:r>
        <w:rPr/>
        <w:t> </w:t>
      </w:r>
    </w:p>
    <w:p>
      <w:pPr>
        <w:pStyle w:val="TextBody"/>
        <w:bidi w:val="0"/>
        <w:ind w:left="115" w:right="0" w:hanging="0"/>
        <w:jc w:val="left"/>
        <w:rPr>
          <w:rFonts w:ascii="Times New Roman" w:hAnsi="Times New Roman"/>
          <w:b/>
          <w:color w:val="000000"/>
          <w:sz w:val="18"/>
        </w:rPr>
      </w:pPr>
      <w:r>
        <w:rPr>
          <w:rFonts w:ascii="Times New Roman" w:hAnsi="Times New Roman"/>
          <w:b/>
          <w:color w:val="000000"/>
          <w:sz w:val="18"/>
        </w:rPr>
        <w:t>Humacyte Investor Contact:</w:t>
      </w:r>
    </w:p>
    <w:p>
      <w:pPr>
        <w:pStyle w:val="TextBody"/>
        <w:bidi w:val="0"/>
        <w:ind w:left="115" w:right="0" w:hanging="0"/>
        <w:jc w:val="left"/>
        <w:rPr>
          <w:rFonts w:ascii="Times New Roman" w:hAnsi="Times New Roman"/>
          <w:color w:val="000000"/>
          <w:sz w:val="18"/>
        </w:rPr>
      </w:pPr>
      <w:r>
        <w:rPr>
          <w:rFonts w:ascii="Times New Roman" w:hAnsi="Times New Roman"/>
          <w:color w:val="000000"/>
          <w:sz w:val="18"/>
        </w:rPr>
        <w:t>Joyce Allaire</w:t>
      </w:r>
    </w:p>
    <w:p>
      <w:pPr>
        <w:pStyle w:val="TextBody"/>
        <w:bidi w:val="0"/>
        <w:ind w:left="115" w:right="0" w:hanging="0"/>
        <w:jc w:val="left"/>
        <w:rPr>
          <w:rFonts w:ascii="Times New Roman" w:hAnsi="Times New Roman"/>
          <w:color w:val="000000"/>
          <w:sz w:val="18"/>
        </w:rPr>
      </w:pPr>
      <w:r>
        <w:rPr>
          <w:rFonts w:ascii="Times New Roman" w:hAnsi="Times New Roman"/>
          <w:color w:val="000000"/>
          <w:sz w:val="18"/>
        </w:rPr>
        <w:t>LifeSci Advisors LLC</w:t>
      </w:r>
    </w:p>
    <w:p>
      <w:pPr>
        <w:pStyle w:val="TextBody"/>
        <w:bidi w:val="0"/>
        <w:ind w:left="115" w:right="0" w:hanging="0"/>
        <w:jc w:val="left"/>
        <w:rPr>
          <w:rFonts w:ascii="Times New Roman" w:hAnsi="Times New Roman"/>
          <w:color w:val="000000"/>
          <w:sz w:val="18"/>
        </w:rPr>
      </w:pPr>
      <w:r>
        <w:rPr>
          <w:rFonts w:ascii="Times New Roman" w:hAnsi="Times New Roman"/>
          <w:color w:val="000000"/>
          <w:sz w:val="18"/>
        </w:rPr>
        <w:t>+1-617-435-6602</w:t>
      </w:r>
    </w:p>
    <w:p>
      <w:pPr>
        <w:pStyle w:val="TextBody"/>
        <w:bidi w:val="0"/>
        <w:ind w:left="115" w:right="0" w:hanging="0"/>
        <w:jc w:val="left"/>
        <w:rPr>
          <w:rFonts w:ascii="Times New Roman" w:hAnsi="Times New Roman"/>
          <w:color w:val="000000"/>
          <w:sz w:val="18"/>
          <w:u w:val="single"/>
        </w:rPr>
      </w:pPr>
      <w:r>
        <w:rPr>
          <w:rFonts w:ascii="Times New Roman" w:hAnsi="Times New Roman"/>
          <w:color w:val="000000"/>
          <w:sz w:val="18"/>
          <w:u w:val="single"/>
        </w:rPr>
        <w:t>jallaire@lifesciadvisors.com</w:t>
      </w:r>
    </w:p>
    <w:p>
      <w:pPr>
        <w:pStyle w:val="TextBody"/>
        <w:bidi w:val="0"/>
        <w:ind w:left="115" w:right="0" w:hanging="0"/>
        <w:jc w:val="left"/>
        <w:rPr>
          <w:rFonts w:ascii="Times New Roman" w:hAnsi="Times New Roman"/>
          <w:color w:val="000000"/>
          <w:sz w:val="18"/>
          <w:u w:val="single"/>
        </w:rPr>
      </w:pPr>
      <w:r>
        <w:rPr>
          <w:rFonts w:ascii="Times New Roman" w:hAnsi="Times New Roman"/>
          <w:color w:val="000000"/>
          <w:sz w:val="18"/>
          <w:u w:val="single"/>
        </w:rPr>
        <w:t>investors@humacyte.com</w:t>
      </w:r>
    </w:p>
    <w:p>
      <w:pPr>
        <w:pStyle w:val="TextBody"/>
        <w:bidi w:val="0"/>
        <w:ind w:left="115" w:right="0" w:hanging="0"/>
        <w:jc w:val="left"/>
        <w:rPr>
          <w:rFonts w:ascii="Times New Roman" w:hAnsi="Times New Roman"/>
          <w:b/>
          <w:color w:val="000000"/>
          <w:sz w:val="18"/>
        </w:rPr>
      </w:pPr>
      <w:r>
        <w:rPr>
          <w:rFonts w:ascii="Times New Roman" w:hAnsi="Times New Roman"/>
          <w:b/>
          <w:color w:val="000000"/>
          <w:sz w:val="18"/>
        </w:rPr>
        <w:t>Humacyte Media Contact:</w:t>
      </w:r>
    </w:p>
    <w:p>
      <w:pPr>
        <w:pStyle w:val="TextBody"/>
        <w:bidi w:val="0"/>
        <w:ind w:left="115" w:right="0" w:hanging="0"/>
        <w:jc w:val="left"/>
        <w:rPr>
          <w:rFonts w:ascii="Times New Roman" w:hAnsi="Times New Roman"/>
          <w:color w:val="000000"/>
          <w:sz w:val="18"/>
        </w:rPr>
      </w:pPr>
      <w:r>
        <w:rPr>
          <w:rFonts w:ascii="Times New Roman" w:hAnsi="Times New Roman"/>
          <w:color w:val="000000"/>
          <w:sz w:val="18"/>
        </w:rPr>
        <w:t>Rich Luchette</w:t>
      </w:r>
    </w:p>
    <w:p>
      <w:pPr>
        <w:pStyle w:val="TextBody"/>
        <w:bidi w:val="0"/>
        <w:ind w:left="115" w:right="0" w:hanging="0"/>
        <w:jc w:val="left"/>
        <w:rPr>
          <w:rFonts w:ascii="Times New Roman" w:hAnsi="Times New Roman"/>
          <w:color w:val="000000"/>
          <w:sz w:val="18"/>
        </w:rPr>
      </w:pPr>
      <w:r>
        <w:rPr>
          <w:rFonts w:ascii="Times New Roman" w:hAnsi="Times New Roman"/>
          <w:color w:val="000000"/>
          <w:sz w:val="18"/>
        </w:rPr>
        <w:t>Precision Strategies</w:t>
      </w:r>
    </w:p>
    <w:p>
      <w:pPr>
        <w:pStyle w:val="TextBody"/>
        <w:bidi w:val="0"/>
        <w:ind w:left="115" w:right="0" w:hanging="0"/>
        <w:jc w:val="left"/>
        <w:rPr>
          <w:rFonts w:ascii="Times New Roman" w:hAnsi="Times New Roman"/>
          <w:color w:val="000000"/>
          <w:sz w:val="18"/>
        </w:rPr>
      </w:pPr>
      <w:r>
        <w:rPr>
          <w:rFonts w:ascii="Times New Roman" w:hAnsi="Times New Roman"/>
          <w:color w:val="000000"/>
          <w:sz w:val="18"/>
        </w:rPr>
        <w:t>+1-202-845-3924</w:t>
      </w:r>
    </w:p>
    <w:p>
      <w:pPr>
        <w:pStyle w:val="TextBody"/>
        <w:bidi w:val="0"/>
        <w:ind w:left="115" w:right="0" w:hanging="0"/>
        <w:jc w:val="left"/>
        <w:rPr>
          <w:rFonts w:ascii="Times New Roman" w:hAnsi="Times New Roman"/>
          <w:color w:val="000000"/>
          <w:sz w:val="18"/>
          <w:u w:val="single"/>
        </w:rPr>
      </w:pPr>
      <w:r>
        <w:rPr>
          <w:rFonts w:ascii="Times New Roman" w:hAnsi="Times New Roman"/>
          <w:color w:val="000000"/>
          <w:sz w:val="18"/>
          <w:u w:val="single"/>
        </w:rPr>
        <w:t>rich@precisionstrategies.com</w:t>
      </w:r>
    </w:p>
    <w:p>
      <w:pPr>
        <w:pStyle w:val="TextBody"/>
        <w:bidi w:val="0"/>
        <w:ind w:left="115" w:right="0" w:hanging="0"/>
        <w:jc w:val="left"/>
        <w:rPr>
          <w:rFonts w:ascii="Times New Roman" w:hAnsi="Times New Roman"/>
          <w:color w:val="000000"/>
          <w:sz w:val="18"/>
          <w:u w:val="single"/>
        </w:rPr>
      </w:pPr>
      <w:r>
        <w:rPr>
          <w:rFonts w:ascii="Times New Roman" w:hAnsi="Times New Roman"/>
          <w:color w:val="000000"/>
          <w:sz w:val="18"/>
          <w:u w:val="single"/>
        </w:rPr>
        <w:t>media@humacyte.com</w:t>
      </w:r>
    </w:p>
    <w:p>
      <w:pPr>
        <w:pStyle w:val="TextBody"/>
        <w:bidi w:val="0"/>
        <w:spacing w:before="80" w:after="283"/>
        <w:ind w:left="115" w:right="51" w:hanging="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2030</Words>
  <Characters>11749</Characters>
  <CharactersWithSpaces>13726</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