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009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HUMACYTE,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0000FF"/>
        </w:rPr>
        <w:t>Robert A. Grauman</w:t>
      </w:r>
    </w:p>
    <w:p>
      <w:pPr>
        <w:spacing w:after="0" w:line="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0000FF"/>
        </w:rPr>
        <w:t>145 West 86 Street,</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10024</w:t>
      </w:r>
    </w:p>
    <w:p>
      <w:pPr>
        <w:spacing w:after="0" w:line="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0000FF"/>
        </w:rPr>
        <w:t>646 202-2932</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Thomas D. Brouillard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Fresenius Medical Care Holdings, Inc., 920 Winter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Waltham, MA, 02451-1547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781 699 9000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Christof Koester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Fresenius Medical Care AG, Else-Kroener Strasse 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Bad Homburg, 2M, 61352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011 49 6172 609 0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Fresenius Medical Care Holdings,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18,312,735.00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18,312,735.00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18,312,735.00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Fresenius Medical Care AG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18,312,735.00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18,312,735.00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18,312,735.00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HUMACYTE,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2525 East North Carolina Highway 54, Durham, NORTH CAROLINA , 27713.</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9 amends certain information contained in the Schedule 13D originally filed by Fresenius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Medical Care Holdings, Inc., a New York Corporation ("FMCH") and Fresenius Medical Care AG a German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corporation ("FME AG") on September 2, 2021, as previously amended by Amendment No. 1 filed December 1, 2023, Amendment No. 2 filed March 7, 2024, Amendment No 3 filed November 18, 2024, Amendment No 4 filed May 22, 2025, Amendment No 5 filed solely by FME AG on October 16 2025, Amendment No. 6 filed by FME AG and FMCH on January 9, 2026, Amendment No. 7 filed March 24, 2026, and Amendment No 8 filed Apil 27, 2026 (as so amended, the "Schedule 13D"), with respect to the common stock, par value $0.0001 per share (the "Common Stock") of Humacyte, Inc., a Delaware corporation, formerly known as Alpha Healthcare Acquisition Corp. (the "Issuer" or "Humacyte"). Capitalized terms not otherwise defined herein have the meanings set forth in the Schedule 13D. Except as provided herein, this Amendment No. 9 does not modify any of the information previously reported</w:t>
      </w:r>
    </w:p>
    <w:p>
      <w:pPr>
        <w:spacing w:after="0" w:line="2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on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May 1, 2026 Ms. Mollie Miller was appointed a Vice President and Assistant Treasurer of FMCH.</w:t>
      </w:r>
    </w:p>
    <w:p>
      <w:pPr>
        <w:sectPr>
          <w:pgSz w:w="11900" w:h="16838" w:orient="portrait"/>
          <w:cols w:equalWidth="0" w:num="1">
            <w:col w:w="11160"/>
          </w:cols>
          <w:pgMar w:left="360" w:top="111" w:right="379" w:bottom="0" w:gutter="0" w:footer="0" w:header="0"/>
          <w:type w:val="continuous"/>
        </w:sectPr>
      </w:pPr>
    </w:p>
    <w:bookmarkStart w:id="3" w:name="page4"/>
    <w:bookmarkEnd w:id="3"/>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Ms. Miller's business address is c/o FMCH, at the address of FMCH set forth in the Schedule 13D.</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Ms. Miller's principal occupation or employment is as Director of Taxes at FMCH.</w:t>
      </w:r>
    </w:p>
    <w:p>
      <w:pPr>
        <w:spacing w:after="0" w:line="44" w:lineRule="exact"/>
        <w:rPr>
          <w:rFonts w:ascii="Times New Roman" w:cs="Times New Roman" w:eastAsia="Times New Roman" w:hAnsi="Times New Roman"/>
          <w:sz w:val="22"/>
          <w:szCs w:val="22"/>
          <w:color w:val="auto"/>
        </w:rPr>
      </w:pPr>
    </w:p>
    <w:p>
      <w:pPr>
        <w:ind w:left="920" w:right="1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Ms. Miller has not been convicted in a criminal proceeding (excluding traffic violations or similar misdemeanors), or been a party to a civil proceeding of a United States judicial or administrative body of</w:t>
      </w:r>
    </w:p>
    <w:p>
      <w:pPr>
        <w:ind w:left="920" w:right="52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(d) above.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Ms. Miller is a U.S. citizen.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60"/>
        <w:spacing w:after="0" w:line="247" w:lineRule="auto"/>
        <w:rPr>
          <w:sz w:val="20"/>
          <w:szCs w:val="20"/>
          <w:color w:val="auto"/>
        </w:rPr>
      </w:pPr>
      <w:r>
        <w:rPr>
          <w:rFonts w:ascii="Times New Roman" w:cs="Times New Roman" w:eastAsia="Times New Roman" w:hAnsi="Times New Roman"/>
          <w:sz w:val="21"/>
          <w:szCs w:val="21"/>
          <w:color w:val="auto"/>
        </w:rPr>
        <w:t>On the date of this Schedule 13D (Amendment No. 9), FMCH is the beneficial owner of 18,312,735 shares of the Issuer's Common Stock, constituting approximately 6.8% of the Issuer's outstanding voting shares. Such percentage ownership is calculated by reference to a total of 269,638,156 shares outstanding as of June 12, 2026, comprising (i) 222,019,108 shares outstanding on May 11, 2026, as shown on the cover page of the Issuer's Form 10-Q filed May</w:t>
      </w:r>
    </w:p>
    <w:p>
      <w:pPr>
        <w:spacing w:after="0" w:line="2" w:lineRule="exact"/>
        <w:rPr>
          <w:sz w:val="20"/>
          <w:szCs w:val="20"/>
          <w:color w:val="auto"/>
        </w:rPr>
      </w:pPr>
    </w:p>
    <w:p>
      <w:pPr>
        <w:ind w:left="920" w:right="4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2026, plus (ii) 47,619,048 shares issued on June 12, 2025, as reported in the Issuer's Prospectus Supplement dated June 10, 2026. All such 18,312,735 Shares are issued and outstanding and owned directly by FMCH. Such 18,312,735 shares of Common Stock exclude any additional contingent shares of Common Stock that may be issued pursuant to the terms of the Business Combination Agreement described in the initial Schedule 13D, and FME AG and FMCH disclaim any present beneficial ownership of any such additional shares.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the record owner of the 18,312,735 shares of Common Stock reported in this Schedule 13D (Amendment No 9),</w:t>
      </w:r>
    </w:p>
    <w:p>
      <w:pPr>
        <w:spacing w:after="0" w:line="14" w:lineRule="exact"/>
        <w:rPr>
          <w:rFonts w:ascii="Times New Roman" w:cs="Times New Roman" w:eastAsia="Times New Roman" w:hAnsi="Times New Roman"/>
          <w:sz w:val="22"/>
          <w:szCs w:val="22"/>
          <w:color w:val="auto"/>
        </w:rPr>
      </w:pPr>
    </w:p>
    <w:p>
      <w:pPr>
        <w:ind w:left="920" w:right="180" w:hanging="912"/>
        <w:spacing w:after="0" w:line="23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FMCH possesses voting and dispositive power over such shares. FME AG is the indirect sole shareholder of FMCH and may be deemed to be a beneficial owner of such shares.</w:t>
      </w:r>
    </w:p>
    <w:p>
      <w:pPr>
        <w:spacing w:after="0" w:line="16" w:lineRule="exact"/>
        <w:rPr>
          <w:rFonts w:ascii="Times New Roman" w:cs="Times New Roman" w:eastAsia="Times New Roman" w:hAnsi="Times New Roman"/>
          <w:sz w:val="22"/>
          <w:szCs w:val="22"/>
          <w:color w:val="auto"/>
        </w:rPr>
      </w:pPr>
    </w:p>
    <w:p>
      <w:pPr>
        <w:ind w:left="920" w:right="10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decrease in the percentage beneficial ownership reported herein from 8.4% as reported in Schedule 13D (Amendments Nos. 7 and 8) to 6.8%, as reported herein, results solely from an increase in the number of outstanding</w:t>
      </w:r>
    </w:p>
    <w:p>
      <w:pPr>
        <w:ind w:left="920" w:right="140" w:hanging="912"/>
        <w:spacing w:after="0" w:line="235"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the Issuer's Common Stock subsequent to the filing of Amendment No. 8 to this Schedule 13D, as describe in Item 5(a). Neither FME AG nor FMCH has disposed of or acquired any shares of the Issuer's Common Stock subsequent to the filing of their initial Schedule 13D in September 2021.</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Fresenius Medical Care Holdings, Inc.</w:t>
      </w:r>
    </w:p>
    <w:p>
      <w:pPr>
        <w:spacing w:after="0" w:line="152"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Mollie Miller</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Mollie Miller, VP and Asst. Treasurer</w:t>
      </w:r>
    </w:p>
    <w:p>
      <w:pPr>
        <w:spacing w:after="0" w:line="44"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Fresenius Medical Care AG</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ppa Angela Koelbl</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Dr. Angela Koelbl, Registered Manager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(Prokurist)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ppa Christof Koester</w:t>
      </w:r>
    </w:p>
    <w:p>
      <w:pPr>
        <w:spacing w:after="0" w:line="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Name/Title: Christof Koester (Registered Manager (Prokurist)</w:t>
      </w:r>
    </w:p>
    <w:p>
      <w:pPr>
        <w:spacing w:after="0" w:line="44"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2026-06-15T08:53:54Z</dcterms:created>
  <dcterms:modified xsi:type="dcterms:W3CDTF">2026-06-15T08:53:54Z</dcterms:modified>
</cp:coreProperties>
</file>