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Sander Dale 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Humacyte,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HUMA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4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05/18/2026</w:t>
            </w:r>
          </w:p>
        </w:tc>
        <w:tc>
          <w:tcPr>
            <w:tcW w:w="2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2525 EAST NORTH CAROLINA HIGHWAY 54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7"/>
          <w:szCs w:val="17"/>
          <w:color w:val="0000FF"/>
        </w:rPr>
        <w:t>CFO and Chief Corp. Dev. Off</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DURHAM</w:t>
            </w:r>
          </w:p>
        </w:tc>
        <w:tc>
          <w:tcPr>
            <w:tcW w:w="2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NC</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27713</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15"/>
                <w:szCs w:val="15"/>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45,887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0.8967</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267,213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40,600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sold under an automated program to cover the statutory tax withholding obligations in connection with the vesting of restricted stock units previously granted to the Reporting Person. This sale was mandated by the Issuer's practice to require the satisfaction of minimum statutory tax withholding obligations to be funded by a "sell-to-cover" transaction pursuant to a plan entered into by the Reporting Person for the purchase or sale of equity securities of the Issuer that is intended to satisfy the affirmative defense conditions of Rule 10b5-1(c), and therefore does not represent a discretionary sale by the Reporting Person.</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Dale A. Sander</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8193" TargetMode="External"/><Relationship Id="rId14" Type="http://schemas.openxmlformats.org/officeDocument/2006/relationships/hyperlink" Target="http://www.sec.gov/cgi-bin/browse-edgar?action=getcompany&amp;CIK=0001818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2026-05-20T15:34:13Z</dcterms:created>
  <dcterms:modified xsi:type="dcterms:W3CDTF">2026-05-20T15:34:13Z</dcterms:modified>
</cp:coreProperties>
</file>