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4725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25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Dougan Brady W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Humacyte,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HUMA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06/09/2022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EAST NORTH CAROLINA HIGHWAY 54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173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3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DURHAM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27713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4.34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06/09/2032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8,500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5"/>
        </w:trPr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first 25% of the option becomes exercisable on June 9, 2023, after which 1/48 of the option will become exercisable on the 9th of each month through June 9, 2026.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Brady W. Dougan by Dale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06/13/2022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A. Sander as Attorney-in-Fact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78020" TargetMode="External"/><Relationship Id="rId13" Type="http://schemas.openxmlformats.org/officeDocument/2006/relationships/hyperlink" Target="http://www.sec.gov/cgi-bin/browse-edgar?action=getcompany&amp;CIK=0001818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2022-06-13T15:22:18Z</dcterms:created>
  <dcterms:modified xsi:type="dcterms:W3CDTF">2022-06-13T15:22:18Z</dcterms:modified>
</cp:coreProperties>
</file>