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huma-20260630.htm"/>
        <w:bookmarkStart w:id="1" w:name="kshuma20260630"/>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page">
                  <wp:posOffset>3811270</wp:posOffset>
                </wp:positionH>
                <wp:positionV relativeFrom="page">
                  <wp:posOffset>9450070</wp:posOffset>
                </wp:positionV>
                <wp:extent cx="153670" cy="183515"/>
                <wp:effectExtent l="0" t="0" r="0" b="0"/>
                <wp:wrapNone/>
                <wp:docPr id="1" name="Frame12"/>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299085</wp:posOffset>
                </wp:positionV>
                <wp:extent cx="5943600" cy="175260"/>
                <wp:effectExtent l="0" t="0" r="0" b="0"/>
                <wp:wrapNone/>
                <wp:docPr id="2" name="Frame1"/>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23.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914400</wp:posOffset>
                </wp:positionH>
                <wp:positionV relativeFrom="page">
                  <wp:posOffset>299085</wp:posOffset>
                </wp:positionV>
                <wp:extent cx="5941060" cy="175260"/>
                <wp:effectExtent l="0" t="0" r="0" b="0"/>
                <wp:wrapNone/>
                <wp:docPr id="3" name="Frame2"/>
                <a:graphic xmlns:a="http://schemas.openxmlformats.org/drawingml/2006/main">
                  <a:graphicData uri="http://schemas.microsoft.com/office/word/2010/wordprocessingShape">
                    <wps:wsp>
                      <wps:cNvSpPr txBox="1"/>
                      <wps:spPr>
                        <a:xfrm>
                          <a:off x="0" y="0"/>
                          <a:ext cx="594106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7.8pt;height:13.8pt;mso-wrap-distance-left:0pt;mso-wrap-distance-right:0pt;mso-wrap-distance-top:0pt;mso-wrap-distance-bottom:0pt;margin-top:23.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6854825</wp:posOffset>
                </wp:positionH>
                <wp:positionV relativeFrom="page">
                  <wp:posOffset>299085</wp:posOffset>
                </wp:positionV>
                <wp:extent cx="14605" cy="175260"/>
                <wp:effectExtent l="0" t="0" r="0" b="0"/>
                <wp:wrapNone/>
                <wp:docPr id="4" name="Frame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3.55pt;mso-position-vertical-relative:page;margin-left:539.7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914400</wp:posOffset>
                </wp:positionH>
                <wp:positionV relativeFrom="page">
                  <wp:posOffset>299085</wp:posOffset>
                </wp:positionV>
                <wp:extent cx="5943600" cy="175260"/>
                <wp:effectExtent l="0" t="0" r="0" b="0"/>
                <wp:wrapNone/>
                <wp:docPr id="5" name="Frame4"/>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23.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6854825</wp:posOffset>
                </wp:positionH>
                <wp:positionV relativeFrom="page">
                  <wp:posOffset>302260</wp:posOffset>
                </wp:positionV>
                <wp:extent cx="14605" cy="175260"/>
                <wp:effectExtent l="0" t="0" r="0" b="0"/>
                <wp:wrapNone/>
                <wp:docPr id="6" name="Frame5"/>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3.8pt;mso-position-vertical-relative:page;margin-left:539.7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914400</wp:posOffset>
                </wp:positionH>
                <wp:positionV relativeFrom="page">
                  <wp:posOffset>316230</wp:posOffset>
                </wp:positionV>
                <wp:extent cx="14605" cy="175260"/>
                <wp:effectExtent l="0" t="0" r="0" b="0"/>
                <wp:wrapNone/>
                <wp:docPr id="7" name="Frame6"/>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4.9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914400</wp:posOffset>
                </wp:positionH>
                <wp:positionV relativeFrom="page">
                  <wp:posOffset>316230</wp:posOffset>
                </wp:positionV>
                <wp:extent cx="5943600" cy="175260"/>
                <wp:effectExtent l="0" t="0" r="0" b="0"/>
                <wp:wrapNone/>
                <wp:docPr id="8" name="Frame7"/>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24.9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3811270</wp:posOffset>
                </wp:positionH>
                <wp:positionV relativeFrom="page">
                  <wp:posOffset>9450070</wp:posOffset>
                </wp:positionV>
                <wp:extent cx="153670" cy="183515"/>
                <wp:effectExtent l="0" t="0" r="0" b="0"/>
                <wp:wrapNone/>
                <wp:docPr id="9" name="Frame8"/>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3811270</wp:posOffset>
                </wp:positionH>
                <wp:positionV relativeFrom="page">
                  <wp:posOffset>9450070</wp:posOffset>
                </wp:positionV>
                <wp:extent cx="153670" cy="183515"/>
                <wp:effectExtent l="0" t="0" r="0" b="0"/>
                <wp:wrapNone/>
                <wp:docPr id="10" name="Frame9"/>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3811270</wp:posOffset>
                </wp:positionH>
                <wp:positionV relativeFrom="page">
                  <wp:posOffset>9450070</wp:posOffset>
                </wp:positionV>
                <wp:extent cx="153670" cy="183515"/>
                <wp:effectExtent l="0" t="0" r="0" b="0"/>
                <wp:wrapNone/>
                <wp:docPr id="11" name="Frame10"/>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3811270</wp:posOffset>
                </wp:positionH>
                <wp:positionV relativeFrom="page">
                  <wp:posOffset>9450070</wp:posOffset>
                </wp:positionV>
                <wp:extent cx="153670" cy="183515"/>
                <wp:effectExtent l="0" t="0" r="0" b="0"/>
                <wp:wrapNone/>
                <wp:docPr id="12" name="Frame11"/>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3811270</wp:posOffset>
                </wp:positionH>
                <wp:positionV relativeFrom="page">
                  <wp:posOffset>9450070</wp:posOffset>
                </wp:positionV>
                <wp:extent cx="153670" cy="183515"/>
                <wp:effectExtent l="0" t="0" r="0" b="0"/>
                <wp:wrapNone/>
                <wp:docPr id="13" name="Frame24"/>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3811270</wp:posOffset>
                </wp:positionH>
                <wp:positionV relativeFrom="page">
                  <wp:posOffset>9450070</wp:posOffset>
                </wp:positionV>
                <wp:extent cx="153670" cy="183515"/>
                <wp:effectExtent l="0" t="0" r="0" b="0"/>
                <wp:wrapNone/>
                <wp:docPr id="14" name="Frame13"/>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3811270</wp:posOffset>
                </wp:positionH>
                <wp:positionV relativeFrom="page">
                  <wp:posOffset>9450070</wp:posOffset>
                </wp:positionV>
                <wp:extent cx="153670" cy="183515"/>
                <wp:effectExtent l="0" t="0" r="0" b="0"/>
                <wp:wrapNone/>
                <wp:docPr id="15" name="Frame14"/>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3811270</wp:posOffset>
                </wp:positionH>
                <wp:positionV relativeFrom="page">
                  <wp:posOffset>9450070</wp:posOffset>
                </wp:positionV>
                <wp:extent cx="153670" cy="183515"/>
                <wp:effectExtent l="0" t="0" r="0" b="0"/>
                <wp:wrapNone/>
                <wp:docPr id="16" name="Frame15"/>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3811270</wp:posOffset>
                </wp:positionH>
                <wp:positionV relativeFrom="page">
                  <wp:posOffset>9450070</wp:posOffset>
                </wp:positionV>
                <wp:extent cx="153670" cy="183515"/>
                <wp:effectExtent l="0" t="0" r="0" b="0"/>
                <wp:wrapNone/>
                <wp:docPr id="17" name="Frame16"/>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3811270</wp:posOffset>
                </wp:positionH>
                <wp:positionV relativeFrom="page">
                  <wp:posOffset>9450070</wp:posOffset>
                </wp:positionV>
                <wp:extent cx="153670" cy="183515"/>
                <wp:effectExtent l="0" t="0" r="0" b="0"/>
                <wp:wrapNone/>
                <wp:docPr id="18" name="Frame17"/>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3811270</wp:posOffset>
                </wp:positionH>
                <wp:positionV relativeFrom="page">
                  <wp:posOffset>9450070</wp:posOffset>
                </wp:positionV>
                <wp:extent cx="153670" cy="183515"/>
                <wp:effectExtent l="0" t="0" r="0" b="0"/>
                <wp:wrapNone/>
                <wp:docPr id="19" name="Frame18"/>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3811270</wp:posOffset>
                </wp:positionH>
                <wp:positionV relativeFrom="page">
                  <wp:posOffset>9450070</wp:posOffset>
                </wp:positionV>
                <wp:extent cx="153670" cy="183515"/>
                <wp:effectExtent l="0" t="0" r="0" b="0"/>
                <wp:wrapNone/>
                <wp:docPr id="20" name="Frame19"/>
                <a:graphic xmlns:a="http://schemas.openxmlformats.org/drawingml/2006/main">
                  <a:graphicData uri="http://schemas.microsoft.com/office/word/2010/wordprocessingShape">
                    <wps:wsp>
                      <wps:cNvSpPr txBox="1"/>
                      <wps:spPr>
                        <a:xfrm>
                          <a:off x="0" y="0"/>
                          <a:ext cx="153670" cy="183515"/>
                        </a:xfrm>
                        <a:prstGeom prst="rect"/>
                        <a:solidFill>
                          <a:srgbClr val="FFFFFF"/>
                        </a:solidFill>
                      </wps:spPr>
                      <wps:txbx>
                        <w:txbxContent>
                          <w:p>
                            <w:pPr>
                              <w:pStyle w:val="TextBody"/>
                              <w:bidi w:val="0"/>
                              <w:spacing w:before="13"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2.1pt;height:14.45pt;mso-wrap-distance-left:0pt;mso-wrap-distance-right:0pt;mso-wrap-distance-top:0pt;mso-wrap-distance-bottom:0pt;margin-top:744.1pt;mso-position-vertical-relative:page;margin-left:300.1pt;mso-position-horizontal-relative:page">
                <v:textbox inset="0in,0in,0in,0in">
                  <w:txbxContent>
                    <w:p>
                      <w:pPr>
                        <w:pStyle w:val="TextBody"/>
                        <w:bidi w:val="0"/>
                        <w:spacing w:before="13"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2433320</wp:posOffset>
                </wp:positionH>
                <wp:positionV relativeFrom="page">
                  <wp:posOffset>5026025</wp:posOffset>
                </wp:positionV>
                <wp:extent cx="2906395" cy="175260"/>
                <wp:effectExtent l="0" t="0" r="0" b="0"/>
                <wp:wrapNone/>
                <wp:docPr id="21" name="Frame20"/>
                <a:graphic xmlns:a="http://schemas.openxmlformats.org/drawingml/2006/main">
                  <a:graphicData uri="http://schemas.microsoft.com/office/word/2010/wordprocessingShape">
                    <wps:wsp>
                      <wps:cNvSpPr txBox="1"/>
                      <wps:spPr>
                        <a:xfrm>
                          <a:off x="0" y="0"/>
                          <a:ext cx="290639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28.85pt;height:13.8pt;mso-wrap-distance-left:0pt;mso-wrap-distance-right:0pt;mso-wrap-distance-top:0pt;mso-wrap-distance-bottom:0pt;margin-top:395.75pt;mso-position-vertical-relative:page;margin-left:191.6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2433320</wp:posOffset>
                </wp:positionH>
                <wp:positionV relativeFrom="page">
                  <wp:posOffset>5026025</wp:posOffset>
                </wp:positionV>
                <wp:extent cx="2906395" cy="175260"/>
                <wp:effectExtent l="0" t="0" r="0" b="0"/>
                <wp:wrapNone/>
                <wp:docPr id="22" name="Frame21"/>
                <a:graphic xmlns:a="http://schemas.openxmlformats.org/drawingml/2006/main">
                  <a:graphicData uri="http://schemas.microsoft.com/office/word/2010/wordprocessingShape">
                    <wps:wsp>
                      <wps:cNvSpPr txBox="1"/>
                      <wps:spPr>
                        <a:xfrm>
                          <a:off x="0" y="0"/>
                          <a:ext cx="290639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28.85pt;height:13.8pt;mso-wrap-distance-left:0pt;mso-wrap-distance-right:0pt;mso-wrap-distance-top:0pt;mso-wrap-distance-bottom:0pt;margin-top:395.75pt;mso-position-vertical-relative:page;margin-left:191.6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3658870</wp:posOffset>
                </wp:positionH>
                <wp:positionV relativeFrom="page">
                  <wp:posOffset>144145</wp:posOffset>
                </wp:positionV>
                <wp:extent cx="2412365" cy="175260"/>
                <wp:effectExtent l="0" t="0" r="0" b="0"/>
                <wp:wrapNone/>
                <wp:docPr id="23" name="Frame22"/>
                <a:graphic xmlns:a="http://schemas.openxmlformats.org/drawingml/2006/main">
                  <a:graphicData uri="http://schemas.microsoft.com/office/word/2010/wordprocessingShape">
                    <wps:wsp>
                      <wps:cNvSpPr txBox="1"/>
                      <wps:spPr>
                        <a:xfrm>
                          <a:off x="0" y="0"/>
                          <a:ext cx="241236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89.95pt;height:13.8pt;mso-wrap-distance-left:0pt;mso-wrap-distance-right:0pt;mso-wrap-distance-top:0pt;mso-wrap-distance-bottom:0pt;margin-top:11.35pt;mso-position-vertical-relative:page;margin-left:288.1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3658870</wp:posOffset>
                </wp:positionH>
                <wp:positionV relativeFrom="page">
                  <wp:posOffset>464185</wp:posOffset>
                </wp:positionV>
                <wp:extent cx="2412365" cy="175260"/>
                <wp:effectExtent l="0" t="0" r="0" b="0"/>
                <wp:wrapNone/>
                <wp:docPr id="24" name="Frame23"/>
                <a:graphic xmlns:a="http://schemas.openxmlformats.org/drawingml/2006/main">
                  <a:graphicData uri="http://schemas.microsoft.com/office/word/2010/wordprocessingShape">
                    <wps:wsp>
                      <wps:cNvSpPr txBox="1"/>
                      <wps:spPr>
                        <a:xfrm>
                          <a:off x="0" y="0"/>
                          <a:ext cx="241236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89.95pt;height:13.8pt;mso-wrap-distance-left:0pt;mso-wrap-distance-right:0pt;mso-wrap-distance-top:0pt;mso-wrap-distance-bottom:0pt;margin-top:36.55pt;mso-position-vertical-relative:page;margin-left:288.1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spacing w:before="80" w:after="283"/>
        <w:jc w:val="center"/>
        <w:rPr>
          <w:rFonts w:ascii="Times New Roman" w:hAnsi="Times New Roman"/>
          <w:sz w:val="20"/>
        </w:rPr>
      </w:pPr>
      <w:r>
        <w:rPr>
          <w:rFonts w:ascii="Wingdings;serif" w:hAnsi="Wingdings;serif"/>
          <w:color w:val="000000"/>
          <w:sz w:val="16"/>
        </w:rPr>
        <w:t>x</w:t>
      </w:r>
      <w:r>
        <w:rPr>
          <w:rFonts w:ascii="Times New Roman" w:hAnsi="Times New Roman"/>
          <w:color w:val="000000"/>
          <w:sz w:val="20"/>
        </w:rPr>
        <w:t xml:space="preserve"> </w:t>
      </w:r>
      <w:r>
        <w:rPr>
          <w:rFonts w:ascii="Times New Roman" w:hAnsi="Times New Roman"/>
          <w:b/>
          <w:color w:val="000000"/>
          <w:sz w:val="16"/>
        </w:rPr>
        <w:t>QUARTERLY REPORT PURSUANT TO SECTION 13 OR 15(d) OF THE SECURITIES EXCHANGE ACT OF 1934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80" w:after="283"/>
        <w:jc w:val="center"/>
        <w:rPr>
          <w:rFonts w:ascii="Times New Roman" w:hAnsi="Times New Roman"/>
          <w:sz w:val="20"/>
        </w:rPr>
      </w:pPr>
      <w:r>
        <w:rPr>
          <w:rFonts w:ascii="Wingdings;serif" w:hAnsi="Wingdings;serif"/>
          <w:b/>
          <w:color w:val="000000"/>
          <w:sz w:val="16"/>
        </w:rPr>
        <w:t>o</w:t>
      </w:r>
      <w:r>
        <w:rPr>
          <w:rFonts w:ascii="Times New Roman" w:hAnsi="Times New Roman"/>
          <w:color w:val="000000"/>
          <w:sz w:val="20"/>
        </w:rPr>
        <w:t xml:space="preserve"> </w:t>
      </w:r>
      <w:r>
        <w:rPr>
          <w:rFonts w:ascii="Times New Roman" w:hAnsi="Times New Roman"/>
          <w:b/>
          <w:color w:val="000000"/>
          <w:sz w:val="16"/>
        </w:rPr>
        <w:t>TRANSITION REPORT PURSUANT TO SECTION 13 OR 15(d) OF THE SECURITIES EXCHANGE ACT OF 1934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 the transition period from ______ to ______.</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Commission File Number: 001-39532</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Humacyte,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611" w:type="dxa"/>
        <w:jc w:val="left"/>
        <w:tblInd w:w="0" w:type="dxa"/>
        <w:tblLayout w:type="fixed"/>
        <w:tblCellMar>
          <w:top w:w="28" w:type="dxa"/>
          <w:left w:w="28" w:type="dxa"/>
          <w:bottom w:w="28" w:type="dxa"/>
          <w:right w:w="28" w:type="dxa"/>
        </w:tblCellMar>
      </w:tblPr>
      <w:tblGrid>
        <w:gridCol w:w="2026"/>
        <w:gridCol w:w="914"/>
        <w:gridCol w:w="2671"/>
      </w:tblGrid>
      <w:tr>
        <w:trPr/>
        <w:tc>
          <w:tcPr>
            <w:tcW w:w="202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9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85-1763759</w:t>
            </w:r>
          </w:p>
        </w:tc>
      </w:tr>
      <w:tr>
        <w:trPr/>
        <w:tc>
          <w:tcPr>
            <w:tcW w:w="2940"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(State or other jurisdiction of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2525 East North Carolina Highway 54</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Durham,</w:t>
            </w:r>
          </w:p>
        </w:tc>
        <w:tc>
          <w:tcPr>
            <w:tcW w:w="9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NC</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27713</w:t>
            </w:r>
          </w:p>
        </w:tc>
      </w:tr>
      <w:tr>
        <w:trPr/>
        <w:tc>
          <w:tcPr>
            <w:tcW w:w="29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(919) 313-9633</w:t>
      </w:r>
    </w:p>
    <w:p>
      <w:pPr>
        <w:pStyle w:val="TextBody"/>
        <w:bidi w:val="0"/>
        <w:jc w:val="center"/>
        <w:rPr>
          <w:rFonts w:ascii="Times New Roman" w:hAnsi="Times New Roman"/>
          <w:color w:val="000000"/>
          <w:sz w:val="14"/>
        </w:rPr>
      </w:pPr>
      <w:r>
        <w:rPr>
          <w:rFonts w:ascii="Times New Roman" w:hAnsi="Times New Roman"/>
          <w:color w:val="000000"/>
          <w:sz w:val="14"/>
        </w:rPr>
        <w:t>(Registrant’s telephone number, including area code)</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color w:val="000000"/>
          <w:sz w:val="14"/>
        </w:rPr>
      </w:pPr>
      <w:r>
        <w:rPr>
          <w:rFonts w:ascii="Times New Roman" w:hAnsi="Times New Roman"/>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1"/>
        <w:gridCol w:w="146"/>
        <w:gridCol w:w="1241"/>
        <w:gridCol w:w="146"/>
        <w:gridCol w:w="252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6151" w:type="dxa"/>
            <w:tcBorders>
              <w:bottom w:val="single" w:sz="6"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6"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6"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151" w:type="dxa"/>
            <w:tcBorders/>
            <w:tcMar>
              <w:top w:w="0" w:type="dxa"/>
              <w:left w:w="0" w:type="dxa"/>
              <w:bottom w:w="0" w:type="dxa"/>
              <w:right w:w="0" w:type="dxa"/>
            </w:tcMar>
            <w:vAlign w:val="center"/>
          </w:tcPr>
          <w:p>
            <w:pPr>
              <w:pStyle w:val="TableContents"/>
              <w:bidi w:val="0"/>
              <w:spacing w:before="50" w:after="20"/>
              <w:jc w:val="center"/>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50" w:after="20"/>
              <w:jc w:val="center"/>
              <w:rPr>
                <w:rFonts w:ascii="Times New Roman" w:hAnsi="Times New Roman"/>
                <w:b/>
                <w:color w:val="000000"/>
                <w:sz w:val="16"/>
              </w:rPr>
            </w:pPr>
            <w:r>
              <w:rPr>
                <w:rFonts w:ascii="Times New Roman" w:hAnsi="Times New Roman"/>
                <w:b/>
                <w:color w:val="000000"/>
                <w:sz w:val="16"/>
              </w:rPr>
              <w:t>HUMA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50" w:after="20"/>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15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Redeemable Warrants, each whole warrant exercisable for one share of Common Stock at an exercise price of $11.50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HUMAW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120" w:after="283"/>
        <w:jc w:val="both"/>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Wingdings;serif" w:hAnsi="Wingdings;serif"/>
          <w:color w:val="000000"/>
          <w:sz w:val="15"/>
        </w:rPr>
        <w:t>x</w:t>
      </w:r>
      <w:r>
        <w:rPr>
          <w:rFonts w:ascii="Times New Roman" w:hAnsi="Times New Roman"/>
          <w:color w:val="000000"/>
          <w:sz w:val="20"/>
        </w:rPr>
        <w:t xml:space="preserve"> </w:t>
      </w:r>
      <w:r>
        <w:rPr>
          <w:rFonts w:ascii="Times New Roman" w:hAnsi="Times New Roman"/>
          <w:color w:val="000000"/>
          <w:sz w:val="15"/>
        </w:rPr>
        <w:t xml:space="preserve">No </w:t>
      </w:r>
      <w:r>
        <w:rPr>
          <w:rFonts w:ascii="Wingdings;serif" w:hAnsi="Wingdings;serif"/>
          <w:color w:val="000000"/>
          <w:sz w:val="15"/>
        </w:rPr>
        <w:t>o</w:t>
      </w:r>
    </w:p>
    <w:p>
      <w:pPr>
        <w:pStyle w:val="TextBody"/>
        <w:bidi w:val="0"/>
        <w:spacing w:before="60" w:after="283"/>
        <w:jc w:val="both"/>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Wingdings;serif" w:hAnsi="Wingdings;serif"/>
          <w:color w:val="000000"/>
          <w:sz w:val="15"/>
        </w:rPr>
        <w:t>x</w:t>
      </w:r>
      <w:r>
        <w:rPr>
          <w:rFonts w:ascii="Times New Roman" w:hAnsi="Times New Roman"/>
          <w:color w:val="000000"/>
          <w:sz w:val="20"/>
        </w:rPr>
        <w:t xml:space="preserve"> </w:t>
      </w:r>
      <w:r>
        <w:rPr>
          <w:rFonts w:ascii="Times New Roman" w:hAnsi="Times New Roman"/>
          <w:color w:val="000000"/>
          <w:sz w:val="15"/>
        </w:rPr>
        <w:t xml:space="preserve">No </w:t>
      </w:r>
      <w:r>
        <w:rPr>
          <w:rFonts w:ascii="Wingdings;serif" w:hAnsi="Wingdings;serif"/>
          <w:color w:val="000000"/>
          <w:sz w:val="15"/>
        </w:rPr>
        <w:t>o</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85" w:type="dxa"/>
        <w:jc w:val="left"/>
        <w:tblInd w:w="0" w:type="dxa"/>
        <w:tblLayout w:type="fixed"/>
        <w:tblCellMar>
          <w:top w:w="28" w:type="dxa"/>
          <w:left w:w="28" w:type="dxa"/>
          <w:bottom w:w="28" w:type="dxa"/>
          <w:right w:w="28" w:type="dxa"/>
        </w:tblCellMar>
      </w:tblPr>
      <w:tblGrid>
        <w:gridCol w:w="1411"/>
        <w:gridCol w:w="271"/>
        <w:gridCol w:w="146"/>
        <w:gridCol w:w="1741"/>
        <w:gridCol w:w="316"/>
      </w:tblGrid>
      <w:tr>
        <w:trPr/>
        <w:tc>
          <w:tcPr>
            <w:tcW w:w="14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5"/>
              </w:rPr>
            </w:pPr>
            <w:r>
              <w:rPr>
                <w:rFonts w:ascii="Times New Roman" w:hAnsi="Times New Roman"/>
                <w:color w:val="000000"/>
                <w:sz w:val="15"/>
              </w:rPr>
              <w:t>Large accelerated filer</w:t>
            </w:r>
          </w:p>
        </w:tc>
        <w:tc>
          <w:tcPr>
            <w:tcW w:w="271"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75" w:after="30"/>
              <w:jc w:val="both"/>
              <w:rPr>
                <w:rFonts w:ascii="Times New Roman" w:hAnsi="Times New Roman"/>
                <w:color w:val="000000"/>
                <w:sz w:val="15"/>
              </w:rPr>
            </w:pPr>
            <w:r>
              <w:rPr>
                <w:rFonts w:ascii="Times New Roman" w:hAnsi="Times New Roman"/>
                <w:color w:val="000000"/>
                <w:sz w:val="15"/>
              </w:rPr>
              <w:t>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o</w:t>
            </w:r>
          </w:p>
        </w:tc>
      </w:tr>
      <w:tr>
        <w:trPr/>
        <w:tc>
          <w:tcPr>
            <w:tcW w:w="14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5"/>
              </w:rPr>
            </w:pPr>
            <w:r>
              <w:rPr>
                <w:rFonts w:ascii="Times New Roman" w:hAnsi="Times New Roman"/>
                <w:color w:val="000000"/>
                <w:sz w:val="15"/>
              </w:rPr>
              <w:t>Non-accelerated filer</w:t>
            </w:r>
          </w:p>
        </w:tc>
        <w:tc>
          <w:tcPr>
            <w:tcW w:w="271"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75" w:after="30"/>
              <w:jc w:val="both"/>
              <w:rPr>
                <w:rFonts w:ascii="Times New Roman" w:hAnsi="Times New Roman"/>
                <w:color w:val="000000"/>
                <w:sz w:val="15"/>
              </w:rPr>
            </w:pPr>
            <w:r>
              <w:rPr>
                <w:rFonts w:ascii="Times New Roman" w:hAnsi="Times New Roman"/>
                <w:color w:val="000000"/>
                <w:sz w:val="15"/>
              </w:rPr>
              <w:t>Smaller reporting company</w:t>
            </w:r>
          </w:p>
        </w:tc>
        <w:tc>
          <w:tcPr>
            <w:tcW w:w="316"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x</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75" w:after="30"/>
              <w:jc w:val="both"/>
              <w:rPr>
                <w:rFonts w:ascii="Times New Roman" w:hAnsi="Times New Roman"/>
                <w:color w:val="000000"/>
                <w:sz w:val="15"/>
              </w:rPr>
            </w:pPr>
            <w:r>
              <w:rPr>
                <w:rFonts w:ascii="Times New Roman" w:hAnsi="Times New Roman"/>
                <w:color w:val="000000"/>
                <w:sz w:val="15"/>
              </w:rPr>
              <w:t>Emerging growth company</w:t>
            </w:r>
          </w:p>
        </w:tc>
        <w:tc>
          <w:tcPr>
            <w:tcW w:w="316"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o</w:t>
            </w:r>
          </w:p>
        </w:tc>
      </w:tr>
    </w:tbl>
    <w:p>
      <w:pPr>
        <w:pStyle w:val="TextBody"/>
        <w:bidi w:val="0"/>
        <w:spacing w:before="120" w:after="283"/>
        <w:jc w:val="both"/>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erif" w:hAnsi="Wingdings;serif"/>
          <w:color w:val="000000"/>
          <w:sz w:val="15"/>
        </w:rPr>
        <w:t>o</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Wingdings;serif" w:hAnsi="Wingdings;serif"/>
          <w:color w:val="000000"/>
          <w:sz w:val="15"/>
        </w:rPr>
        <w:t>o</w:t>
      </w:r>
      <w:r>
        <w:rPr>
          <w:rFonts w:ascii="Times New Roman" w:hAnsi="Times New Roman"/>
          <w:color w:val="000000"/>
          <w:sz w:val="20"/>
        </w:rPr>
        <w:t xml:space="preserve"> </w:t>
      </w:r>
      <w:r>
        <w:rPr>
          <w:rFonts w:ascii="Times New Roman" w:hAnsi="Times New Roman"/>
          <w:color w:val="000000"/>
          <w:sz w:val="15"/>
        </w:rPr>
        <w:t xml:space="preserve">No </w:t>
      </w:r>
      <w:r>
        <w:rPr>
          <w:rFonts w:ascii="Wingdings;serif" w:hAnsi="Wingdings;serif"/>
          <w:color w:val="000000"/>
          <w:sz w:val="15"/>
        </w:rPr>
        <w:t>x</w:t>
      </w:r>
    </w:p>
    <w:p>
      <w:pPr>
        <w:pStyle w:val="TextBody"/>
        <w:bidi w:val="0"/>
        <w:spacing w:before="120" w:after="283"/>
        <w:jc w:val="both"/>
        <w:rPr>
          <w:rFonts w:ascii="Times New Roman" w:hAnsi="Times New Roman"/>
          <w:sz w:val="20"/>
        </w:rPr>
      </w:pPr>
      <w:r>
        <w:rPr>
          <w:rFonts w:ascii="Times New Roman" w:hAnsi="Times New Roman"/>
          <w:color w:val="000000"/>
          <w:sz w:val="15"/>
        </w:rPr>
        <w:t>As of August 10, 2026, 277,798,105</w:t>
      </w:r>
      <w:r>
        <w:rPr>
          <w:rFonts w:ascii="Times New Roman" w:hAnsi="Times New Roman"/>
          <w:color w:val="000000"/>
          <w:sz w:val="20"/>
        </w:rPr>
        <w:t xml:space="preserve"> </w:t>
      </w:r>
      <w:r>
        <w:rPr>
          <w:rFonts w:ascii="Times New Roman" w:hAnsi="Times New Roman"/>
          <w:color w:val="000000"/>
          <w:sz w:val="15"/>
        </w:rPr>
        <w:t>shares of common stock, par value $0.0001, were issued and outstanding.</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
        </w:rPr>
      </w:pPr>
      <w:r>
        <w:rPr>
          <w:rFonts w:ascii="Times New Roman" w:hAnsi="Times New Roman"/>
          <w:b/>
          <w:color w:val="000000"/>
          <w:sz w:val="2"/>
        </w:rPr>
        <w:t>SEC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before="40" w:after="283"/>
        <w:jc w:val="center"/>
        <w:rPr/>
      </w:pPr>
      <w:r>
        <w:rPr/>
        <w:t> </w:t>
      </w:r>
    </w:p>
    <w:tbl>
      <w:tblPr>
        <w:tblW w:w="9783" w:type="dxa"/>
        <w:jc w:val="left"/>
        <w:tblInd w:w="0" w:type="dxa"/>
        <w:tblLayout w:type="fixed"/>
        <w:tblCellMar>
          <w:top w:w="28" w:type="dxa"/>
          <w:left w:w="28" w:type="dxa"/>
          <w:bottom w:w="28" w:type="dxa"/>
          <w:right w:w="28" w:type="dxa"/>
        </w:tblCellMar>
      </w:tblPr>
      <w:tblGrid>
        <w:gridCol w:w="811"/>
        <w:gridCol w:w="8071"/>
        <w:gridCol w:w="901"/>
      </w:tblGrid>
      <w:tr>
        <w:trPr/>
        <w:tc>
          <w:tcPr>
            <w:tcW w:w="81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 No.</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u w:val="single"/>
                </w:rPr>
                <w:t>PART I – FINANCIAL INFORMATION</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stmt_operations_comp_loss">
              <w:r>
                <w:rPr>
                  <w:rStyle w:val="InternetLink"/>
                  <w:rFonts w:ascii="Times New Roman" w:hAnsi="Times New Roman"/>
                  <w:color w:val="0000FF"/>
                  <w:sz w:val="20"/>
                  <w:u w:val="single"/>
                </w:rPr>
                <w:t>Condensed Consolidated Statements of Operations and Comprehensive (Loss) Income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stmt_of_changes_stockholders">
              <w:r>
                <w:rPr>
                  <w:rStyle w:val="InternetLink"/>
                  <w:rFonts w:ascii="Times New Roman" w:hAnsi="Times New Roman"/>
                  <w:color w:val="0000FF"/>
                  <w:sz w:val="20"/>
                  <w:u w:val="single"/>
                </w:rPr>
                <w:t>Condensed Consolidated Statements of Changes in Stockholders’ Equity (Deficit)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Consolidated Statements of Cash Flows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_condensed_consolidated_financial">
              <w:r>
                <w:rPr>
                  <w:rStyle w:val="InternetLink"/>
                  <w:rFonts w:ascii="Times New Roman" w:hAnsi="Times New Roman"/>
                  <w:color w:val="0000FF"/>
                  <w:sz w:val="20"/>
                  <w:u w:val="single"/>
                </w:rPr>
                <w:t>Notes to Condensed Consolidated Financial Statements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Times New Roman" w:hAnsi="Times New Roman"/>
                  <w:color w:val="0000FF"/>
                  <w:sz w:val="20"/>
                  <w:u w:val="single"/>
                </w:rPr>
                <w:t>Item 2.</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Item 3.</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Item 4.</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00"/>
                  <w:sz w:val="20"/>
                  <w:u w:val="single"/>
                </w:rPr>
                <w:t>PART II – OTHER INFORMATION</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Item 1.</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Item 1A.</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Item 2.</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Item 3.</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Item 4.</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Item 5.</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Item 6.</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8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b/>
                  <w:color w:val="0000FF"/>
                  <w:sz w:val="20"/>
                  <w:u w:val="single"/>
                </w:rPr>
                <w:t>SIGNATURES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3" w:name="section3"/>
      <w:bookmarkEnd w:id="3"/>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Forward-looking statements may include, for example, statements about: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 plans and ability to commercialize Symvess</w:t>
      </w:r>
      <w:r>
        <w:rPr>
          <w:rFonts w:ascii="Times New Roman" w:hAnsi="Times New Roman"/>
          <w:color w:val="000000"/>
          <w:sz w:val="13"/>
        </w:rPr>
        <w:t>®</w:t>
      </w:r>
      <w:r>
        <w:rPr>
          <w:color w:val="000000"/>
        </w:rPr>
        <w:t xml:space="preserve"> </w:t>
      </w:r>
      <w:r>
        <w:rPr>
          <w:rFonts w:ascii="Times New Roman" w:hAnsi="Times New Roman"/>
          <w:color w:val="000000"/>
          <w:sz w:val="20"/>
        </w:rPr>
        <w:t>(acellular tissue engineered vessel-tyod or “ATEV”) and, if approved by regulatory authorities, our product candidates, successfully and on our anticipated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market acceptance of and the availability of third-party coverage and reimbursement for Symvess and, if approved by regulatory authorities,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Symvess and, if approved by regulatory authorities, our product candidates, in sufficient quantities to satisfy our clinical trial and commercial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size of the target populations for Symvess and, if approved by regulatory authorities,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benefits of our ATEVs relative to existing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assessment of the competitive landscape;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execute product development, process development and preclinical development efforts successfully and on our anticipated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anticipated timeline and ability to file applications for, and obtain marketing approvals from, the United States (“U.S.”) Food and Drug Administration (“FDA”) and other regulatory authorities, including the European Medicines Agency (“EMA”) and Israel for our ATEVs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expectations regarding the results of our clinical trials, including our V012 Phase 3 clinical trial, and regarding our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design, initiate and successfully complete clinical trials and other studies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and achieve the expected benefits of our cost-saving measures and whether our efforts will result in further actions or additional asset impairment charges that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our ongoing discussions with the FDA concerning the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growth rate and market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use our proprietary scientific technology platform to build a pipeline of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characteristics and performance of our ATEVs and the public perception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strategic partnership with Fresenius Medical Care Holdings, Inc. (“Fresenius Medical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other third parties on which we rely, including our third-party manufacturers, our licensors, our suppliers and the organizations conducting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as well as our ability to operate our business without infringing, misappropriating or otherwise violating the intellectual property rights of others;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the confidentiality of our trade secrets, particularly with respect to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applicable laws and regulatory requirements, including FDA regulations, healthcare laws and regulations, and anti-corruption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retain and motivate qualified personnel and to manage our growth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how long our existing cash and cash equivalents will be sufficient to fund our anticipated operating expenses, capital expenditures and debt service obligations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capital requirements, including our ability to raise additional capital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implement and maintain effective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expected benefits of the commitment to purchase Symvess to facilitate a clinical evaluation and outreach program in the Kingdom of Saudi Arabia (the “KSA”);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liquidity and trading of our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overall global economy and increasing interest rates and inflation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by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our Quarterly Report on Form 10-Q for the three months ended March 31, 2026, filed with the SEC on May 13, 2026, and our Annual Report on Form 10-K for the year ended December 31, 2025, which we filed with the SEC on March 27, 2026.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413"/>
        <w:gridCol w:w="146"/>
        <w:gridCol w:w="196"/>
        <w:gridCol w:w="751"/>
        <w:gridCol w:w="166"/>
        <w:gridCol w:w="146"/>
        <w:gridCol w:w="205"/>
        <w:gridCol w:w="789"/>
        <w:gridCol w:w="393"/>
      </w:tblGrid>
      <w:tr>
        <w:trPr/>
        <w:tc>
          <w:tcPr>
            <w:tcW w:w="7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50,497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67,795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116,366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obligation,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113,257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20,000,000</w:t>
            </w:r>
            <w:r>
              <w:rPr>
                <w:rFonts w:ascii="Times New Roman" w:hAnsi="Times New Roman"/>
                <w:color w:val="000000"/>
                <w:sz w:val="20"/>
              </w:rPr>
              <w:t> </w:t>
            </w:r>
            <w:r>
              <w:rPr>
                <w:rFonts w:ascii="Times New Roman" w:hAnsi="Times New Roman"/>
                <w:color w:val="000000"/>
                <w:sz w:val="18"/>
              </w:rPr>
              <w:t>shares designated as of June 30, 2026 and December 31, 2025; 0</w:t>
            </w:r>
            <w:r>
              <w:rPr>
                <w:rFonts w:ascii="Times New Roman" w:hAnsi="Times New Roman"/>
                <w:color w:val="000000"/>
                <w:sz w:val="20"/>
              </w:rPr>
              <w:t> </w:t>
            </w:r>
            <w:r>
              <w:rPr>
                <w:rFonts w:ascii="Times New Roman" w:hAnsi="Times New Roman"/>
                <w:color w:val="000000"/>
                <w:sz w:val="18"/>
              </w:rPr>
              <w:t>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550,000,000</w:t>
            </w:r>
            <w:r>
              <w:rPr>
                <w:rFonts w:ascii="Times New Roman" w:hAnsi="Times New Roman"/>
                <w:color w:val="000000"/>
                <w:sz w:val="20"/>
              </w:rPr>
              <w:t> </w:t>
            </w:r>
            <w:r>
              <w:rPr>
                <w:rFonts w:ascii="Times New Roman" w:hAnsi="Times New Roman"/>
                <w:color w:val="000000"/>
                <w:sz w:val="18"/>
              </w:rPr>
              <w:t>and 350,000,000</w:t>
            </w:r>
            <w:r>
              <w:rPr>
                <w:rFonts w:ascii="Times New Roman" w:hAnsi="Times New Roman"/>
                <w:color w:val="000000"/>
                <w:sz w:val="20"/>
              </w:rPr>
              <w:t> </w:t>
            </w:r>
            <w:r>
              <w:rPr>
                <w:rFonts w:ascii="Times New Roman" w:hAnsi="Times New Roman"/>
                <w:color w:val="000000"/>
                <w:sz w:val="18"/>
              </w:rPr>
              <w:t>shares authorized as of June 30, 2026 and as of December 31, 2025, respectively; 277,798,105</w:t>
            </w:r>
            <w:r>
              <w:rPr>
                <w:rFonts w:ascii="Times New Roman" w:hAnsi="Times New Roman"/>
                <w:color w:val="000000"/>
                <w:sz w:val="20"/>
              </w:rPr>
              <w:t> </w:t>
            </w:r>
            <w:r>
              <w:rPr>
                <w:rFonts w:ascii="Times New Roman" w:hAnsi="Times New Roman"/>
                <w:color w:val="000000"/>
                <w:sz w:val="18"/>
              </w:rPr>
              <w:t>and 193,000,611</w:t>
            </w:r>
            <w:r>
              <w:rPr>
                <w:rFonts w:ascii="Times New Roman" w:hAnsi="Times New Roman"/>
                <w:color w:val="000000"/>
                <w:sz w:val="20"/>
              </w:rPr>
              <w:t> </w:t>
            </w:r>
            <w:r>
              <w:rPr>
                <w:rFonts w:ascii="Times New Roman" w:hAnsi="Times New Roman"/>
                <w:color w:val="000000"/>
                <w:sz w:val="18"/>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729,937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(726,848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116,366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7" w:name="condensed_stmt_operations_comp_loss"/>
      <w:bookmarkEnd w:id="7"/>
      <w:r>
        <w:rPr>
          <w:rFonts w:ascii="Times New Roman" w:hAnsi="Times New Roman"/>
          <w:b/>
          <w:color w:val="000000"/>
          <w:sz w:val="20"/>
        </w:rPr>
        <w:t>Condensed Consolidated Statements of Operations and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4"/>
        <w:gridCol w:w="146"/>
        <w:gridCol w:w="196"/>
        <w:gridCol w:w="1006"/>
        <w:gridCol w:w="166"/>
        <w:gridCol w:w="146"/>
        <w:gridCol w:w="196"/>
        <w:gridCol w:w="1006"/>
        <w:gridCol w:w="166"/>
        <w:gridCol w:w="146"/>
        <w:gridCol w:w="196"/>
        <w:gridCol w:w="1006"/>
        <w:gridCol w:w="166"/>
        <w:gridCol w:w="146"/>
        <w:gridCol w:w="196"/>
        <w:gridCol w:w="1006"/>
        <w:gridCol w:w="411"/>
      </w:tblGrid>
      <w:tr>
        <w:trPr/>
        <w:tc>
          <w:tcPr>
            <w:tcW w:w="3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(52,911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54,392</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income and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outstanding used in computing net (loss) income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234,182,284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155,437,281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216,114,910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143,533,212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outstanding used in computing net (loss) income per share attributable to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234,182,284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155,437,281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216,114,910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143,664,424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8" w:name="condensed_stmt_of_changes_stockholders"/>
      <w:bookmarkEnd w:id="8"/>
      <w:r>
        <w:rPr>
          <w:rFonts w:ascii="Times New Roman" w:hAnsi="Times New Roman"/>
          <w:b/>
          <w:color w:val="000000"/>
          <w:sz w:val="20"/>
        </w:rPr>
        <w:t>Condensed Consolidated Statements of Changes in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5"/>
        <w:gridCol w:w="146"/>
        <w:gridCol w:w="146"/>
        <w:gridCol w:w="1006"/>
        <w:gridCol w:w="146"/>
        <w:gridCol w:w="146"/>
        <w:gridCol w:w="228"/>
        <w:gridCol w:w="403"/>
        <w:gridCol w:w="146"/>
        <w:gridCol w:w="146"/>
        <w:gridCol w:w="196"/>
        <w:gridCol w:w="691"/>
        <w:gridCol w:w="146"/>
        <w:gridCol w:w="146"/>
        <w:gridCol w:w="196"/>
        <w:gridCol w:w="751"/>
        <w:gridCol w:w="166"/>
        <w:gridCol w:w="146"/>
        <w:gridCol w:w="223"/>
        <w:gridCol w:w="754"/>
        <w:gridCol w:w="212"/>
      </w:tblGrid>
      <w:tr>
        <w:trPr/>
        <w:tc>
          <w:tcPr>
            <w:tcW w:w="4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193,000,611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729,937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(726,848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in registered direct offerings,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under TD Cowen ATM Facility,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4,018,497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222,019,108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(744,467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11,624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in public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54,761,905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277,798,105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812,502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31,261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6"/>
        <w:gridCol w:w="146"/>
        <w:gridCol w:w="146"/>
        <w:gridCol w:w="1006"/>
        <w:gridCol w:w="146"/>
        <w:gridCol w:w="146"/>
        <w:gridCol w:w="228"/>
        <w:gridCol w:w="403"/>
        <w:gridCol w:w="146"/>
        <w:gridCol w:w="146"/>
        <w:gridCol w:w="230"/>
        <w:gridCol w:w="812"/>
        <w:gridCol w:w="146"/>
        <w:gridCol w:w="146"/>
        <w:gridCol w:w="196"/>
        <w:gridCol w:w="751"/>
        <w:gridCol w:w="166"/>
        <w:gridCol w:w="146"/>
        <w:gridCol w:w="239"/>
        <w:gridCol w:w="810"/>
        <w:gridCol w:w="214"/>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130,027,509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(686,015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(52,669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in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46,660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under Jefferies ATM Facility,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155,118,816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682,903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(646,876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36,043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under Jefferies ATM Facility,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156,342,893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688,570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(684,534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4,052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9" w:name="condensed_statements_of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876" w:type="dxa"/>
        <w:jc w:val="left"/>
        <w:tblInd w:w="0" w:type="dxa"/>
        <w:tblLayout w:type="fixed"/>
        <w:tblCellMar>
          <w:top w:w="28" w:type="dxa"/>
          <w:left w:w="28" w:type="dxa"/>
          <w:bottom w:w="28" w:type="dxa"/>
          <w:right w:w="28" w:type="dxa"/>
        </w:tblCellMar>
      </w:tblPr>
      <w:tblGrid>
        <w:gridCol w:w="6651"/>
        <w:gridCol w:w="546"/>
        <w:gridCol w:w="200"/>
        <w:gridCol w:w="675"/>
        <w:gridCol w:w="169"/>
        <w:gridCol w:w="149"/>
        <w:gridCol w:w="200"/>
        <w:gridCol w:w="675"/>
        <w:gridCol w:w="611"/>
      </w:tblGrid>
      <w:tr>
        <w:trPr/>
        <w:tc>
          <w:tcPr>
            <w:tcW w:w="66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income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Earnout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reserve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discount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Finance lease obligation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obligation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(47,165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stock in public offering, net of underwriting fees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costs related to public offering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stock in registered direct offerings, net of placement agent fees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stock under ATM Facility, net of issuance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exercise of stock options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principal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beginning of the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50,850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the end of the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80,256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88,385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Unpaid issuance costs in connection with public offering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 in accounts payable and accrued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bookmarkStart w:id="10" w:name="notes_condensed_consolidated_financial"/>
      <w:bookmarkEnd w:id="10"/>
      <w:r>
        <w:rPr>
          <w:rFonts w:ascii="Times New Roman" w:hAnsi="Times New Roman"/>
          <w:b/>
          <w:color w:val="000000"/>
          <w:sz w:val="20"/>
        </w:rPr>
        <w:t>1. Organization and Description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its inception in 2004, the Company has incurred operating losses and negative cash flows from operations in each year. To date, the Company has financed its operations primarily through the sale of equity securities and convertible debt, proceeds from the reverse recapitalization described below, borrowings under loan facilities, proceeds from a revenue interest purchase agreement and, to a lesser extent, through product revenue, governmental and other grants. At June 30, 2026 and December 31, 2025, the Company had an accumulated deficit of $781.3 million and $726.8 million, respectively. The Company’s operating losses were $55.9 million and $52.9 million for the six months ended June 30, 2026 and 2025, respectively. Net cash flows used in operating activities were $47.2 million and $55.0 million during the six months ended June 30, 2026 and 2025, respectively. Substantially all of the Company’s operating losses resulted from costs incurred in connection with the Company’s research and development programs and from general and administrative costs associated with the Company’s commercial launch of Symvess in the vascular trauma indication and other operations. The Company expects to incur substantial operating losses and negative cash flows from operations for the foreseeable future as the Company advances its product candidates and commercial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the Company’s common stock, par value $0.0001 per share (“Common Stock”), having an aggregate value of up to $50.0 million (the “Purchase Shares”) over a 24-month period through September 24, 2026. The Company controls the timing and amount of any sales of Purchase Shares to Lincoln Park pursuant to the Common Stock Purchase Agreement in its sole discretion. As of June 30, 2026, the Company had $47.5 million in remaining availability for sales of Common Stock under the Common Stock Purchase Agreement. There were no purchases made under the Common Stock Purchase Agreement during the three and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2026, the Company entered into certain securities purchase agreements, pursuant to which the Company agreed to issue and sell to certain investors in a registered direct offering 25,000,000 shares of Common Stock at a price of $0.80 per share. The net proceeds to the Company were approximately $18.3 million, after deducting the placement agent’s fees and estimated offering expenses payable by the Company. The offering closed on March 20,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10, 2026, the Company entered into an underwriting agreement with Barclays Capital Inc., BTIG, LLC and Titan Partners Group LLC, a division of American Capital Partners, LLC, as representatives of the several underwriters named therein, relating to the issuance and sale in an underwritten offering (the “2026 Public Offering”) of 47,619,048 shares of Common Stock, at a price to the public of $1.05 per share (the “2026 Firm Shares”). The Company also granted the underwriters a 30-day option to purchase up to an additional 7,142,857 shares of Common Stock (the “2026 Option Shares”) at the same price as the 2026 Firm Shares, which the underwriters exercised on June 15, 2026. The net proceeds to the Company from the 2026 Public Offering, including the sale of the 2026 Option Shares, were approximately $53.8 million after deducting underwriting discounts and commissions and offering expenses. The sale of the 2026 Firm Shares closed on June 12, 2026 and the sale of the 2026 Option Shares closed on June 16,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the Company had available cash and cash equivalents of $79.9 million. The Company will not have sufficient liquidity to fund its operations beyond one year from the issuance of these condensed consolidated financial statements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the Company is unable to generate sufficient cash flows from commercial sales on a timely basis and/or obtain additional capital. These factors raise substantial doubt about the Company’s ability to continue as a going concern. The future viability of the Company is dependent on its ability to generate cash flows from the sale of Symvess and raise additional capital to finance its operations. As further disclosed in Note 10, Commitments and Contingencies, in May 2026, the Company implemented a plan to reduce its workforce by approximately 45 employees, defer additional planned new hires, and reduce other operating expenses. These reductions have been implemented thoughtfully, and the Company has retained key personnel, resources, and initiatives to meet its key corporate goals and milestones. The Company plans to seek additional funding through private or public equity financings, debt financings, debt refinancings or restructurings, collaborations, strategic alliances, and marketing, distribution or licensing arrangements. Adequate additional capital may not be available to the Company when needed or on acceptable terms. If the Company is unable to raise capital, the Company plans to implement a program that delays, reduces, suspends or ceases certain of its planned capital expenditures, research and development programs or any future commercialization efforts, which would have a negative impact on its business, prospects, operating results and financial condition. The accompanying condensed consolidated financial statements have been prepared assuming that the Company will continue as a going concern and contemplate the realization of assets and the satisfaction of liabilities in the normal course of business.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 </w:t>
      </w:r>
    </w:p>
    <w:p>
      <w:pPr>
        <w:pStyle w:val="TextBody"/>
        <w:bidi w:val="0"/>
        <w:spacing w:before="200" w:after="283"/>
        <w:jc w:val="left"/>
        <w:rPr>
          <w:rFonts w:ascii="Times New Roman" w:hAnsi="Times New Roman"/>
          <w:b/>
          <w:color w:val="000000"/>
          <w:sz w:val="20"/>
        </w:rPr>
      </w:pPr>
      <w:bookmarkStart w:id="11" w:name="section12"/>
      <w:bookmarkEnd w:id="11"/>
      <w:r>
        <w:rPr>
          <w:rFonts w:ascii="Times New Roman" w:hAnsi="Times New Roman"/>
          <w:b/>
          <w:color w:val="000000"/>
          <w:sz w:val="20"/>
        </w:rPr>
        <w:t>2. Summary of Significant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prepared the accompanying condensed consolidated financial statements in conformity with accounting principles generally accepted in the United States of America (“U.S. GAAP”). The Company’s condensed consolidated financial statements reflect the operations of the Company and its wholly owned subsidiaries. All intercompany accounts and transactions have been eliminated in consolidation.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Reverse Recapitalization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August 26, 2021 (the “Closing Date”), Hunter Merger Sub, Inc. (“Merger Sub”), a wholly owned subsidiary of Alpha Healthcare Acquisition Corp. (“AHAC”) merged with Humacyte, Inc. (“Legacy Humacyte”), with Legacy Humacyte continuing as the surviving corporation and as a wholly-owned subsidiary of AHAC (the “Merger”). The Merger was accounted for as a reverse recapitalization in accordance with accounting principles generally accepted in the United States of America (“U.S. GAAP”). As a result of the Merger, AHAC changed its name to Humacyte, Inc. and Legacy Humacyte changed its name to Humacyte Global, Inc. (“Global”).</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right-of-use assets and lease liabilities, accruals for research and development activities, inventory valuation, the fair value of Contingent Earnout Liability, derivative liabilities (including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2026 and its results of operations for the three and six months ended June 30, 2026 and 2025, and cash flows for the six months ended June 30, 2026 and 2025. The results of operations for the three and six months ended June 30, 2026 are not necessarily indicative of the results to be expected for the year ending December 31, 2026 or any other period. The December 31, 2025 year-end condensed consolidated balance sheet was derived from audited annual financial statements but does not include all disclosures from the annual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2025 and the related notes included in the Company’s Annual Report on Form 10-K, filed with the SEC on March 27, 2026,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2025 and 2024 included in the Company’s Annual Report.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is developing proprietary, bioengineered, acellular human tissues, advanced tissue constructs and organ systems that are designed to be used in the treatment of diseases and conditions across a range of anatomic locations in multiple therapeutic areas. The Company’s operations are managed and reported to its Chief Executive Officer, the Company’s chief operating decision maker (“CODM”), on a consolidated basis. The CODM evaluates financial performance, allocates resources and monitors budget versus actual results based on the Company’s </w:t>
      </w:r>
      <w:r>
        <w:rPr>
          <w:rFonts w:ascii="Times New Roman" w:hAnsi="Times New Roman"/>
          <w:color w:val="000000"/>
          <w:sz w:val="20"/>
        </w:rPr>
        <w:t>condensed consolidated statements of operations and comprehensive (loss) income</w:t>
      </w:r>
      <w:r>
        <w:rPr>
          <w:rFonts w:ascii="Times New Roman" w:hAnsi="Times New Roman"/>
          <w:color w:val="231F20"/>
          <w:sz w:val="20"/>
        </w:rPr>
        <w:t xml:space="preserve">. The measure of segment assets provided to and reviewed by the CODM is reported on the condensed consolidated balance sheets as total assets. Segment asset information is not used by the CODM to evaluate performance, allocate resources or make strategic decisions. Under the current organizational and reporting structure, the Company operates and manages its business on a consolidated basis as </w:t>
      </w:r>
      <w:r>
        <w:rPr>
          <w:rFonts w:ascii="Times New Roman" w:hAnsi="Times New Roman"/>
          <w:color w:val="000000"/>
          <w:sz w:val="20"/>
        </w:rPr>
        <w:t>one</w:t>
      </w:r>
      <w:r>
        <w:rPr>
          <w:rFonts w:ascii="Times New Roman" w:hAnsi="Times New Roman"/>
          <w:color w:val="231F20"/>
          <w:sz w:val="20"/>
        </w:rPr>
        <w:t xml:space="preserve"> reportable and operating segment.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As a single reportable segment entity, the Company’s segment performance measure is </w:t>
      </w:r>
      <w:r>
        <w:rPr>
          <w:rFonts w:ascii="Times New Roman" w:hAnsi="Times New Roman"/>
          <w:color w:val="231F20"/>
          <w:sz w:val="20"/>
        </w:rPr>
        <w:t xml:space="preserve">consolidated net (loss) income. Consolidated net (loss) income is used to monitor the budget versus actual results and to help make key operating decisions such as the allocation of budget between research and development and general and administrative expenses. Significant segment expenses within net (loss) income include cost of goods sold, research and development and general and administrative expenses, which are each separately presented on the Company’s </w:t>
      </w:r>
      <w:r>
        <w:rPr>
          <w:rFonts w:ascii="Times New Roman" w:hAnsi="Times New Roman"/>
          <w:color w:val="000000"/>
          <w:sz w:val="20"/>
        </w:rPr>
        <w:t>condensed consolidated statements of operations and comprehensive (loss) income</w:t>
      </w:r>
      <w:r>
        <w:rPr>
          <w:rFonts w:ascii="Times New Roman" w:hAnsi="Times New Roman"/>
          <w:color w:val="231F20"/>
          <w:sz w:val="20"/>
        </w:rPr>
        <w:t xml:space="preserve">. Other segment items within net (loss) income include interest income, interest expense, changes in the fair value of the Company’s Contingent Earnout Liability (as defined in </w:t>
      </w:r>
      <w:r>
        <w:rPr>
          <w:rFonts w:ascii="Times New Roman" w:hAnsi="Times New Roman"/>
          <w:color w:val="000000"/>
          <w:sz w:val="20"/>
        </w:rPr>
        <w:t>Note 7, Stockholders’ Equity and Warrants</w:t>
      </w:r>
      <w:r>
        <w:rPr>
          <w:rFonts w:ascii="Times New Roman" w:hAnsi="Times New Roman"/>
          <w:color w:val="231F20"/>
          <w:sz w:val="20"/>
        </w:rPr>
        <w:t>), and changes in the fair value of derivatives.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Additional disaggregated significant segment expenses that are not separately presented on the Company’s </w:t>
      </w:r>
      <w:r>
        <w:rPr>
          <w:rFonts w:ascii="Times New Roman" w:hAnsi="Times New Roman"/>
          <w:color w:val="000000"/>
          <w:sz w:val="20"/>
        </w:rPr>
        <w:t xml:space="preserve">condensed consolidated statements of operations and comprehensive (loss) income </w:t>
      </w:r>
      <w:r>
        <w:rPr>
          <w:rFonts w:ascii="Times New Roman" w:hAnsi="Times New Roman"/>
          <w:color w:val="231F20"/>
          <w:sz w:val="20"/>
        </w:rPr>
        <w:t xml:space="preserve">are presented below: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9072" w:type="dxa"/>
        <w:jc w:val="left"/>
        <w:tblInd w:w="0" w:type="dxa"/>
        <w:tblLayout w:type="fixed"/>
        <w:tblCellMar>
          <w:top w:w="28" w:type="dxa"/>
          <w:left w:w="28" w:type="dxa"/>
          <w:bottom w:w="28" w:type="dxa"/>
          <w:right w:w="28" w:type="dxa"/>
        </w:tblCellMar>
      </w:tblPr>
      <w:tblGrid>
        <w:gridCol w:w="3711"/>
        <w:gridCol w:w="146"/>
        <w:gridCol w:w="231"/>
        <w:gridCol w:w="741"/>
        <w:gridCol w:w="160"/>
        <w:gridCol w:w="160"/>
        <w:gridCol w:w="231"/>
        <w:gridCol w:w="741"/>
        <w:gridCol w:w="146"/>
        <w:gridCol w:w="146"/>
        <w:gridCol w:w="211"/>
        <w:gridCol w:w="677"/>
        <w:gridCol w:w="146"/>
        <w:gridCol w:w="146"/>
        <w:gridCol w:w="211"/>
        <w:gridCol w:w="677"/>
        <w:gridCol w:w="5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Vascular Trauma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 Access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Direct expenses for the Company’s vascular trauma and arteriovenous (“AV”) access for hemodialysis indications include costs related to the Company’s clinical trials, including fees paid to clinical research organizations (“CROs”), consultants, clinical sites and investigators. Costs related to development activities which broadly support multiple programs using the Company’s technology platform, including personnel, materials and supplies cost prior to inventory capitalization, external services costs, and other internal expenses, such as facilities and overhead costs, are not allocated to individual research and development programs. Other research and development expenses reported in the table above include direct costs not identifiable with a specific product candidate, including costs associated with the Company’s research and development platform used across programs, process development, manufacturing analytics and preclinical research and development for prospective product candidates and new technologies.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Non-cash Operating Expenses</w:t>
      </w:r>
    </w:p>
    <w:tbl>
      <w:tblPr>
        <w:tblW w:w="8362" w:type="dxa"/>
        <w:jc w:val="left"/>
        <w:tblInd w:w="0" w:type="dxa"/>
        <w:tblLayout w:type="fixed"/>
        <w:tblCellMar>
          <w:top w:w="28" w:type="dxa"/>
          <w:left w:w="28" w:type="dxa"/>
          <w:bottom w:w="28" w:type="dxa"/>
          <w:right w:w="28" w:type="dxa"/>
        </w:tblCellMar>
      </w:tblPr>
      <w:tblGrid>
        <w:gridCol w:w="3201"/>
        <w:gridCol w:w="146"/>
        <w:gridCol w:w="257"/>
        <w:gridCol w:w="697"/>
        <w:gridCol w:w="178"/>
        <w:gridCol w:w="178"/>
        <w:gridCol w:w="257"/>
        <w:gridCol w:w="697"/>
        <w:gridCol w:w="146"/>
        <w:gridCol w:w="146"/>
        <w:gridCol w:w="235"/>
        <w:gridCol w:w="637"/>
        <w:gridCol w:w="162"/>
        <w:gridCol w:w="162"/>
        <w:gridCol w:w="235"/>
        <w:gridCol w:w="637"/>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Inventory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capitalizes inventory when it concludes that commercialization and future economic benefit from the sale of products is probable. Prior to this conclusion, the Company expenses inventory as research and development expense in the condensed consolidated statements of operations and comprehensive (loss) income in the period incurred. The determination to capitalize inventory costs is based on various factors, including the product’s historical shelf life, the product’s current status in the development and regulatory approval process, results from related clinical trials, results from meetings with relevant regulatory agencies, potential obstacles to the approval process and viability of commercialization and market trends.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early 2025, based on the Company’s assessment of the legal and regulatory process related to Symvess, the Company concluded that it met the criteria to capitalize expenditures as inventory. The Company capitalized $18.2 million of inventory as of June 30, 2026 and $22.5 million as of December 31, 2025. Inventory is stated at the lower of cost or net realizable value. The Company’s inventory is valued under the first in, first out method. Cost includes direct materials, direct labor and an allocation of manufacturing overhead. Raw and intermediate materials that may be used for either research and development or commercial purposes are classified as inventory until the material is consumed or otherwise allocated for research and development. If the material is used for research and development, it is expensed as research and development once that determination is made.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evaluates inventory for excess, obsolete or slow-moving items based on historical and forecasted demand, product shelf life, regulatory considerations and other factors that may affect the recoverability of inventory. When necessary, the Company records a reserve to reduce inventory to its estimated net realizable value. The determination of any required inventory reserve involves significant judgment and is based on estimates of future sales volumes, expected market acceptance and demand for the Company’s products. As the Company commenced commercialization of Symvess in 2025 and has limited commercial sales history, actual future demand may differ from current estimates. Changes in demand forecasts, market conditions, manufacturing performance or other factors could result in additional inventory write-downs in future periods.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the Company’s allowance for inventory obsolescence was $11.2 million and $8.9 million, respectively. Provision for inventory reserves and write-downs is recorded within cost of goods sold in the condensed consolidated statements of operations and comprehensive (loss) income. Cost of goods sold was $1.2 million and $3.3 million for the three and six months ended June 30, 2026, respectively, and included provisions of $0.7 million and $2.3 million, respectively, to increase the allowance for inventory obsolescence, as well as overhead related to unused production capacity, and royalty expense related to product sales. Cost of goods sold was $0.2 million and $0.4 million for the three and six months ended June 30,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Revenue from Customers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Under Accounting Standards Codification 606, “Revenue from Contracts with Customers”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ASC 606 requires disclosure of the nature, amount, timing, and uncertainty of revenue and cash flows arising from contracts with customers.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current source of product revenue is derived from U.S. sales of Symvess. The Company recognizes product revenue upon delivery of Symvess to the customer. Revenue is recognized based on the price stated in the approved contract or purchase order. There are no contractual rights of return, and replacements for damaged products are provided free of charge.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strategic pricing programs provide eligible customers with credits that may be applied to future purchases of Symvess. The Company has determined that the credits provide customers with a material right and allocates the transaction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price between Symvess and the material right based on their relative standalone selling prices. Consideration allocated to the material right is deferred and recognized as revenue when either the credit is applied to a future purchase of Symvess or expires unused. The impact of these programs on the Company’s condensed consolidated financial statements for the three and six months ended June 30, 2026 was not material.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Accounts receivable related to product sales were approximately $0.3 million and $0.4 million as of June 30, 2026, and December 31, 2025, respectively.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Contract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 revenue consists of revenue related to a single contract with a customer to recover contract expenses. The expenses incurred related to the contract are primarily classified as research and development expenses on the Company’s condensed consolidated statements of operations and comprehensive (loss) income. The Company recognizes revenue associated with each performance obligation as the research and development services are provided using an input method, according to the actual costs incurred compared to the total costs expected to be incurred to satisfy the performance obligation. The transfer of control occurs as the program expenses are incurred and, in management’s judgment, is the best measure of progress towards satisfying each performance obligation. The transaction price is determined based on the milestones within the contract and there is no variable consideration. Accounts receivable related to the Company’s contract revenue were insignificant as of both June 30, 2026, and December 31, 2025.</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Cost of Goods Sold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Cost of goods sold consists of manufacturing costs, transportation and freight, depreciation, indirect overhead costs (including salary-related and stock-based compensation expenses) associated with the commercial manufacturing and distribution of Symvess, and third-party royalties payable on the Company’s net product revenue. Cost of goods sold may also include period costs related to excess, dated, or obsolete inventory adjustment charges, and unabsorbed manufacturing and other overhead costs. Inventory is expensed to costs of goods sold when revenue is recognized related to the product.</w:t>
      </w:r>
    </w:p>
    <w:p>
      <w:pPr>
        <w:pStyle w:val="TextBody"/>
        <w:bidi w:val="0"/>
        <w:spacing w:before="200" w:after="283"/>
        <w:jc w:val="left"/>
        <w:rPr>
          <w:rFonts w:ascii="Times New Roman" w:hAnsi="Times New Roman"/>
          <w:sz w:val="20"/>
        </w:rPr>
      </w:pPr>
      <w:r>
        <w:rPr>
          <w:rFonts w:ascii="Times New Roman" w:hAnsi="Times New Roman"/>
          <w:b/>
          <w:color w:val="231F20"/>
          <w:sz w:val="20"/>
        </w:rPr>
        <w:t>Interest Expense</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Interest expense is recognized using the effective interest method, which reflects a constant rate of interest over the estimated term of the related financing arrangement. Interest expense includes stated interest, as well as the amortization of original issue discounts, issuance costs, premiums, and other amounts that are economically part of the borrowing. Debt is initially recorded at the proceeds received, net of any discounts and issuance costs, and subsequently amortized and accreted to the contractual repayment amount over the estimated term of the arrangement. Changes in the timing or amount of expected cash flows, when applicable, are accounted for in accordance with U.S. GAAP and reflected prospectively through amortization and accretion into interest expense. Interest expense is recorded in interest expense in the </w:t>
      </w:r>
      <w:r>
        <w:rPr>
          <w:rFonts w:ascii="Times New Roman" w:hAnsi="Times New Roman"/>
          <w:color w:val="000000"/>
          <w:sz w:val="20"/>
        </w:rPr>
        <w:t>condensed consolidated statements of operations and comprehensive (loss) income</w:t>
      </w:r>
      <w:r>
        <w:rPr>
          <w:rFonts w:ascii="Times New Roman" w:hAnsi="Times New Roman"/>
          <w:color w:val="231F20"/>
          <w:sz w:val="20"/>
        </w:rPr>
        <w:t>.</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Comprehensive (Loss) Income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Comprehensive (loss) income includes net (loss) income as well as other changes in stockholders’ equity (deficit) that result from transactions and economic events other than those with stockholders. There was no difference between net (loss) income and comprehensive (loss) income for the three and six months ended June 30, 2026 and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cash and cash equivalents, including amounts classified as restricted cash. Total cash balances exceeded balances insured by the Federal Deposit Insurance Corporation as of June 30, 2026 and December 31, 2025.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The Company has cash equivalents that are invested in highly rated money market funds that are invested only in obligations of the U.S. government and its agencies. The Company has not experienced any credit loss relating to its 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believes that credit risks associated with its customers and contractual partners are not significant and has not recorded an allowance for credit loss as of June 30, 2026.</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Cash and Cash Equivalents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considers all short-term, highly liquid investments, including certificates of deposit (“CDs”) purchased with an original maturity of three months or less at the date of purchase, to be cash equivalents. Cash deposits are held with financial institutions with investment-grade ratings in the U.S. Cash deposits typically exceed federally insured limits. As of June 30, 2026 and December 31, 2025, cash and cash equivalents consisted of cash on deposit with banks denominated in U.S. dollars and investments in money market funds.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classifies as restricted cash all cash pledged as collateral to secure long-term obligations and all cash whose use is otherwise limited by contractual provisions. As of June 30, 2026 and December 31, 2025, restricted cash consisted of $0.2 million in funds maintained in a separate deposit account to secure a letter of credit for the benefit of the lessor of the Company’s headquarters lease, and $0.1 million in cash balances held as collateral for the Company’s employee credit card program.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condensed consolidated balance sheets to the total of the amounts shown in the condensed consolidated statements of cash flows as of June 30, 2026 and December 31, 2025.</w:t>
      </w:r>
    </w:p>
    <w:tbl>
      <w:tblPr>
        <w:tblW w:w="8312" w:type="dxa"/>
        <w:jc w:val="left"/>
        <w:tblInd w:w="0" w:type="dxa"/>
        <w:tblLayout w:type="fixed"/>
        <w:tblCellMar>
          <w:top w:w="28" w:type="dxa"/>
          <w:left w:w="28" w:type="dxa"/>
          <w:bottom w:w="28" w:type="dxa"/>
          <w:right w:w="28" w:type="dxa"/>
        </w:tblCellMar>
      </w:tblPr>
      <w:tblGrid>
        <w:gridCol w:w="5701"/>
        <w:gridCol w:w="146"/>
        <w:gridCol w:w="211"/>
        <w:gridCol w:w="676"/>
        <w:gridCol w:w="146"/>
        <w:gridCol w:w="146"/>
        <w:gridCol w:w="260"/>
        <w:gridCol w:w="835"/>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79,903</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50,497</w:t>
            </w:r>
          </w:p>
        </w:tc>
        <w:tc>
          <w:tcPr>
            <w:tcW w:w="19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Restricted cash included in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144</w:t>
            </w:r>
          </w:p>
        </w:tc>
        <w:tc>
          <w:tcPr>
            <w:tcW w:w="19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Restricted cash included in long-term assets</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2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2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2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2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2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80,256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50,850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r>
    </w:tbl>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Stock-based Compensation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accounts for stock-based awards, including warrants issued as compensation, to employees and non-employees in accordance with ASC 718, Compensation—Stock Compensation. Stock-based awards are measured at the grant date based on the award’s fair value and recognized as compensation expense over the requisite service period, which is generally the vesting period.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For awards with graded vesting schedules, the Company recognizes compensation expense on a straight-line basis over the requisite period for each separately vesting tranche. For awards with performance-based vesting conditions, compensation expense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Stock Options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recognizes stock-based compensation expense of stock options based on the grant-date fair value of the awards estimated using the Black-Scholes option-pricing model.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Restricted Stock Units (“RSUs”)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fair value of RSUs is measured on the grant date based on the closing market price of Common Stock on the grant date. Compensation cost related to RSUs is recognized on a straight-line basis over the requisite service period and is adjusted for forfeitures as they occur.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Net (Loss) Income per Share Attributable to Common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net (loss) income per share attributable to common stockholders is computed by dividing net (loss) income attributable to common stockholders by the weighted-average number of shares of Common Stock outstanding during the period. Potentially dilutive securities are excluded from basic net (loss) income per share. Diluted net (loss) income per share attributable to common stockholders reflects the potential dilution that could occur if securities or other contracts to issue Common Stock were exercised or converted or otherwise resulted in the issuance of shares of Common Stock, except when the effect would be anti-dilutive. The calculation of net (loss) income per share also considers the effect of participating securities. The Common Stock warrants issued in the Company’s October 2024, November 2024, and October 2025 registered direct offerings are considered participating securities and are included in the computation of net (loss) income per share pursuant to the two-class method. In applying the two-class method, during periods of net income, earnings are allocated to both Common Stock shares and participating securities based on their respective weighted-average shares outstanding for the period. During periods of net loss, no allocation is made to participating securities because they do not share in the Company’s losses.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the calculation of basic and diluted net (loss) income per share for the periods presented:</w:t>
      </w:r>
    </w:p>
    <w:tbl>
      <w:tblPr>
        <w:tblW w:w="10205" w:type="dxa"/>
        <w:jc w:val="left"/>
        <w:tblInd w:w="0" w:type="dxa"/>
        <w:tblLayout w:type="fixed"/>
        <w:tblCellMar>
          <w:top w:w="28" w:type="dxa"/>
          <w:left w:w="28" w:type="dxa"/>
          <w:bottom w:w="28" w:type="dxa"/>
          <w:right w:w="28" w:type="dxa"/>
        </w:tblCellMar>
      </w:tblPr>
      <w:tblGrid>
        <w:gridCol w:w="3124"/>
        <w:gridCol w:w="146"/>
        <w:gridCol w:w="211"/>
        <w:gridCol w:w="1141"/>
        <w:gridCol w:w="166"/>
        <w:gridCol w:w="146"/>
        <w:gridCol w:w="211"/>
        <w:gridCol w:w="1141"/>
        <w:gridCol w:w="166"/>
        <w:gridCol w:w="146"/>
        <w:gridCol w:w="211"/>
        <w:gridCol w:w="1141"/>
        <w:gridCol w:w="166"/>
        <w:gridCol w:w="146"/>
        <w:gridCol w:w="211"/>
        <w:gridCol w:w="1141"/>
        <w:gridCol w:w="591"/>
      </w:tblGrid>
      <w:tr>
        <w:trPr/>
        <w:tc>
          <w:tcPr>
            <w:tcW w:w="3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Undistributed earnings allocated to participating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234,182,284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155,437,281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216,114,910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143,533,212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assumed conversion of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234,182,284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155,437,281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216,114,910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143,664,424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potential shares of Common Stock were excluded from the computation of diluted net (loss) income per share for each period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4264"/>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under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15,754,039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under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42,580,388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12,374,207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shares issuable under the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 by underwriters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15,000,000 Contingent Earnout Shares (as defined in Note 7) were excluded from the anti-dilutive table for all periods presented, as such shares are contingently issuable until the share price of the Company exceeds specified thresholds that have not yet been achieved, or upon the occurrence of a change in control. The shares subject to the Option Agreement, as defined in Note 5, Revenue Interest Purchase Agreement, were excluded from the anti-dilutive table in the prior period presented based on the Company’s assumption that the Option Agreement would not be exercised unless the Company’s stock price exceeded $7.50 per share, the minimum purchase price under the Option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risks and uncertainties common to companies in the biotechnology industry, including, but not limited to, successful discovery and development of its product candidates, the success of clinical trials and other studies for its product candidates, including its ongoing V007 and V012 Phase 3 clinical trials, successful commercialization of Symvess and regulatory approval and commercialization of its product candidates, if approved, the expected size of the target populations for the Company’s product candidates, the degree of market acceptance of Symvess, and if approved by regulatory authorities, its product candidates, the availability of third-party coverage and reimbursement, development by competitors of new technological innovations, the ability to manufacture Symvess and its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Recently Adopted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2025, the Financial Accounting Standards Board (“FASB”) issued ASU No. 2025-05, “Financial Instruments—Credit Losses (Topic 326): Measurement of Credit Losses for Accounts Receivable and Contract Assets” (“ASU 2025-05”). ASU 2025-05 amends the guidance in ASC 326 to simplify the estimation of credit losses for current accounts receivable and current contract assets arising from transactions accounted for under ASC 606 by permitting entities to elect a practical expedient to assume that current conditions as of the balance sheet date will remain unchanged for the remaining life of the asset when developing reasonable and supportable forecasts for expected credit losses. ASU 2025-05 is effective for annual reporting periods beginning after December 15, 2025 and interim reporting periods within those annual reporting periods, with early adoption permitted. Companies that elect the practical expedient are required to apply the amendments prospectively. The Company adopted ASU 2025-05 in the first quarter of 2026 on a prospective basis and elected the practical expedient. The adoption of ASU 2025-05 did not have a material impact on the Company’s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Recently Issued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Reporting Comprehensive Income—Expense Disaggregation Disclosures” (Subtopic 220-40), “Disaggregation of Income Statement Expenses” (“ASU 2024-03”). In January 2025, the FASB issued ASU No. 2025-01, “Income Statement: Reporting Comprehensive Income—Expense Disaggregation Disclosures” (Subtopic 220-40), “Clarifying the Effective Date” (“ASU 2025-01”). ASU 2024-03 requires additional disclosure about the nature and amounts of expenses included in certain expense captions presented on the income statement to enhance the transparency of the relevant expense captions. ASU 2024-03, as clarified by ASU 2025-01, is effective for annual reporting periods beginning after December 15, 2026 and interim reporting periods within annual reporting periods beginning after December 15, 2027, with early adoption permitted. Entities may elect to apply the amendments either prospectively or retrospectively. The Company is currently evaluating the impact of adopting ASU 2024-03 on the Company’s consolidated financial statements and related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No. 2025-10, “Government Grants (Topic 832): Accounting for Government Grants Received by Business Entities” (“ASU 2025-10”), to provide guidance on how business entities should recognize, measure, and present government grants received. ASU 2025-10 is effective for fiscal years beginning after December 15, 2028, including interim periods within those fiscal years. Early adoption is permitted, and the amendments may be applied using a modified prospective, modified retrospective, or full retrospective adoption. The Company is currently evaluating the impact of adopting ASU 2025-10 on the Company’s consolidated financial statements and related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Narrow-Scope Improvements” (“ASU 2025-11”),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and the amendments may be applied prospectively or retrospectively to all periods presented in the financial statements. The Company is currently evaluating the impact of adopting ASU 2025-11 on the Company’s consolidated financial statements and related disclosures.</w:t>
      </w:r>
    </w:p>
    <w:p>
      <w:pPr>
        <w:pStyle w:val="TextBody"/>
        <w:bidi w:val="0"/>
        <w:spacing w:before="200" w:after="283"/>
        <w:jc w:val="left"/>
        <w:rPr>
          <w:rFonts w:ascii="Times New Roman" w:hAnsi="Times New Roman"/>
          <w:b/>
          <w:color w:val="000000"/>
          <w:sz w:val="20"/>
        </w:rPr>
      </w:pPr>
      <w:bookmarkStart w:id="12" w:name="section13"/>
      <w:bookmarkEnd w:id="12"/>
      <w:r>
        <w:rPr>
          <w:rFonts w:ascii="Times New Roman" w:hAnsi="Times New Roman"/>
          <w:b/>
          <w:color w:val="000000"/>
          <w:sz w:val="20"/>
        </w:rPr>
        <w:t>3. Fair Value Measurements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the principal or most advantageous market in an orderly transaction between market participants at the measurement date. ASC 820, Fair Value Measurement and Disclosures, establishes a hierarchy whereby inputs to valuation techniques used in measuring fair value are prioritized, or the fair value hierarchy. There are three levels to the fair value hierarchy based on reliability of inputs,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that reflect unadjusted quoted prices for identical assets or liabilities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in which little or no market data exists, therefore requiring the Company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money market funds are classified within Level 1 of the fair value hierarchy because they are valued using quoted market prices. The carrying values of cash, accounts receivable, prepaid expenses and other current assets, accounts payable, accrued expenses and other current liabilities as of June 30, 2026 and December 31, 2025 approximated their fair values due to the short-term nature of these items.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assets and liabilities that were measured at fair value on a recurring basis were as follows:</w:t>
      </w:r>
    </w:p>
    <w:tbl>
      <w:tblPr>
        <w:tblW w:w="9287" w:type="dxa"/>
        <w:jc w:val="left"/>
        <w:tblInd w:w="0" w:type="dxa"/>
        <w:tblLayout w:type="fixed"/>
        <w:tblCellMar>
          <w:top w:w="28" w:type="dxa"/>
          <w:left w:w="28" w:type="dxa"/>
          <w:bottom w:w="28" w:type="dxa"/>
          <w:right w:w="28" w:type="dxa"/>
        </w:tblCellMar>
      </w:tblPr>
      <w:tblGrid>
        <w:gridCol w:w="4581"/>
        <w:gridCol w:w="146"/>
        <w:gridCol w:w="211"/>
        <w:gridCol w:w="676"/>
        <w:gridCol w:w="146"/>
        <w:gridCol w:w="146"/>
        <w:gridCol w:w="211"/>
        <w:gridCol w:w="421"/>
        <w:gridCol w:w="146"/>
        <w:gridCol w:w="146"/>
        <w:gridCol w:w="211"/>
        <w:gridCol w:w="676"/>
        <w:gridCol w:w="146"/>
        <w:gridCol w:w="146"/>
        <w:gridCol w:w="211"/>
        <w:gridCol w:w="676"/>
        <w:gridCol w:w="39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Purchase Agreement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2024 RDO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November 2024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2025 RDO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conversion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JDRF Agreement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4581"/>
        <w:gridCol w:w="146"/>
        <w:gridCol w:w="211"/>
        <w:gridCol w:w="676"/>
        <w:gridCol w:w="146"/>
        <w:gridCol w:w="146"/>
        <w:gridCol w:w="211"/>
        <w:gridCol w:w="421"/>
        <w:gridCol w:w="146"/>
        <w:gridCol w:w="146"/>
        <w:gridCol w:w="211"/>
        <w:gridCol w:w="676"/>
        <w:gridCol w:w="146"/>
        <w:gridCol w:w="146"/>
        <w:gridCol w:w="211"/>
        <w:gridCol w:w="676"/>
        <w:gridCol w:w="39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Purchase Agreement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2024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November 2024 RDO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2025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conversion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JDRF Agreement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fair value of the Contingent Earnout Liability (as defined in Note 7), liabilities associated with the Registered Direct Offering Warrants (as defined in Note 7), the derivative liability associated with the JDRF Agreement Disposition Payment (as defined in Note 10), Loan Agreement Warrants liability (as defined in Note 7), and Loan Agreement conversion derivative liability (as defined in Note 7) are based on significant unobservable inputs, which represent Level 3 measurements within the fair value hierarchy. The fair values of the Private Placement Warrants liability (as defined in Note 7), Loan Agreement Warrants liability (as defined in Note 7) and the liabilities associated with the Registered Direct Offering Warrants (as defined in Note 7) are included in common stock warrant liabilities on the condensed consolidated balance sheets. The fair values of the Loan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Agreement conversion derivative liability and the derivative liability associated with the JDRF Agreement Disposition Payment are included in other long-term liabilities on the condensed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Common Stock Purchase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evaluated the Common Stock Purchase Agreement and determined that the agreement should be accounted for in accordance with ASC 815-40, “Derivatives and Hedging—Contracts on an Entity’s Own Equity.”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condensed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within Change in fair value of derivatives in the condensed consolidated statements of operations and comprehensive (loss) income. There was no change in fair value of the derivative asset between December 31, 2025 and June 30, 2026, and the fair value of the Commitment Shares (as defined in Note 7) as of both June 30, 2026 and December 31, 2025 was $0.7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Earnout Liability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Contingent Earnout Liability:</w:t>
      </w:r>
    </w:p>
    <w:tbl>
      <w:tblPr>
        <w:tblW w:w="10205" w:type="dxa"/>
        <w:jc w:val="left"/>
        <w:tblInd w:w="0" w:type="dxa"/>
        <w:tblLayout w:type="fixed"/>
        <w:tblCellMar>
          <w:top w:w="28" w:type="dxa"/>
          <w:left w:w="28" w:type="dxa"/>
          <w:bottom w:w="28" w:type="dxa"/>
          <w:right w:w="28" w:type="dxa"/>
        </w:tblCellMar>
      </w:tblPr>
      <w:tblGrid>
        <w:gridCol w:w="4880"/>
        <w:gridCol w:w="146"/>
        <w:gridCol w:w="225"/>
        <w:gridCol w:w="675"/>
        <w:gridCol w:w="177"/>
        <w:gridCol w:w="156"/>
        <w:gridCol w:w="225"/>
        <w:gridCol w:w="788"/>
        <w:gridCol w:w="166"/>
        <w:gridCol w:w="146"/>
        <w:gridCol w:w="211"/>
        <w:gridCol w:w="736"/>
        <w:gridCol w:w="166"/>
        <w:gridCol w:w="146"/>
        <w:gridCol w:w="211"/>
        <w:gridCol w:w="736"/>
        <w:gridCol w:w="415"/>
      </w:tblGrid>
      <w:tr>
        <w:trPr/>
        <w:tc>
          <w:tcPr>
            <w:tcW w:w="4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Earnout Liability</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(26,700</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expected volatility and expected term, as well as certain data inputs, including the Company’s common stock price, risk-free interest rate, and expected dividend yield (see Note 7). Contingent earnout payments involve certain assumptions requiring significant judgment and actual results can differ from assumed and estimated amounts.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Derivative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debt pursuant to the Purchase Agreement, as defined in Note 5, contained an embedded derivative related to the Put Option, as defined in Note 5,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December 2025, the Purchase Agreement, including the embedded Put Option, was terminated in connection with the extinguishment of the Purchase Agreement (as defined in Note 5), and the Contingent derivative liability was derecognized. Prior to termination, the Contingent derivative liability was measured at fair value, with changes in fair value recognized in other income (expense) in the condensed consolidated statements of operations and comprehensive (loss) income and classified within Change in fair value of derivatives.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2025, the discount rates used to calculate the value of the contingent derivative liability were 12.4% to calculate the present-value of the revenue forecast and 12.4% to calculate the present-value of the payoff of the Put Option.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Contingent derivative liability:</w:t>
      </w:r>
    </w:p>
    <w:tbl>
      <w:tblPr>
        <w:tblW w:w="10205" w:type="dxa"/>
        <w:jc w:val="left"/>
        <w:tblInd w:w="0" w:type="dxa"/>
        <w:tblLayout w:type="fixed"/>
        <w:tblCellMar>
          <w:top w:w="28" w:type="dxa"/>
          <w:left w:w="28" w:type="dxa"/>
          <w:bottom w:w="28" w:type="dxa"/>
          <w:right w:w="28" w:type="dxa"/>
        </w:tblCellMar>
      </w:tblPr>
      <w:tblGrid>
        <w:gridCol w:w="4635"/>
        <w:gridCol w:w="146"/>
        <w:gridCol w:w="603"/>
        <w:gridCol w:w="1804"/>
        <w:gridCol w:w="193"/>
        <w:gridCol w:w="169"/>
        <w:gridCol w:w="561"/>
        <w:gridCol w:w="1679"/>
        <w:gridCol w:w="415"/>
      </w:tblGrid>
      <w:tr>
        <w:trPr/>
        <w:tc>
          <w:tcPr>
            <w:tcW w:w="4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Derivative Liability</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Registered Direct Offering Warrants Liabilities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determining the fair values of the Registered Direct Offering Warrants liabilities, the Company used the Black-Scholes valuation model to estimate fair value utilizing significant assumptions for expected volatility and expected term and data inputs including the current Common Stock price, risk-free rate, and expected dividend yield (see Note 7).</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following tables present a summary of the changes in the fair value of the Registered Direct Offering Warrants liabilities:</w:t>
      </w:r>
    </w:p>
    <w:tbl>
      <w:tblPr>
        <w:tblW w:w="10205" w:type="dxa"/>
        <w:jc w:val="left"/>
        <w:tblInd w:w="0" w:type="dxa"/>
        <w:tblLayout w:type="fixed"/>
        <w:tblCellMar>
          <w:top w:w="28" w:type="dxa"/>
          <w:left w:w="28" w:type="dxa"/>
          <w:bottom w:w="28" w:type="dxa"/>
          <w:right w:w="28" w:type="dxa"/>
        </w:tblCellMar>
      </w:tblPr>
      <w:tblGrid>
        <w:gridCol w:w="2246"/>
        <w:gridCol w:w="146"/>
        <w:gridCol w:w="282"/>
        <w:gridCol w:w="645"/>
        <w:gridCol w:w="166"/>
        <w:gridCol w:w="146"/>
        <w:gridCol w:w="295"/>
        <w:gridCol w:w="672"/>
        <w:gridCol w:w="166"/>
        <w:gridCol w:w="146"/>
        <w:gridCol w:w="228"/>
        <w:gridCol w:w="797"/>
        <w:gridCol w:w="166"/>
        <w:gridCol w:w="146"/>
        <w:gridCol w:w="282"/>
        <w:gridCol w:w="645"/>
        <w:gridCol w:w="166"/>
        <w:gridCol w:w="146"/>
        <w:gridCol w:w="295"/>
        <w:gridCol w:w="672"/>
        <w:gridCol w:w="166"/>
        <w:gridCol w:w="146"/>
        <w:gridCol w:w="228"/>
        <w:gridCol w:w="797"/>
        <w:gridCol w:w="415"/>
      </w:tblGrid>
      <w:tr>
        <w:trPr/>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2025</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2025</w:t>
              <w:br/>
              <w:t>RDO Warrants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42"/>
        <w:gridCol w:w="146"/>
        <w:gridCol w:w="280"/>
        <w:gridCol w:w="838"/>
        <w:gridCol w:w="205"/>
        <w:gridCol w:w="180"/>
        <w:gridCol w:w="289"/>
        <w:gridCol w:w="854"/>
        <w:gridCol w:w="166"/>
        <w:gridCol w:w="146"/>
        <w:gridCol w:w="255"/>
        <w:gridCol w:w="893"/>
        <w:gridCol w:w="186"/>
        <w:gridCol w:w="164"/>
        <w:gridCol w:w="289"/>
        <w:gridCol w:w="854"/>
        <w:gridCol w:w="418"/>
      </w:tblGrid>
      <w:tr>
        <w:trPr/>
        <w:tc>
          <w:tcPr>
            <w:tcW w:w="4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Private Placement Warrants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Private Placement Warrants were valued using a Black-Scholes valuation model as of June 30, 2026 and December 31, 2025. For the comparable prior-year interim period, the Private Placement Warrants were valued using a Monte Carlo simulation model. In determining the fair value of the Private Placement Warrants liability, the Company utilized significant assumptions for expected volatility and expected term and data inputs including the current Common Stock price, risk-free rate, and expected dividend yield (see Note 7).</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Private Placement Warrants liability:</w:t>
      </w:r>
    </w:p>
    <w:tbl>
      <w:tblPr>
        <w:tblW w:w="10205" w:type="dxa"/>
        <w:jc w:val="left"/>
        <w:tblInd w:w="0" w:type="dxa"/>
        <w:tblLayout w:type="fixed"/>
        <w:tblCellMar>
          <w:top w:w="28" w:type="dxa"/>
          <w:left w:w="28" w:type="dxa"/>
          <w:bottom w:w="28" w:type="dxa"/>
          <w:right w:w="28" w:type="dxa"/>
        </w:tblCellMar>
      </w:tblPr>
      <w:tblGrid>
        <w:gridCol w:w="5054"/>
        <w:gridCol w:w="146"/>
        <w:gridCol w:w="305"/>
        <w:gridCol w:w="501"/>
        <w:gridCol w:w="211"/>
        <w:gridCol w:w="211"/>
        <w:gridCol w:w="305"/>
        <w:gridCol w:w="697"/>
        <w:gridCol w:w="166"/>
        <w:gridCol w:w="146"/>
        <w:gridCol w:w="271"/>
        <w:gridCol w:w="484"/>
        <w:gridCol w:w="213"/>
        <w:gridCol w:w="188"/>
        <w:gridCol w:w="271"/>
        <w:gridCol w:w="619"/>
        <w:gridCol w:w="417"/>
      </w:tblGrid>
      <w:tr>
        <w:trPr/>
        <w:tc>
          <w:tcPr>
            <w:tcW w:w="5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5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Warrants Liability</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determining the fair value of the Loan Agreement Warrants liability </w:t>
      </w:r>
      <w:r>
        <w:rPr>
          <w:rFonts w:ascii="Times New Roman" w:hAnsi="Times New Roman"/>
          <w:color w:val="000000"/>
          <w:sz w:val="20"/>
        </w:rPr>
        <w:t>(as defined in Note 7)</w:t>
      </w:r>
      <w:r>
        <w:rPr>
          <w:rFonts w:ascii="Times New Roman" w:hAnsi="Times New Roman"/>
          <w:color w:val="231F20"/>
          <w:sz w:val="20"/>
        </w:rPr>
        <w:t>, the Company used the Black-Scholes valuation model to estimate fair value utilizing significant assumptions for expected volatility and expected term and data inputs including the current Common Stock price, risk-free rate, and expected dividend yield (see Note 7).</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Loan Agreement Warrants liability:</w:t>
      </w:r>
    </w:p>
    <w:tbl>
      <w:tblPr>
        <w:tblW w:w="10205" w:type="dxa"/>
        <w:jc w:val="left"/>
        <w:tblInd w:w="0" w:type="dxa"/>
        <w:tblLayout w:type="fixed"/>
        <w:tblCellMar>
          <w:top w:w="28" w:type="dxa"/>
          <w:left w:w="28" w:type="dxa"/>
          <w:bottom w:w="28" w:type="dxa"/>
          <w:right w:w="28" w:type="dxa"/>
        </w:tblCellMar>
      </w:tblPr>
      <w:tblGrid>
        <w:gridCol w:w="4657"/>
        <w:gridCol w:w="146"/>
        <w:gridCol w:w="604"/>
        <w:gridCol w:w="1813"/>
        <w:gridCol w:w="171"/>
        <w:gridCol w:w="150"/>
        <w:gridCol w:w="562"/>
        <w:gridCol w:w="1688"/>
        <w:gridCol w:w="414"/>
      </w:tblGrid>
      <w:tr>
        <w:trPr/>
        <w:tc>
          <w:tcPr>
            <w:tcW w:w="4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 Agreement Warrants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Conversion Derivative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determining the fair value of the Loan Agreement conversion derivative liability (as defined in Note 7), the Company used the Black-Scholes valuation model to estimate fair value utilizing significant assumptions for expected volatility and expected term and data inputs including the current Common Stock price, risk-free rate, and expected dividend yield (see Note 7).</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Loan Agreement conversion derivative liability:</w:t>
      </w:r>
    </w:p>
    <w:tbl>
      <w:tblPr>
        <w:tblW w:w="10205" w:type="dxa"/>
        <w:jc w:val="left"/>
        <w:tblInd w:w="0" w:type="dxa"/>
        <w:tblLayout w:type="fixed"/>
        <w:tblCellMar>
          <w:top w:w="28" w:type="dxa"/>
          <w:left w:w="28" w:type="dxa"/>
          <w:bottom w:w="28" w:type="dxa"/>
          <w:right w:w="28" w:type="dxa"/>
        </w:tblCellMar>
      </w:tblPr>
      <w:tblGrid>
        <w:gridCol w:w="4545"/>
        <w:gridCol w:w="146"/>
        <w:gridCol w:w="593"/>
        <w:gridCol w:w="1775"/>
        <w:gridCol w:w="281"/>
        <w:gridCol w:w="247"/>
        <w:gridCol w:w="552"/>
        <w:gridCol w:w="1653"/>
        <w:gridCol w:w="413"/>
      </w:tblGrid>
      <w:tr>
        <w:trPr/>
        <w:tc>
          <w:tcPr>
            <w:tcW w:w="4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 Agreement Conversion Derivative Liability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3" w:name="section14"/>
      <w:bookmarkEnd w:id="13"/>
      <w:r>
        <w:rPr>
          <w:rFonts w:ascii="Times New Roman" w:hAnsi="Times New Roman"/>
          <w:b/>
          <w:color w:val="000000"/>
          <w:sz w:val="20"/>
        </w:rPr>
        <w:t>4. Inventory</w:t>
      </w:r>
    </w:p>
    <w:p>
      <w:pPr>
        <w:pStyle w:val="TextBody"/>
        <w:bidi w:val="0"/>
        <w:spacing w:before="200" w:after="283"/>
        <w:jc w:val="left"/>
        <w:rPr>
          <w:rFonts w:ascii="Times New Roman" w:hAnsi="Times New Roman"/>
          <w:sz w:val="20"/>
        </w:rPr>
      </w:pPr>
      <w:r>
        <w:rPr>
          <w:rFonts w:ascii="Times New Roman" w:hAnsi="Times New Roman"/>
          <w:color w:val="000000"/>
          <w:sz w:val="20"/>
        </w:rPr>
        <w:t>As of June 30, 2026, the Company capitalized costs of $18.2 million associated with the manufacturing of Symvess as a res</w:t>
      </w:r>
      <w:r>
        <w:rPr>
          <w:rFonts w:ascii="Times New Roman" w:hAnsi="Times New Roman"/>
          <w:color w:val="231F20"/>
          <w:sz w:val="20"/>
        </w:rPr>
        <w:t>ult of regulatory approval and the Company’s determination that subsequent commercialization and future economic benefit from the sales of Symvess was probable.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During the three and six months ended June 30, 2026, the Company recorded $0.7 million and $2.3 million of inventory reserve expense in cost of goods sold to reduce certain inventory to its estimated net realizable value. The reserve reflects management’s assessment of forecasted demand, expected product shelf life, and other commercialization-related factors associated with the commercial launch of Symvess.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Inventory is stated at the lower of cost or net realizable value and consisted of the following:</w:t>
      </w:r>
    </w:p>
    <w:tbl>
      <w:tblPr>
        <w:tblW w:w="4707" w:type="dxa"/>
        <w:jc w:val="left"/>
        <w:tblInd w:w="0" w:type="dxa"/>
        <w:tblLayout w:type="fixed"/>
        <w:tblCellMar>
          <w:top w:w="28" w:type="dxa"/>
          <w:left w:w="28" w:type="dxa"/>
          <w:bottom w:w="28" w:type="dxa"/>
          <w:right w:w="28" w:type="dxa"/>
        </w:tblCellMar>
      </w:tblPr>
      <w:tblGrid>
        <w:gridCol w:w="1996"/>
        <w:gridCol w:w="146"/>
        <w:gridCol w:w="211"/>
        <w:gridCol w:w="736"/>
        <w:gridCol w:w="166"/>
        <w:gridCol w:w="146"/>
        <w:gridCol w:w="260"/>
        <w:gridCol w:w="835"/>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4" w:name="section17"/>
      <w:bookmarkEnd w:id="14"/>
      <w:r>
        <w:rPr>
          <w:rFonts w:ascii="Times New Roman" w:hAnsi="Times New Roman"/>
          <w:b/>
          <w:color w:val="000000"/>
          <w:sz w:val="20"/>
        </w:rPr>
        <w:t>5. Revenue Interest Purchase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Interest Purchase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12, 2023, Humacyte, Inc. and Global entered into a Revenue Interest Purchase Agreement (the “Purchase Agreement”) with two purchasers, both affiliates of Oberland Capital Management LLC (the “Purchasers”), and another affiliate of Oberland Capital Management LLC (“Oberland”), as agent for the Purchasers (the “Agent”), to obtain financing with respect to the further development and commercialization of the Company’s ATEV, to repay the Company’s then-existing credit facility with Silicon Valley Bank (“SVB”), and for other general corporate purposes. Pursuant to the Purchase Agreement, the Purchasers purchased certain revenue interests (the “Revenue Interests”) from Global in exchange for an aggregate investment amount of up to $150.0 million to be paid in multiple tranches. The Company received an initial payment of $40.0 million at inception, less certain transaction expenses, which was used to repay in full the Company’s then-existing obligations under the former loan agreement with SVB. In March 2024, the Company drew a subsequent installment of $20.0 million, and elected not to draw the additional $40.0 million that later became available under the Purchase Agreement. On September 17, 2025, the Company and Humacyte Global, Inc. entered into an amendment to the Purchase Agreement, which modified certain terms of the agreement and the Company made a partial call payment of $50.0 million to the Purchasers.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Purchase Agreement, the Revenue Interests entitled the Purchasers to receive a royalty initially equal to 7.5% of global net sales of the Company’s products (subject to a lower rate for net sales by specified licensees outside the United States), payable quarterly (the “Revenue Interest Payments”). The Company guaranteed the payment in full of the obligations under the Purchase Agreement. The Company’s obligations under the parent company guaranty and Global’s obligations under the Purchase Agreement and the Revenue Interests were secured by a perfected security interest on substantially all of the Company’s and its subsidiaries’ assets.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Purchase Agreement was considered a sale of future revenues and was accounted for as long-term debt recorded at amortized cost. The Company initially recorded a revenue interest liability net of a debt discount comprised of $2.1 million of issuance and transaction costs, $0.1 million allocated to the option agreement liability discussed below, and $2.4 million related to the embedded derivative discussed below. The Company recognized interest expense associated with this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recorded $2.2 million and $4.3 million in interest expense related to the Purchase Agreement for the three and six months ended June 30, 2025, respectively. Revenue Interest Payments made as a result of the Company’s net product sales reduced the revenue interest liability. Revenue Interest Payments for the three and six months ended June 30, 2025 were immaterial.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December 15, 2025, the Company entered into a payoff letter with the Purchasers and the Agent pursuant to which the Purchase Agreement and the Option Agreement were terminated in their entirety. As consideration for the termination of these agreements and the satisfaction of all obligations thereunder, the Company paid $38.0 million in cash and issued 5,725,190 shares of the Company’s Common Stock. The shares were measured at their fair value of $7.5 million based on the closing market price of Common Stock on the settlement date. The cash payment was funded with proceeds from a senior secured term loan facility with Avenue Venture Opportunities Fund II, L.P. (see Note 6, Debt). The extinguishment was accounted for as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debt extinguishment under ASC 470-50. Upon termination, all liens and security interests previously granted to the Purchasers and the Agent were released and the Company was relieved of any further obligations to the Purchasers. </w:t>
      </w:r>
    </w:p>
    <w:p>
      <w:pPr>
        <w:pStyle w:val="TextBody"/>
        <w:bidi w:val="0"/>
        <w:spacing w:before="200" w:after="160"/>
        <w:jc w:val="left"/>
        <w:rPr>
          <w:rFonts w:ascii="Times New Roman" w:hAnsi="Times New Roman"/>
          <w:sz w:val="20"/>
        </w:rPr>
      </w:pPr>
      <w:r>
        <w:rPr>
          <w:rFonts w:ascii="Times New Roman" w:hAnsi="Times New Roman"/>
          <w:b/>
          <w:color w:val="000000"/>
          <w:sz w:val="20"/>
        </w:rPr>
        <w:t>Embedded Derivative Liability</w:t>
      </w:r>
      <w:r>
        <w:rPr>
          <w:rFonts w:ascii="Times New Roman" w:hAnsi="Times New Roman"/>
          <w:color w:val="000000"/>
          <w:sz w:val="20"/>
        </w:rPr>
        <w:t xml:space="preserv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put option under the Purchase Agreement, exercisable by the Purchasers upon certain contingent events (the “Put Option”), was determined to be an embedded derivative requiring bifurcation and separately accounted for as a single compound derivative instrument, or the Contingent derivative liability. At May 12, 2023, the Company recorded the initial fair value of the Contingent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was amortized to interest expense. In connection with the termination of the Purchase Agreement in December 2025, the embedded derivative was extinguished and derecognized.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Option Agreement</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shares of Common Stock in the Company’s public underwritten offering that closed on March 5, 2024. The Option granted to the Holders represented a freestanding instrument separate from the Purchasers’ commitments outlined in the Purchase Agreement. The Option Agreement did not qualify for the equity contract scope exception under ASC 815-40 and the Company recorded the Option as a liability (“Option Agreement liability”) on the condensed consolidated balance sheets at an initial fair value of $55 thousand, and subsequent changes in the fair value were recognized in the condensed consolidated statements of operations and comprehensive (loss) income at each reporting date. In connection with the termination of the Purchase Agreement in December 2025, the Option Agreement was terminated and no right to purchase Common Stock remains outstanding.</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6.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15, 2025, the Company entered into a Loan and Security Agreement (the “Loan Agreement”) with Avenue Venture Opportunities Fund II, L.P. and its affiliates (the “Lenders”), as administrative agent and collateral agent, providing for a senior secured term loan facility (the “Term Loan Facility”) of up to $77.5 million in the aggregate that matures on December 1, 2029. At closing, the Company drew $40.0 million under the first tranche of the Term Loan Facility, the proceeds of which were used primarily to repay the outstanding liabilities under the Purchase Agreement, as discussed in Note 5. Additional tranches of up to $12.5 million and $25.0 million may be made available in the future, at the discretion of the Lenders, upon the satisfaction of specified revenue, regulatory approval, and liquidity conditions. The Company is not obligated to draw any additional amounts.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Borrowings under the Term Loan Facility bear interest at a rate equal to the greater of 11.50% or the Wall Street Journal Prime Rate plus 4.50%. Interest-only payments are due monthly beginning in January 2026. As of December 31, 2025, the carrying value of the Term Loan Facility approximated its fair value. The Company entered into the Term Loan Facility in mid-December 2025, and its stated interest rate of 11.50% was consistent with market terms for similar debt instruments as of year end.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not required to make principal payments until December 1, 2027, or December 1, 2028 if the second tranche is funded. Beginning on that date, principal will be repaid in equal monthly installments through the maturity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Loan Facility includes a contractual final payment fee of $2.4 million due at maturity, which is recognized as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 interest cost and is accreted to the Term Loan balance using the effective interest method over the contractual term of the Term Loan. Accretion of the final payment fee, together with amortization of debt discounts and debt issuance costs, is included in 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Loan Facility is secured by substantially all of the assets of the Company and certain of its subsidiaries and is subject to customary affirmative and negative covenants.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entry into the Term Loan Facility, the Company issued the Lenders warrants to purchase up to $5.0 million in Common Stock. In addition, the Lenders have the right, subject to certain conditions, to convert up to $2.5 million of outstanding principal into shares of Common Stock. See Note 7 for further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Term Loan Facility is classified as long-term debt on the condensed consolidated balance sheets and is recorded at amortized cost, net of unamortized debt discounts and issuance costs. The debt discounts were recorded upon issuance as a result of the initial recognition of (i) Lender warrants classified as a liability and (ii) a bifurcated conversion feature classified as a derivative liability, each discussed in Note 7.</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Debt issuance costs and debt discounts are amortized to interest expense over the contractual term of the Term Loan Facility using the effective interest method. Changes in the fair value of the Lender warrants and the derivative liability are recognized in earnings in accordance with the accounting described in Note 7 and are not components of interest expense.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carrying amount of the Term Loan Facility was as follows:</w:t>
      </w:r>
    </w:p>
    <w:tbl>
      <w:tblPr>
        <w:tblW w:w="9283" w:type="dxa"/>
        <w:jc w:val="left"/>
        <w:tblInd w:w="0" w:type="dxa"/>
        <w:tblLayout w:type="fixed"/>
        <w:tblCellMar>
          <w:top w:w="28" w:type="dxa"/>
          <w:left w:w="28" w:type="dxa"/>
          <w:bottom w:w="28" w:type="dxa"/>
          <w:right w:w="28" w:type="dxa"/>
        </w:tblCellMar>
      </w:tblPr>
      <w:tblGrid>
        <w:gridCol w:w="3196"/>
        <w:gridCol w:w="146"/>
        <w:gridCol w:w="211"/>
        <w:gridCol w:w="676"/>
        <w:gridCol w:w="146"/>
        <w:gridCol w:w="146"/>
        <w:gridCol w:w="364"/>
        <w:gridCol w:w="1166"/>
        <w:gridCol w:w="166"/>
        <w:gridCol w:w="146"/>
        <w:gridCol w:w="211"/>
        <w:gridCol w:w="676"/>
        <w:gridCol w:w="146"/>
        <w:gridCol w:w="146"/>
        <w:gridCol w:w="364"/>
        <w:gridCol w:w="116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 Amount</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 Amount</w:t>
            </w:r>
            <w:r>
              <w:rPr>
                <w:rFonts w:ascii="Times New Roman" w:hAnsi="Times New Roman"/>
                <w:b/>
                <w:color w:val="000000"/>
                <w:sz w:val="11"/>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 Loan Facility due 2029</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Principal payable in 24 consecutive</w:t>
      </w:r>
      <w:r>
        <w:rPr>
          <w:rFonts w:ascii="Times New Roman" w:hAnsi="Times New Roman"/>
          <w:color w:val="000000"/>
          <w:sz w:val="20"/>
        </w:rPr>
        <w:t xml:space="preserve"> </w:t>
      </w:r>
      <w:r>
        <w:rPr>
          <w:rFonts w:ascii="Times New Roman" w:hAnsi="Times New Roman"/>
          <w:color w:val="000000"/>
          <w:sz w:val="18"/>
        </w:rPr>
        <w:t>monthly installments</w:t>
      </w:r>
      <w:r>
        <w:rPr>
          <w:rFonts w:ascii="Times New Roman" w:hAnsi="Times New Roman"/>
          <w:color w:val="000000"/>
          <w:sz w:val="20"/>
        </w:rPr>
        <w:t xml:space="preserve"> </w:t>
      </w:r>
      <w:r>
        <w:rPr>
          <w:rFonts w:ascii="Times New Roman" w:hAnsi="Times New Roman"/>
          <w:color w:val="000000"/>
          <w:sz w:val="18"/>
        </w:rPr>
        <w:t>of $1.7</w:t>
      </w:r>
      <w:r>
        <w:rPr>
          <w:rFonts w:ascii="Times New Roman" w:hAnsi="Times New Roman"/>
          <w:color w:val="000000"/>
          <w:sz w:val="20"/>
        </w:rPr>
        <w:t xml:space="preserve"> </w:t>
      </w:r>
      <w:r>
        <w:rPr>
          <w:rFonts w:ascii="Times New Roman" w:hAnsi="Times New Roman"/>
          <w:color w:val="000000"/>
          <w:sz w:val="18"/>
        </w:rPr>
        <w:t>million beginning December 1, 2027, or December 1, 2028 if the second tranche is funded, with the final payment fee of $2.4</w:t>
      </w:r>
      <w:r>
        <w:rPr>
          <w:rFonts w:ascii="Times New Roman" w:hAnsi="Times New Roman"/>
          <w:color w:val="000000"/>
          <w:sz w:val="20"/>
        </w:rPr>
        <w:t xml:space="preserve"> </w:t>
      </w:r>
      <w:r>
        <w:rPr>
          <w:rFonts w:ascii="Times New Roman" w:hAnsi="Times New Roman"/>
          <w:color w:val="000000"/>
          <w:sz w:val="18"/>
        </w:rPr>
        <w:t>million due at maturity.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2"/>
        </w:rPr>
        <w:t>(b)</w:t>
      </w:r>
      <w:r>
        <w:rPr>
          <w:rFonts w:ascii="Times New Roman" w:hAnsi="Times New Roman"/>
          <w:color w:val="000000"/>
          <w:sz w:val="20"/>
        </w:rPr>
        <w:t xml:space="preserve"> </w:t>
      </w:r>
      <w:r>
        <w:rPr>
          <w:rFonts w:ascii="Times New Roman" w:hAnsi="Times New Roman"/>
          <w:color w:val="000000"/>
          <w:sz w:val="18"/>
        </w:rPr>
        <w:t>Interest payable monthly beginning on January 1, 2026 under the Term Loan Facility.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of June 30, 2026, the contractual maturities of long-term debt were as follows:</w:t>
      </w:r>
    </w:p>
    <w:tbl>
      <w:tblPr>
        <w:tblW w:w="2485" w:type="dxa"/>
        <w:jc w:val="left"/>
        <w:tblInd w:w="0" w:type="dxa"/>
        <w:tblLayout w:type="fixed"/>
        <w:tblCellMar>
          <w:top w:w="28" w:type="dxa"/>
          <w:left w:w="28" w:type="dxa"/>
          <w:bottom w:w="28" w:type="dxa"/>
          <w:right w:w="28" w:type="dxa"/>
        </w:tblCellMar>
      </w:tblPr>
      <w:tblGrid>
        <w:gridCol w:w="1261"/>
        <w:gridCol w:w="146"/>
        <w:gridCol w:w="211"/>
        <w:gridCol w:w="676"/>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2029</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Includes a contractual final payment of $2.4</w:t>
      </w:r>
      <w:r>
        <w:rPr>
          <w:rFonts w:ascii="Times New Roman" w:hAnsi="Times New Roman"/>
          <w:color w:val="000000"/>
          <w:sz w:val="20"/>
        </w:rPr>
        <w:t xml:space="preserve"> </w:t>
      </w:r>
      <w:r>
        <w:rPr>
          <w:rFonts w:ascii="Times New Roman" w:hAnsi="Times New Roman"/>
          <w:color w:val="000000"/>
          <w:sz w:val="18"/>
        </w:rPr>
        <w:t>million due at maturity.</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15" w:name="section19"/>
      <w:bookmarkEnd w:id="15"/>
      <w:r>
        <w:rPr>
          <w:rFonts w:ascii="Times New Roman" w:hAnsi="Times New Roman"/>
          <w:b/>
          <w:color w:val="000000"/>
          <w:sz w:val="20"/>
        </w:rPr>
        <w:t>7. Stockholders’ Equity and Warrants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25, 2025, the Company entered into an underwriting agreement with TD Securities (USA) LLC, Barclays Capital Inc. and BTIG, LLC, as representatives of the several underwriters named therein, relating to the issuance and sale in an underwritten offering (the “2025 Public Offering”) of 25,000,000 shares of Common Stock, at a price to the public of $2.00 per share (the “2025 Firm Shares”). The Company also granted the underwriters a 30-day option to purchase up to an additional 3,750,000 shares of Common Stock at the same price as the 2025 Firm Shares, which the underwriters did not exercise. The net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proceeds to the Company from the 2025 Public Offering were approximately $46.7 million after deducting underwriting discounts and commissions and offering expenses. The 2025 Public Offering closed on March 27,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10, 2026, the Company entered into an underwriting agreement with Barclays Capital Inc., BTIG, LLC and Titan Partners Group LLC, a division of American Capital Partners, LLC, as representatives of the several underwriters named therein, relating to the 2026 Public Offering. In the 2026 Public Offering, the Company sold the 2026 Firm Shares, consisting of 47,619,048 shares of Common Stock, at a price to the public of $1.05 per share. The Company also granted the underwriters a 30-day option to purchase up to an additional 7,142,857 shares of Common Stock at the same price as the 2026 Firm Shares, which the underwriters exercised on June 15, 2026. The net proceeds to the Company from the 2026 Public Offering, including the sale of the 2026 Option Shares, were approximately $53.8 million after deducting underwriting discounts and commissions and offering expenses. The sale of the 2026 Firm Shares closed on June 12, 2026 and the sale of the 2026 Option Shares closed on June 16,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 Line Financing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other long-term assets on the condensed consolidated balance sheets. The Common Stock Purchase Agreement is subsequently remeasured at each reporting date with changes in fair value recorded within Change in fair value of derivatives in the condensed consolidated statements of operations and comprehensive (loss) income. Through June 30, 2026, the Company has sold 500,000 shares to Lincoln Park for aggregate gross proceeds of $2.5 million and as of June 30, 2026, the Company had $47.5 million in remaining availability for sales of Common Stock under the Common Stock Purchase Agreement. There were no purchases under the Common Stock Purchase Agreement during the three and six months ended June 30, 2026.</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Registered Direct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4, 2024, the Company entered into a securities purchase agreement with an institutional investor pursuant to which the investor purchased 5,681,820 shares of Common Stock and warrants to purchase up to 5,681,820 shares of Common Stock (the “October 2024 RDO Warrants”) in a registered direct offering (the “October 2024 Registered Direct Offering”).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13, 2024, the Company entered into a securities purchase agreement with an institutional investor pursuant to which the investor purchased 2,808,988 shares of Common Stock and warrants to purchase up to 2,808,988 shares of Common Stock (the “November 2024 RDO Warrants”) in a registered direct offering (the “November 2024 Registered Direct Offering”).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6, 2025, the Company entered into a securities purchase agreement with an institutional investor pursuant to which the investor purchased 28,436,018 shares of Common Stock and the October 2025 RDO Warrants to purchase up to 28,436,018 shares of Common Stock in the October 2025 Registered Direct Offering (the “October 2025 Registered Direct Offering”). The purchase price for one share of Common Stock and one October 2025 RDO Warrant was $2.11. The net proceeds to the Company from the October 2025 Registered Direct Offering were approximately $56.5 million after deducting placement agent’s fees and offering expenses of approximately $3.5 million. The October 2025 Registered Direct Offering closed on October 8, 2025.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2026, the Company entered into certain securities purchase agreements pursuant to which the Company agreed to issue and sell to certain investors in a registered direct offering 25,000,000 shares of Common Stock at a price of $0.80 per share (the “March 2026 Registered Direct Offering”). The net proceeds to the Company from the March 2026 Registered Direct Offering were approximately $18.3 million, after deducting the placement agent’s fees and offering expenses of approximately $0.4 million. The March 2026 Registered Direct Offering closed on March 20,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ATM Facilities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September 1, 2022, the Company entered into a sales agreement with Jefferies LLC, acting as sales agent (the “Jefferies ATM Sales Agreement”) for the sale from time to time of up to $80.0 million of shares of Common Stock (the “Jefferies ATM Facility”). During the six months ended June 30, 2025, the Company sold an aggregate of 1,299,870 shares of Common Stock under the ATM Facility at an average price of $2.86 per share for net proceeds of approximately $3.6 million after deducting sales commissions of approximately $0.1 million.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November 21, 2025, the Company delivered a notice to Jefferies LLC terminating the Jefferies ATM Sales Agreement, which termination became effective 10 days thereafter.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On December 16, 2025, the Company entered into a sales agreement with TD Securities (USA) LLC (“TD Cowen”), acting as sales agent, or the TD Cowen ATM Facility, pursuant to which the Company may sell shares of Common Stock from time to time up to an aggregate offering price of $60.0 million. During the </w:t>
      </w:r>
      <w:r>
        <w:rPr>
          <w:rFonts w:ascii="Times New Roman" w:hAnsi="Times New Roman"/>
          <w:color w:val="000000"/>
          <w:sz w:val="20"/>
        </w:rPr>
        <w:t xml:space="preserve">six months ended June 30, 2026, </w:t>
      </w:r>
      <w:r>
        <w:rPr>
          <w:rFonts w:ascii="Times New Roman" w:hAnsi="Times New Roman"/>
          <w:color w:val="231F20"/>
          <w:sz w:val="20"/>
        </w:rPr>
        <w:t xml:space="preserve">the Company sold an aggregate of 4,018,497 shares of Common Stock under the TD Cowen ATM Facility at an average price of $1.16 per share for net proceeds of approximately $4.6 million. All such sales occurred during the first quarter of 2026.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March 19, 2026, the Company delivered written notice to TD Cowen, that it was suspending and terminating the prospectus, dated December 16, 2025 (the “ATM Prospectus”), relating to the sale of up to $60 million of Common Stock, that may be issued and sold pursuant to the Sales Agreement, dated as of December 16, 2025, by and between the Company and TD Cowen (the “Sales Agreement”). The Company will not make any further sales of its Common Stock pursuant to the Sales Agreement unless and until a new prospectus, prospectus supplement or registration statement is filed. Other than the suspension and termination of the ATM Prospectus, the Sales Agreement remains in full force and effect.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2026, the Company amended its Second Amended and Restated Certificate of Incorporation to increase the authorized number of shares of Common Stock from 350,000,000 to 550,000,000.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holders of Common Stock are entitled to receive dividends from time to time as may be declared by the Company’s board of directors. Through June 30, 2026, no dividends have been declared. The Loan Agreement limits the Company’s ability to pay cash dividends to the holders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holders of Common Stock are entitled to one vote for each share held with respect to all matters voted on by the common stockholders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event of a reorganization of the Company, after payment to any preferred stockholders of their liquidation preferences, holders of Common Stock are entitled to share ratably in all remaining assets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Company issued 5,725,190 shares of Common Stock to affiliates of Oberland Capital Management LLC as partial consideration for the termination and extinguishment of the Purchase Agreement, as defined in Note 5. The shares were issued together with cash consideration and the payment of certain legal fees and satisfied all amounts owing under the Purchase Agreement, including the termination of the related Option Agreement. The shares were issued directly to the Purchase Agreement counterparties without a placement agent or underwriter, and the Company did not receive any cash proceeds from the issuance of Common Stock. The accounting for the Purchase Agreement extinguishment is described in Note 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19, 2026, the Company entered into certain securities purchase agreements pursuant to which the Company agreed to issue and sell to certain investors in the March 2026 Registered Direct Offering 25,000,000 shares of Common Stock at a price of $0.80 per share. The net proceeds to the Company from the March 2026 Registered Direct Offering were approximately $18.3 million, after deducting the placement agent’s fees and offering expenses of approximately $0.4 million. The March 2026 Registered Direct Offering closed on March 20,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10, 2026, the Company entered into an underwriting agreement with Barclays Capital Inc., BTIG, LLC and Titan Partners Group LLC, a division of American Capital Partners, LLC, as representatives of the several underwriters named therein, relating to the 2026 Public Offering. In the 2026 Public Offering, the Company sold the 2026 Firm Shares, consisting of 47,619,048 shares of Common Stock, at a price to the public of $1.05 per share. The Company also granted the underwriters a 30-day option to purchase up to an additional 7,142,857 shares of Common Stock at the same price as the 2026 Firm Shares, which the underwriters exercised on June 15, 2026. The net proceeds to the Company from the 2026 Public Offering, including the sale of the 2026 Option Shares, were approximately $53.8 million after deducting underwriting discounts and commissions and offering expenses. The sale of the 2026 Firm Shares closed on June 12, 2026 and the sale of the 2026 Option Shares closed on June 16,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senior secured Term Loan Facility includes an equity-settled conversion feature that permits the Lenders, at their option, to convert up to $2.5 million of outstanding principal into shares of Common Stock (the “Conversion Shares”) at a conversion price per share (the “Conversion Price”) equal to 130% of the Warrant Price (as defined below). As a result of the March 2026 Registered Direct Offering, which had a Common Stock offering price of $0.80 per share, the Warrant Price was reset to $0.80 per share; accordingly, the Conversion Price is $1.04 per share. No shares had been issued pursuant to this conversion feature as of June 30, 2026. See Note 6 for additional information.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had reserved Common Stock for future issuances as follows:</w:t>
      </w:r>
    </w:p>
    <w:tbl>
      <w:tblPr>
        <w:tblW w:w="9474" w:type="dxa"/>
        <w:jc w:val="left"/>
        <w:tblInd w:w="0" w:type="dxa"/>
        <w:tblLayout w:type="fixed"/>
        <w:tblCellMar>
          <w:top w:w="28" w:type="dxa"/>
          <w:left w:w="28" w:type="dxa"/>
          <w:bottom w:w="28" w:type="dxa"/>
          <w:right w:w="28" w:type="dxa"/>
        </w:tblCellMar>
      </w:tblPr>
      <w:tblGrid>
        <w:gridCol w:w="6271"/>
        <w:gridCol w:w="146"/>
        <w:gridCol w:w="146"/>
        <w:gridCol w:w="1141"/>
        <w:gridCol w:w="146"/>
        <w:gridCol w:w="146"/>
        <w:gridCol w:w="146"/>
        <w:gridCol w:w="1141"/>
        <w:gridCol w:w="19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Contingent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the Common Stock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Stock reserved for TD Cowen ATM Facility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stock reserved for Conversion Shares under the Loan Agreement</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outstanding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outstanding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issuance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44,806,803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42,569,928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101,765,158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149,941,529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12"/>
        </w:rPr>
        <w:t>(a)</w:t>
      </w:r>
      <w:r>
        <w:rPr>
          <w:rFonts w:ascii="Times New Roman" w:hAnsi="Times New Roman"/>
          <w:color w:val="231F20"/>
          <w:sz w:val="20"/>
        </w:rPr>
        <w:t xml:space="preserve"> </w:t>
      </w:r>
      <w:r>
        <w:rPr>
          <w:rFonts w:ascii="Times New Roman" w:hAnsi="Times New Roman"/>
          <w:color w:val="231F20"/>
          <w:sz w:val="18"/>
        </w:rPr>
        <w:t>On March 19, 2026, the Company delivered written notice to TD Cowen, that it was suspending and terminating the ATM Prospectus, relating to the sale of up to $60</w:t>
      </w:r>
      <w:r>
        <w:rPr>
          <w:rFonts w:ascii="Times New Roman" w:hAnsi="Times New Roman"/>
          <w:color w:val="231F20"/>
          <w:sz w:val="20"/>
        </w:rPr>
        <w:t xml:space="preserve"> </w:t>
      </w:r>
      <w:r>
        <w:rPr>
          <w:rFonts w:ascii="Times New Roman" w:hAnsi="Times New Roman"/>
          <w:color w:val="231F20"/>
          <w:sz w:val="18"/>
        </w:rPr>
        <w:t>million of Common Stock, that may be issued and sold pursuant to the Sales Agreement.</w:t>
      </w:r>
    </w:p>
    <w:p>
      <w:pPr>
        <w:pStyle w:val="TextBody"/>
        <w:bidi w:val="0"/>
        <w:spacing w:before="40" w:after="283"/>
        <w:jc w:val="left"/>
        <w:rPr>
          <w:rFonts w:ascii="Times New Roman" w:hAnsi="Times New Roman"/>
          <w:sz w:val="20"/>
        </w:rPr>
      </w:pPr>
      <w:r>
        <w:rPr>
          <w:rFonts w:ascii="Times New Roman" w:hAnsi="Times New Roman"/>
          <w:color w:val="231F20"/>
          <w:sz w:val="12"/>
        </w:rPr>
        <w:t>(b)</w:t>
      </w:r>
      <w:r>
        <w:rPr>
          <w:rFonts w:ascii="Times New Roman" w:hAnsi="Times New Roman"/>
          <w:color w:val="231F20"/>
          <w:sz w:val="20"/>
        </w:rPr>
        <w:t xml:space="preserve"> </w:t>
      </w:r>
      <w:r>
        <w:rPr>
          <w:rFonts w:ascii="Times New Roman" w:hAnsi="Times New Roman"/>
          <w:color w:val="231F20"/>
          <w:sz w:val="18"/>
        </w:rPr>
        <w:t>As of June 30, 2026, Conversion Shares issuable are calculated as $2.5</w:t>
      </w:r>
      <w:r>
        <w:rPr>
          <w:rFonts w:ascii="Times New Roman" w:hAnsi="Times New Roman"/>
          <w:color w:val="231F20"/>
          <w:sz w:val="20"/>
        </w:rPr>
        <w:t xml:space="preserve"> </w:t>
      </w:r>
      <w:r>
        <w:rPr>
          <w:rFonts w:ascii="Times New Roman" w:hAnsi="Times New Roman"/>
          <w:color w:val="231F20"/>
          <w:sz w:val="18"/>
        </w:rPr>
        <w:t>million divided by the Conversion Price of $1.04</w:t>
      </w:r>
      <w:r>
        <w:rPr>
          <w:rFonts w:ascii="Times New Roman" w:hAnsi="Times New Roman"/>
          <w:color w:val="231F20"/>
          <w:sz w:val="20"/>
        </w:rPr>
        <w:t xml:space="preserve"> </w:t>
      </w:r>
      <w:r>
        <w:rPr>
          <w:rFonts w:ascii="Times New Roman" w:hAnsi="Times New Roman"/>
          <w:color w:val="231F20"/>
          <w:sz w:val="18"/>
        </w:rPr>
        <w:t>per share.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Second Amended and Restated Certificate of Incorporation provides the Company’s board of directors with the authority to issue preferred stock, par value $0.0001 per share, in one or more series and to establish from time to time the number of shares to be included in each such series, by adopting a resolution and filing a certificate of designations. Voting powers, designations, preferences and relative, participating, optional, special and other rights shall be stated and expressed in such resolutions and the certificate of designations. There were 20,000,000 shares designated as preferred stock and none were outstanding as of June 30, 2026 and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Company had the following Common Stock warrants outstanding: </w:t>
      </w:r>
    </w:p>
    <w:tbl>
      <w:tblPr>
        <w:tblW w:w="6654" w:type="dxa"/>
        <w:jc w:val="left"/>
        <w:tblInd w:w="0" w:type="dxa"/>
        <w:tblLayout w:type="fixed"/>
        <w:tblCellMar>
          <w:top w:w="28" w:type="dxa"/>
          <w:left w:w="28" w:type="dxa"/>
          <w:bottom w:w="28" w:type="dxa"/>
          <w:right w:w="28" w:type="dxa"/>
        </w:tblCellMar>
      </w:tblPr>
      <w:tblGrid>
        <w:gridCol w:w="3661"/>
        <w:gridCol w:w="146"/>
        <w:gridCol w:w="146"/>
        <w:gridCol w:w="1036"/>
        <w:gridCol w:w="146"/>
        <w:gridCol w:w="146"/>
        <w:gridCol w:w="146"/>
        <w:gridCol w:w="103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Humacyte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2024 RDO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2024 RDO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2025 RDO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28,436,018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3"/>
              </w:rPr>
            </w:pPr>
            <w:r>
              <w:rPr>
                <w:rFonts w:ascii="Times New Roman" w:hAnsi="Times New Roman"/>
                <w:color w:val="000000"/>
                <w:sz w:val="20"/>
              </w:rPr>
              <w:t>Loan Agreement Warrants</w:t>
            </w:r>
            <w:r>
              <w:rPr>
                <w:rFonts w:ascii="Times New Roman" w:hAnsi="Times New Roman"/>
                <w:color w:val="000000"/>
                <w:sz w:val="15"/>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2,666,015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42,775,553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40,935,943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2"/>
        </w:rPr>
      </w:pPr>
      <w:r>
        <w:rPr>
          <w:rFonts w:ascii="Times New Roman" w:hAnsi="Times New Roman"/>
          <w:color w:val="000000"/>
          <w:sz w:val="12"/>
        </w:rPr>
        <w:t>_______________________________________</w:t>
      </w:r>
    </w:p>
    <w:p>
      <w:pPr>
        <w:pStyle w:val="TextBody"/>
        <w:bidi w:val="0"/>
        <w:spacing w:before="40" w:after="283"/>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231F20"/>
          <w:sz w:val="18"/>
        </w:rPr>
        <w:t>As of December 31, 2025, shares issuable are calculated as $3.4</w:t>
      </w:r>
      <w:r>
        <w:rPr>
          <w:rFonts w:ascii="Times New Roman" w:hAnsi="Times New Roman"/>
          <w:color w:val="231F20"/>
          <w:sz w:val="20"/>
        </w:rPr>
        <w:t xml:space="preserve"> </w:t>
      </w:r>
      <w:r>
        <w:rPr>
          <w:rFonts w:ascii="Times New Roman" w:hAnsi="Times New Roman"/>
          <w:color w:val="231F20"/>
          <w:sz w:val="18"/>
        </w:rPr>
        <w:t>million (base exercise value) divided by $1.28</w:t>
      </w:r>
      <w:r>
        <w:rPr>
          <w:rFonts w:ascii="Times New Roman" w:hAnsi="Times New Roman"/>
          <w:color w:val="231F20"/>
          <w:sz w:val="20"/>
        </w:rPr>
        <w:t xml:space="preserve"> </w:t>
      </w:r>
      <w:r>
        <w:rPr>
          <w:rFonts w:ascii="Times New Roman" w:hAnsi="Times New Roman"/>
          <w:color w:val="231F20"/>
          <w:sz w:val="18"/>
        </w:rPr>
        <w:t>per share.</w:t>
      </w:r>
      <w:r>
        <w:rPr>
          <w:rFonts w:ascii="Times New Roman" w:hAnsi="Times New Roman"/>
          <w:color w:val="231F2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(b)</w:t>
      </w:r>
      <w:r>
        <w:rPr>
          <w:rFonts w:ascii="Times New Roman" w:hAnsi="Times New Roman"/>
          <w:color w:val="231F20"/>
          <w:sz w:val="20"/>
        </w:rPr>
        <w:t xml:space="preserve"> </w:t>
      </w:r>
      <w:r>
        <w:rPr>
          <w:rFonts w:ascii="Times New Roman" w:hAnsi="Times New Roman"/>
          <w:color w:val="231F20"/>
          <w:sz w:val="18"/>
        </w:rPr>
        <w:t>As of June 30, 2026, shares issuable are calculated as $3.4</w:t>
      </w:r>
      <w:r>
        <w:rPr>
          <w:rFonts w:ascii="Times New Roman" w:hAnsi="Times New Roman"/>
          <w:color w:val="231F20"/>
          <w:sz w:val="20"/>
        </w:rPr>
        <w:t xml:space="preserve"> </w:t>
      </w:r>
      <w:r>
        <w:rPr>
          <w:rFonts w:ascii="Times New Roman" w:hAnsi="Times New Roman"/>
          <w:color w:val="231F20"/>
          <w:sz w:val="18"/>
        </w:rPr>
        <w:t>million (base exercise value) divided by $0.80</w:t>
      </w:r>
      <w:r>
        <w:rPr>
          <w:rFonts w:ascii="Times New Roman" w:hAnsi="Times New Roman"/>
          <w:color w:val="231F20"/>
          <w:sz w:val="20"/>
        </w:rPr>
        <w:t xml:space="preserve"> </w:t>
      </w:r>
      <w:r>
        <w:rPr>
          <w:rFonts w:ascii="Times New Roman" w:hAnsi="Times New Roman"/>
          <w:color w:val="231F20"/>
          <w:sz w:val="18"/>
        </w:rPr>
        <w:t>per share. The exercise price reset from $1.28</w:t>
      </w:r>
      <w:r>
        <w:rPr>
          <w:rFonts w:ascii="Times New Roman" w:hAnsi="Times New Roman"/>
          <w:color w:val="231F20"/>
          <w:sz w:val="20"/>
        </w:rPr>
        <w:t xml:space="preserve"> </w:t>
      </w:r>
      <w:r>
        <w:rPr>
          <w:rFonts w:ascii="Times New Roman" w:hAnsi="Times New Roman"/>
          <w:color w:val="231F20"/>
          <w:sz w:val="18"/>
        </w:rPr>
        <w:t>in March 2026 in connection with the March 2026 Registered Direct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5, 2025, October 2024 RDO Warrants to purchase 2,840,910 shares of Common Stock expired. On May 14, 2025, November 2024 RDO Warrants to purchase 1,404,494 shares of Common Stock expired. On May 27, 2026, the Company issued warrants to purchase 240,000 shares of Common Stock pursuant to a service agreement. Other than as disclosed above, there were no issuances, exercises or expirations of warrants during the six months ended June 30, 2026 or 2025.</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Legacy Humacyte Common Stock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Company’s former loan agreement with SVB, in 2021 the Company granted warrants to the lenders to purchase up to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Public and Private Placement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Merger, which closed on August 26, 2021,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Distinguishing Liabilities from Equity. The Company then evaluated the Common Stock Warrants under FASB ASC Topic 815, Derivatives and Hedging.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Private Placement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income at each reporting 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Private Placement Warrants were initially recognized as a liability on the Closing Date, at a fair value of $0.6 million. The Private Placement Warrant liability was remeasured to a fair value of $0 as of June 30, 2026, compared with $15 thousand as of December 31, 2025. Changes in the fair value of the Private Placement Warrants liability resulted in no gain or loss and a non-cash loss of $43 thousand for the three months ended June 30, 2026 and 2025, respectively, and non-cash gains of $15 thousand and $0.2 million for the six months ended June 30, 2026 and 2025, respectively. The remeasurement of the Private Placement Warrant liability is classified within Change in fair value of derivatives in the condensed consolidated statements of operations and comprehensive (loss) income.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Private Placement Warrants were valued using the following assumptions under the Black-Scholes model: </w:t>
      </w:r>
    </w:p>
    <w:tbl>
      <w:tblPr>
        <w:tblW w:w="5367" w:type="dxa"/>
        <w:jc w:val="left"/>
        <w:tblInd w:w="0" w:type="dxa"/>
        <w:tblLayout w:type="fixed"/>
        <w:tblCellMar>
          <w:top w:w="28" w:type="dxa"/>
          <w:left w:w="28" w:type="dxa"/>
          <w:bottom w:w="28" w:type="dxa"/>
          <w:right w:w="28" w:type="dxa"/>
        </w:tblCellMar>
      </w:tblPr>
      <w:tblGrid>
        <w:gridCol w:w="2611"/>
        <w:gridCol w:w="146"/>
        <w:gridCol w:w="211"/>
        <w:gridCol w:w="571"/>
        <w:gridCol w:w="271"/>
        <w:gridCol w:w="146"/>
        <w:gridCol w:w="294"/>
        <w:gridCol w:w="80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3 for a summary of the changes in the fair value of the Private Placement Warrants during the three and six months ended June 30, 2026 and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Public Warrants are considered to be “indexed to the Company’s own stock.” The agreement provides that in the event of a tender or exchange offer made to and accepted by holders of more than 50% of the outstanding shares of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shares of Common Stock will always result in a change in control and would not preclude permanent equity classification of the Public Warrants. Based on this evaluation, the Company concluded that the Public Warrants met the criteria to be classified within stockholders’ equity. The Public Warrants were initially recognized as equity on the Closing Date at a fair value of $2.80 per share.</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Registered Direct Offering Warrants</w:t>
      </w:r>
    </w:p>
    <w:p>
      <w:pPr>
        <w:pStyle w:val="TextBody"/>
        <w:bidi w:val="0"/>
        <w:jc w:val="left"/>
        <w:rPr>
          <w:rFonts w:ascii="Times New Roman" w:hAnsi="Times New Roman"/>
          <w:color w:val="000000"/>
          <w:sz w:val="20"/>
        </w:rPr>
      </w:pPr>
      <w:r>
        <w:rPr>
          <w:rFonts w:ascii="Times New Roman" w:hAnsi="Times New Roman"/>
          <w:color w:val="000000"/>
          <w:sz w:val="20"/>
        </w:rPr>
        <w:t>Collectively, the October 2024 RDO Warrants, the November 2024 RDO Warrants, and the October 2025 RDO Warrants are referred to as the “Registered Direct Offering Warrants.”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Registered Direct Offering Warrants holders are entitled to participate in dividends and other distributions of assets to the same extent as if the holders held the number of shares of Common Stock issuable upon exercising the Registered Direct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Offering Warrants. Therefore, the Registered Direct Offering Warrants are considered participating securities and are included in the computation of net income per share pursuant to the two-class method. In applying the two-class method, during periods of net income, earnings are allocated to both Common Stock and participating securities based on their respective weighted-average shares outstanding for the period. During periods of net loss, no effect is given to participating securities since they do not share in the losses of the Company.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evaluated the Registered Direct Offering Warrants to determine the appropriate financial statement classification upon issuance.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agreements governing the Registered Direct Offering Warrants include a provision, the application of which could result in a different settlement value for the Registered Direct Offering Warrants. The Registered Direct Offering Warrants cannot be exercised if after the exercise the warrant holder would own more than 4.99% of the Company’s outstanding Common Stock (“Beneficial Ownership Limitation”). The holder may elect to increase the Beneficial Ownership Limitation to 9.99%. The Beneficial Ownership Limitation constitutes an exercise contingency in that it limits or defers the exercise of some of the Registered Direct Offering Warrants if the limitation would otherwise be reached, depending on the number of shares of Common Stock that are outstanding. The exercise contingency is not based on either an observable market or an observable index, so it does not preclude the Registered Direct Offering Warrants from being considered indexed to the Company’s own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There is a provision related to fundamental transactions (defined in the Registered Direct Offering Warrants to include various merger and change in control transactions) that results in liability classification. As the Registered Direct Offering Warrants meet the definition of a derivative, the Company recorded these Registered Direct Offering Warrants as liabilities on the condensed consolidated balance sheets at fair value, with subsequent changes in their respective fair values recognized within Change in fair value of derivatives in the condensed consolidated statements of operations and comprehensive (loss) income at each reporting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2024 RDO Warrants were immediately exercisable. October 2024 RDO Warrants to purchase 2,840,910 shares of Common Stock had an exercise price of $5.28 per share, and expired 180 days from the date of issuance unexercised. The remaining October 2024 RDO Warrants to purchase 2,840,910 shares of Common Stock have an exercise price of $5.28 per share, and will expire 1640 days from the date of issuance.</w:t>
      </w:r>
    </w:p>
    <w:p>
      <w:pPr>
        <w:pStyle w:val="TextBody"/>
        <w:bidi w:val="0"/>
        <w:spacing w:before="200" w:after="283"/>
        <w:jc w:val="left"/>
        <w:rPr>
          <w:rFonts w:ascii="Times New Roman" w:hAnsi="Times New Roman"/>
          <w:sz w:val="20"/>
        </w:rPr>
      </w:pPr>
      <w:r>
        <w:rPr>
          <w:rFonts w:ascii="Times New Roman" w:hAnsi="Times New Roman"/>
          <w:color w:val="000000"/>
          <w:sz w:val="20"/>
        </w:rPr>
        <w:t>The October 2024 RDO Warrants were initially recognized as a liability at a fair value of $15.2 million on the issuance date. The October 2024 RDO Warrants liability was remeasured to a fair value o</w:t>
      </w:r>
      <w:r>
        <w:rPr>
          <w:rFonts w:ascii="Times New Roman" w:hAnsi="Times New Roman"/>
          <w:color w:val="231F20"/>
          <w:sz w:val="20"/>
        </w:rPr>
        <w:t xml:space="preserve">f </w:t>
      </w:r>
      <w:r>
        <w:rPr>
          <w:rFonts w:ascii="Times New Roman" w:hAnsi="Times New Roman"/>
          <w:color w:val="000000"/>
          <w:sz w:val="20"/>
        </w:rPr>
        <w:t>$0.6 million as of June 30, 2026, compared with a fair value of $0.8 million as of December 31, 2025. Changes in the fair value of the October 2024 RDO Warrants liability resulted in non-cash losses of $0.2 million and $0.7 million for the three months ended June 30, 2026 and 2025, respectively, and non-cash gains of $0.2 million and $9.6 million for the six months ended June 30, 2026 and 2025, respectively.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367" w:type="dxa"/>
        <w:jc w:val="left"/>
        <w:tblInd w:w="0" w:type="dxa"/>
        <w:tblLayout w:type="fixed"/>
        <w:tblCellMar>
          <w:top w:w="28" w:type="dxa"/>
          <w:left w:w="28" w:type="dxa"/>
          <w:bottom w:w="28" w:type="dxa"/>
          <w:right w:w="28" w:type="dxa"/>
        </w:tblCellMar>
      </w:tblPr>
      <w:tblGrid>
        <w:gridCol w:w="2611"/>
        <w:gridCol w:w="146"/>
        <w:gridCol w:w="211"/>
        <w:gridCol w:w="571"/>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November 2024 RDO Warrants were immediately exercisable. November 2024 RDO Warrants to purchase 1,404,494 shares of Common Stock had an exercise price of $5.34 per share, and expired 180 days from the date of issuance unexercised. The remaining November 2024 RDO Warrants to purchase 1,404,494 shares of Common Stock have an exercise price of $5.34 per share, and will expire 1640 days from the date of issuance.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November 2024 RDO Warrants were initially recognized as a liability at a fair value of $6.1 million on the issuance date. The November 2024 RDO Warrants liability was remeasured to a fair value of $0.3 million as of June 30, 2026, compared with a fair value of $0.4 million as of December 31, 2025. Changes in the fair value of the November 2024 RDO Warrants liability resulted in non-cash losses of $0.1 million and $0.3 million for the three months ended June 30, 2026 and 2025, respectively, and non-cash gains of $0.1 million and $5.0 million for the six months ended June 30, 2026 and 2025, respectively.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367" w:type="dxa"/>
        <w:jc w:val="left"/>
        <w:tblInd w:w="0" w:type="dxa"/>
        <w:tblLayout w:type="fixed"/>
        <w:tblCellMar>
          <w:top w:w="28" w:type="dxa"/>
          <w:left w:w="28" w:type="dxa"/>
          <w:bottom w:w="28" w:type="dxa"/>
          <w:right w:w="28" w:type="dxa"/>
        </w:tblCellMar>
      </w:tblPr>
      <w:tblGrid>
        <w:gridCol w:w="2611"/>
        <w:gridCol w:w="146"/>
        <w:gridCol w:w="211"/>
        <w:gridCol w:w="571"/>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2025 RDO Warrants are exercisable 180 days following the date of issuance, and will expire on April 7, 2031. The October 2025 RDO Warrants have an exercise price of $2.11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2025 RDO Warrants were initially recognized as a liability at a fair value of $34.3 million on the issuance date. The October 2025 RDO Warrants liability was remeasured to a fair value of $13.1 million as of June 30, 2026, compared with a fair value of $16.4 million as of December 31, 2025. The change in the fair value of the October 2025 RDO Warrants liability resulted in a non-cash loss of $4.1 million and a non-cash gain of $3.2 million for the three and six months ended June 30, 2026, respectively.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305" w:type="dxa"/>
        <w:jc w:val="left"/>
        <w:tblInd w:w="0" w:type="dxa"/>
        <w:tblLayout w:type="fixed"/>
        <w:tblCellMar>
          <w:top w:w="28" w:type="dxa"/>
          <w:left w:w="28" w:type="dxa"/>
          <w:bottom w:w="28" w:type="dxa"/>
          <w:right w:w="28" w:type="dxa"/>
        </w:tblCellMar>
      </w:tblPr>
      <w:tblGrid>
        <w:gridCol w:w="2611"/>
        <w:gridCol w:w="146"/>
        <w:gridCol w:w="224"/>
        <w:gridCol w:w="496"/>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color w:val="231F20"/>
          <w:sz w:val="20"/>
        </w:rPr>
        <w:t xml:space="preserve">See </w:t>
      </w:r>
      <w:r>
        <w:rPr>
          <w:rFonts w:ascii="Times New Roman" w:hAnsi="Times New Roman"/>
          <w:color w:val="000000"/>
          <w:sz w:val="20"/>
        </w:rPr>
        <w:t>Note 3</w:t>
      </w:r>
      <w:r>
        <w:rPr>
          <w:rFonts w:ascii="Times New Roman" w:hAnsi="Times New Roman"/>
          <w:color w:val="231F20"/>
          <w:sz w:val="20"/>
        </w:rPr>
        <w:t xml:space="preserve"> for a summary of changes in the fair value of the RDO Warrants during the </w:t>
      </w:r>
      <w:r>
        <w:rPr>
          <w:rFonts w:ascii="Times New Roman" w:hAnsi="Times New Roman"/>
          <w:color w:val="000000"/>
          <w:sz w:val="20"/>
        </w:rPr>
        <w:t>three and six months ended June 30, 2026 and 2025</w:t>
      </w:r>
      <w:r>
        <w:rPr>
          <w:rFonts w:ascii="Times New Roman" w:hAnsi="Times New Roman"/>
          <w:color w:val="231F20"/>
          <w:sz w:val="20"/>
        </w:rPr>
        <w:t>.</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Loan Agreement Warrants</w:t>
      </w:r>
    </w:p>
    <w:p>
      <w:pPr>
        <w:pStyle w:val="TextBody"/>
        <w:bidi w:val="0"/>
        <w:spacing w:before="0" w:after="160"/>
        <w:jc w:val="left"/>
        <w:rPr>
          <w:rFonts w:ascii="Times New Roman" w:hAnsi="Times New Roman"/>
          <w:color w:val="231F20"/>
          <w:sz w:val="20"/>
        </w:rPr>
      </w:pPr>
      <w:r>
        <w:rPr>
          <w:rFonts w:ascii="Times New Roman" w:hAnsi="Times New Roman"/>
          <w:color w:val="231F20"/>
          <w:sz w:val="20"/>
        </w:rPr>
        <w:t xml:space="preserve">In connection with, and as consideration of the commitments under, the Term Loan Facility, the Company issued warrants to purchase shares of Common Stock to the Lenders (the “Loan Agreement Warrants”). See Note 6 for more details.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Loan Agreement Warrants are a freestanding instrument that entitles the holders to purchase shares of Common Stock for an aggregate exercise price of up to $5.0 million. The warrants consist of a base exercise value of $3.4 million that was exercisable upon issuance and an additional exercise value of $1.6 million that becomes exercisable only upon the funding of Tranche 3 under the Term Loan Facility. The exercise price per share (the “Warrant Price”) was equal to the lower of (i) $1.28 per share or (ii) the price of any qualifying equity offering completed prior to March 31, 2026, subject to specified exclusions. As a result of the March 2026 Registered Direct Offering, which had a Common Stock offering price of $0.80 per share, the Warrant Price was reset to $0.80 per share. No further adjustments to the Warrant Price are permitted based on equity offerings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160"/>
        <w:jc w:val="left"/>
        <w:rPr>
          <w:rFonts w:ascii="Times New Roman" w:hAnsi="Times New Roman"/>
          <w:color w:val="231F20"/>
          <w:sz w:val="20"/>
        </w:rPr>
      </w:pPr>
      <w:r>
        <w:rPr>
          <w:rFonts w:ascii="Times New Roman" w:hAnsi="Times New Roman"/>
          <w:color w:val="231F20"/>
          <w:sz w:val="20"/>
        </w:rPr>
        <w:t xml:space="preserve">consummated after March 31, 2026; however, the Warrant Price remains subject to customary anti-dilution adjustments under the warrant agreement (including for stock splits, stock dividends and similar events).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Loan Agreement Warrants were immediately exercisable upon issuance and expire on December 15, 2030. The Loan Agreement Warrants provide for cashless exercise, including automatic cashless exercise upon expiration if the fair market value of Common Stock exceeds the exercise price at expiration. The Loan Agreement Warrants also include a beneficial ownership limitation and a change-of-control provision that provides for automatic exercise in connection with a change of control, as defined in the warrant agreement.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Company evaluated the Loan Agreement Warrants to determine the appropriate financial statement classification in accordance with ASC 480 and ASC 815. Although the Loan Agreement Warrants are a freestanding financial instrument, the Company concluded that it does not meet all requirements for equity classification under ASC 815, including the requirement that the contract be indexed to the Company’s own stock, because certain provisions affect the settlement amount in a manner that is not consistent with the inputs to the valuation of a fixed-for-fixed option on the Company’s equity shares. Accordingly, the Loan Agreement Warrant is classified as a warrant liability (the “Loan Agreement Warrants liability”) with an offset recorded as a debt discount within the Term Loan carrying amount, to be amortized to interest expense over the loan term using the effective interest method. </w:t>
      </w:r>
    </w:p>
    <w:p>
      <w:pPr>
        <w:pStyle w:val="TextBody"/>
        <w:bidi w:val="0"/>
        <w:spacing w:before="40" w:after="160"/>
        <w:jc w:val="left"/>
        <w:rPr>
          <w:rFonts w:ascii="Times New Roman" w:hAnsi="Times New Roman"/>
          <w:sz w:val="20"/>
        </w:rPr>
      </w:pPr>
      <w:r>
        <w:rPr>
          <w:rFonts w:ascii="Times New Roman" w:hAnsi="Times New Roman"/>
          <w:color w:val="231F20"/>
          <w:sz w:val="20"/>
        </w:rPr>
        <w:t xml:space="preserve">The Company estimated the fair value of the Loan Agreement Warrants liability using a Black-Scholes option-pricing model that required significant assumptions on expected volatility and expected term, and certain data inputs, including the Company’s common stock price, risk-free interest rate, and expected dividend yield. The estimated fair value of the warrants liability recognized at issuance was $2.2 million. The valuation reflected the base exercise value of the warrants and excluded the additional exercise value associated with Tranche 3, as the funding of Tranche 3 was contingent and not considered probable at issuance. The Loan Agreement Warrants liability was remeasured to a fair value of $1.5 million </w:t>
      </w:r>
      <w:r>
        <w:rPr>
          <w:rFonts w:ascii="Times New Roman" w:hAnsi="Times New Roman"/>
          <w:color w:val="000000"/>
          <w:sz w:val="20"/>
        </w:rPr>
        <w:t>as of</w:t>
      </w:r>
      <w:r>
        <w:rPr>
          <w:rFonts w:ascii="Times New Roman" w:hAnsi="Times New Roman"/>
          <w:color w:val="231F20"/>
          <w:sz w:val="20"/>
        </w:rPr>
        <w:t xml:space="preserve"> June 30, 2026, compared with a fair value of $1.7 million </w:t>
      </w:r>
      <w:r>
        <w:rPr>
          <w:rFonts w:ascii="Times New Roman" w:hAnsi="Times New Roman"/>
          <w:color w:val="000000"/>
          <w:sz w:val="20"/>
        </w:rPr>
        <w:t>as of</w:t>
      </w:r>
      <w:r>
        <w:rPr>
          <w:rFonts w:ascii="Times New Roman" w:hAnsi="Times New Roman"/>
          <w:color w:val="231F20"/>
          <w:sz w:val="20"/>
        </w:rPr>
        <w:t xml:space="preserve"> December 31, 2025. The change in the fair value of the Loan Agreement Warrants liability resulted in a non-cash loss of $0.4 million and a non-cash gain of $0.2 million for the three and six months ended June 30, 2026, respectively.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305" w:type="dxa"/>
        <w:jc w:val="left"/>
        <w:tblInd w:w="0" w:type="dxa"/>
        <w:tblLayout w:type="fixed"/>
        <w:tblCellMar>
          <w:top w:w="28" w:type="dxa"/>
          <w:left w:w="28" w:type="dxa"/>
          <w:bottom w:w="28" w:type="dxa"/>
          <w:right w:w="28" w:type="dxa"/>
        </w:tblCellMar>
      </w:tblPr>
      <w:tblGrid>
        <w:gridCol w:w="2611"/>
        <w:gridCol w:w="146"/>
        <w:gridCol w:w="224"/>
        <w:gridCol w:w="496"/>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See Note 3 for a summary of the changes in the fair value of the Loan Agreement Warrants during the three and six months ended June 30,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Earnout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Following the Closing, former holders of Legacy Humacyte common and preferred shares are eligible to receive up to 15,000,000 additional shares of Common Stock issuable upon the satisfaction of specified post-closing market-based conditions (the “Contingent Earnout Shares”) in the aggregate, in two equal tranches of 7,500,000 shares of Common Stock per tranche. The first and second tranches are issuable if the closing volume weighted average price (“VWAP”) per share of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quoted on Nasdaq (or the exchange on which the shares of Common Stock are then listed), is greater or equal to $15.00 and $20.00, respectively, over any 20 trading days within any 30 consecutive trading day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Upon the Closing, the contingent obligation to issue Contingent Earnout Shares was accounted for as a liability (“Contingent Earnout Liability”) because the triggering events that determine the number of Contingent Earnout Shares required to be issued include events that are not solely indexed to the Common Stock.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Contingent Earnout Liability was remeasured to a fair value of $9.5 million as of June 30, 2026, compared with a fair value of $11.5 million as of December 31, 2025. Changes in the fair value of the liability resulted in non-cash losses of $2.7 million and $5.5 million for the three months ended June 30, 2026 and 2025, respectively, and non-cash gains of $2.0 million and $44.3 million for the six months ended June 30, 2026 and 2025, respectively. The remeasurement of the Contingent Earnout Liability is classified within Change in fair value of Contingent Earnout Liability in the condensed consolidated statements of operations and comprehensive (loss) income.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367" w:type="dxa"/>
        <w:jc w:val="left"/>
        <w:tblInd w:w="0" w:type="dxa"/>
        <w:tblLayout w:type="fixed"/>
        <w:tblCellMar>
          <w:top w:w="28" w:type="dxa"/>
          <w:left w:w="28" w:type="dxa"/>
          <w:bottom w:w="28" w:type="dxa"/>
          <w:right w:w="28" w:type="dxa"/>
        </w:tblCellMar>
      </w:tblPr>
      <w:tblGrid>
        <w:gridCol w:w="2611"/>
        <w:gridCol w:w="146"/>
        <w:gridCol w:w="211"/>
        <w:gridCol w:w="571"/>
        <w:gridCol w:w="271"/>
        <w:gridCol w:w="146"/>
        <w:gridCol w:w="294"/>
        <w:gridCol w:w="80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See Note 3 for a summary of the changes in the fair value of the Contingent Earnout Liability during the three and six months ended June 30, 2026 and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Conversion Derivative Liability</w:t>
      </w:r>
    </w:p>
    <w:p>
      <w:pPr>
        <w:pStyle w:val="TextBody"/>
        <w:bidi w:val="0"/>
        <w:spacing w:before="200" w:after="180"/>
        <w:jc w:val="left"/>
        <w:rPr>
          <w:rFonts w:ascii="Times New Roman" w:hAnsi="Times New Roman"/>
          <w:color w:val="000000"/>
          <w:sz w:val="20"/>
        </w:rPr>
      </w:pPr>
      <w:r>
        <w:rPr>
          <w:rFonts w:ascii="Times New Roman" w:hAnsi="Times New Roman"/>
          <w:color w:val="000000"/>
          <w:sz w:val="20"/>
        </w:rPr>
        <w:t>In connection with the Term Loan Facility and pursuant to the equity-settled conversion feature described above, the Lenders may jointly elect, at any time and from time to time after the closing date and prior to the payment in full of the loans, to convert up to $2.5 million of the principal amount of the term loans outstanding into Conversion Shares at the Conversion Price. The Conversion Price is equal to 130% of the Warrant Price, subject to the beneficial ownership limitation and other customary conditions.</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 Term Loan principal converted is deemed paid and satisfied in full and ceases to accrue interest from and after the conversion date. Any interest accrued and unpaid through the conversion date remains payable in cash unless the parties elect otherwise in writing. The conversion feature is subject to certain limitations, including a beneficial ownership cap (generally 9.985% as provided in the Loan Agreement) and limitations intended to comply with applicable stock exchange rules. The Loan Agreement also includes provisions related to rounding of fractional shares and cash or principal adjustments in lieu of fractional shares.</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 Company initially recognized the bifurcated conversion feature as a derivative liability, or the Loan Agreement conversion derivative liability, at fair value on the issuance date with an offset recorded as a debt discount within the Term Loan carrying amount, to be amortized to interest expense over the loan term using the effective interest method. The estimated fair value of the Loan Agreement conversion derivative liability at closing date was $1.1 million based on the Black-Scholes valuation model.</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 Loan Agreement conversion derivative liability was remeasured to a fair value of $1.2 million as of June 30, 2026, compared with a fair value of $0.8 million as of December 31, 2025. The change in the fair value of the liability resulted in non-cash losses of $0.3 million and $0.4 million for the three and six months ended June 30, 2026,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367" w:type="dxa"/>
        <w:jc w:val="left"/>
        <w:tblInd w:w="0" w:type="dxa"/>
        <w:tblLayout w:type="fixed"/>
        <w:tblCellMar>
          <w:top w:w="28" w:type="dxa"/>
          <w:left w:w="28" w:type="dxa"/>
          <w:bottom w:w="28" w:type="dxa"/>
          <w:right w:w="28" w:type="dxa"/>
        </w:tblCellMar>
      </w:tblPr>
      <w:tblGrid>
        <w:gridCol w:w="2611"/>
        <w:gridCol w:w="146"/>
        <w:gridCol w:w="211"/>
        <w:gridCol w:w="571"/>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See Note 3 for a summary of the changes in the fair value of the Loan Agreement Conversion Derivative Liability during the three and six months ended June 30, 2026. </w:t>
      </w:r>
    </w:p>
    <w:p>
      <w:pPr>
        <w:pStyle w:val="TextBody"/>
        <w:bidi w:val="0"/>
        <w:spacing w:before="200" w:after="200"/>
        <w:jc w:val="left"/>
        <w:rPr>
          <w:rFonts w:ascii="Times New Roman" w:hAnsi="Times New Roman"/>
          <w:b/>
          <w:color w:val="000000"/>
          <w:sz w:val="20"/>
        </w:rPr>
      </w:pPr>
      <w:bookmarkStart w:id="16" w:name="section20"/>
      <w:bookmarkEnd w:id="16"/>
      <w:r>
        <w:rPr>
          <w:rFonts w:ascii="Times New Roman" w:hAnsi="Times New Roman"/>
          <w:b/>
          <w:color w:val="000000"/>
          <w:sz w:val="20"/>
        </w:rPr>
        <w:t>8. Stock-based Compensation</w:t>
      </w:r>
    </w:p>
    <w:p>
      <w:pPr>
        <w:pStyle w:val="TextBody"/>
        <w:bidi w:val="0"/>
        <w:jc w:val="left"/>
        <w:rPr>
          <w:rFonts w:ascii="Times New Roman" w:hAnsi="Times New Roman"/>
          <w:color w:val="000000"/>
          <w:sz w:val="20"/>
        </w:rPr>
      </w:pPr>
      <w:r>
        <w:rPr>
          <w:rFonts w:ascii="Times New Roman" w:hAnsi="Times New Roman"/>
          <w:color w:val="000000"/>
          <w:sz w:val="20"/>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equity-based awards. Under the ESPP, when and if implemented, eligible employees will be permitted to purchase shares of Common Stock at the lower of 85% of the closing trading price per share of Common Stock on the first day of the offering period or 85% of the closing trading price per share on the exercise date, which will occur on the last day of each offering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2021 Plan and ESPP provide that on January 1 of each year, the share reserve under the 2021 Plan and the ESPP will automatically increase in an amount equal to the lesser of (a) 5% and 1%, respectively, of the number of shares of Common Stock outstanding on December 31 of the preceding year and (b) a number of shares of Common Stock determined by the Company’s board of directors. The Company’s board of directors determined that there would be no automatic increase in the number of shares reserved under the 2021 Plan on January 1, 2023. The 2021 Plan share reserve automatically increased on January 1, 2024 by 5,183,686 shares, which was equivalent to 5% of the number of shares of Common Stock outstanding on December 31, 2023. The 2021 Plan share reserve automatically increased on January 1, 2025 by 6,501,375 shares, which was equivalent to 5% of the number of shares of Common Stock outstanding on December 31, 2024. The 2021 Plan share reserve increased on January 1, 2026 by 4,000,000 shares, as determined by the Company’s board of directors, which was less than 5% of the number of shares of Common Stock outstanding on December 31, 2025. Since the inception of the ESPP, the Company’s board of directors has determined that there would be no automatic increase in the number of shares reserved under the ESPP. Effective April 17, 2025, the Company’s board of directors reduced the number of shares reserved under the ESPP to zero shares of Common Stock. As of June 30, 2026, 9,098,070 shares of Common Stock were available under the 2021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the Closing, Legacy Humacyte had two equity incentive plans, the 2015 Omnibus Incentive Plan, as amended, (the “2015 Plan”), and the 2005 Stock Option Plan (the “2005 Plan”). As a result of the Merger, after the Closing no further awards were granted under either the 2015 Plan or the 2005 Plan. All awards previously granted and outstanding as of the effective date of the Merger were adjusted to reflect the impact of the Merger as set forth in the Merger Agreement,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June 30, 2026, 15,357,915 and 3,098,527 shares of Common Stock remain reserved for outstanding awards issued under the 2021 Plan and the 2015 Plan, respectively, and there were no shares of Common Stock outstanding under the 2005 Plan. The Company has sufficient authorized and unissued shares to issue Common Stock in satisfaction of any outstanding awards and any awards available for grant under the 2021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grants options that include either a service-based or performance-based vesting condition, or both, and a 10-year contractual term. The service-based vesting condition for the plans is generally satisfied over 0 to 48 months from the date of grant. The performance-based vesting conditions are satisfied upon the attainment of certain product development milestones.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estimated the fair value of the stock options on the date of grant using the following assumptions in the Black-Scholes option-pricing model:</w:t>
      </w:r>
    </w:p>
    <w:tbl>
      <w:tblPr>
        <w:tblW w:w="10205" w:type="dxa"/>
        <w:jc w:val="left"/>
        <w:tblInd w:w="0" w:type="dxa"/>
        <w:tblLayout w:type="fixed"/>
        <w:tblCellMar>
          <w:top w:w="28" w:type="dxa"/>
          <w:left w:w="28" w:type="dxa"/>
          <w:bottom w:w="28" w:type="dxa"/>
          <w:right w:w="28" w:type="dxa"/>
        </w:tblCellMar>
      </w:tblPr>
      <w:tblGrid>
        <w:gridCol w:w="3298"/>
        <w:gridCol w:w="146"/>
        <w:gridCol w:w="326"/>
        <w:gridCol w:w="1010"/>
        <w:gridCol w:w="198"/>
        <w:gridCol w:w="198"/>
        <w:gridCol w:w="529"/>
        <w:gridCol w:w="760"/>
        <w:gridCol w:w="271"/>
        <w:gridCol w:w="146"/>
        <w:gridCol w:w="326"/>
        <w:gridCol w:w="1010"/>
        <w:gridCol w:w="187"/>
        <w:gridCol w:w="187"/>
        <w:gridCol w:w="633"/>
        <w:gridCol w:w="657"/>
        <w:gridCol w:w="323"/>
      </w:tblGrid>
      <w:tr>
        <w:trPr/>
        <w:tc>
          <w:tcPr>
            <w:tcW w:w="3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 (weighted average and range, if applicable)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 (93.3% to 100.4%)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 (94.7% to 95.0%)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 (93.3% to 100.4%)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 (92.2% to 95.0%)</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(weighted average and range, if applicable)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 (4.08% to 4.28%)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 (4.06% to 4.26%)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 (3.89% to 4.28%)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 (4.04% to 4.45%)</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i/>
          <w:color w:val="000000"/>
          <w:sz w:val="20"/>
        </w:rPr>
        <w:t xml:space="preserve">Fair Value of Common Stock. </w:t>
      </w:r>
      <w:r>
        <w:rPr>
          <w:rFonts w:ascii="Times New Roman" w:hAnsi="Times New Roman"/>
          <w:color w:val="000000"/>
          <w:sz w:val="20"/>
        </w:rPr>
        <w:t>The fair value of the Common Stock has been determined based on the closing price of the shares on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represents the period that stock options are expected to be outstanding. The Company 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was determined based on a blended approach using the historical share volatility of the 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yields of U.S. Treasury zero-coupon securities with maturities similar in duration to the expected term of the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has not paid dividends on its Common Stock nor does it expect to pay dividends in the foreseeable future. Accordingly, the Company has estimated the dividend yield to be zero.</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option activity under the Company’s stock option plans during the six months ended June 30, 2026 is presented below:</w:t>
      </w:r>
    </w:p>
    <w:p>
      <w:pPr>
        <w:pStyle w:val="TextBody"/>
        <w:bidi w:val="0"/>
        <w:jc w:val="left"/>
        <w:rPr/>
      </w:pPr>
      <w:r>
        <w:rPr/>
        <w:t> </w:t>
      </w:r>
    </w:p>
    <w:tbl>
      <w:tblPr>
        <w:tblW w:w="9856" w:type="dxa"/>
        <w:jc w:val="left"/>
        <w:tblInd w:w="0" w:type="dxa"/>
        <w:tblLayout w:type="fixed"/>
        <w:tblCellMar>
          <w:top w:w="28" w:type="dxa"/>
          <w:left w:w="28" w:type="dxa"/>
          <w:bottom w:w="28" w:type="dxa"/>
          <w:right w:w="28" w:type="dxa"/>
        </w:tblCellMar>
      </w:tblPr>
      <w:tblGrid>
        <w:gridCol w:w="3616"/>
        <w:gridCol w:w="426"/>
        <w:gridCol w:w="146"/>
        <w:gridCol w:w="1036"/>
        <w:gridCol w:w="166"/>
        <w:gridCol w:w="146"/>
        <w:gridCol w:w="350"/>
        <w:gridCol w:w="775"/>
        <w:gridCol w:w="146"/>
        <w:gridCol w:w="146"/>
        <w:gridCol w:w="302"/>
        <w:gridCol w:w="748"/>
        <w:gridCol w:w="146"/>
        <w:gridCol w:w="146"/>
        <w:gridCol w:w="442"/>
        <w:gridCol w:w="728"/>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Exercised</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Forfeited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June 30, 2026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9,425,011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June 30,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weighted-average grant-date fair value per share of options granted during the six months ended June 30, 2026 was $0.82.</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grants RSUs to certain members of executive management and certain non-executive employees under the 2021 Plan. Each RSU represents a contingent right to receive one share of Common Stock upon vesting.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RSUs vest based on continued service, with specific vesting schedules varying by award. Unvested RSUs generally are forfeited upon termination of service, subject to the terms of the applicable award agreement. The Company issues shares with respect to RSUs only upon vesting.</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summarizes the Company’s RSU activity for the six months ended June 30, 2026:</w:t>
      </w:r>
    </w:p>
    <w:tbl>
      <w:tblPr>
        <w:tblW w:w="6632" w:type="dxa"/>
        <w:jc w:val="left"/>
        <w:tblInd w:w="0" w:type="dxa"/>
        <w:tblLayout w:type="fixed"/>
        <w:tblCellMar>
          <w:top w:w="28" w:type="dxa"/>
          <w:left w:w="28" w:type="dxa"/>
          <w:bottom w:w="28" w:type="dxa"/>
          <w:right w:w="28" w:type="dxa"/>
        </w:tblCellMar>
      </w:tblPr>
      <w:tblGrid>
        <w:gridCol w:w="3481"/>
        <w:gridCol w:w="426"/>
        <w:gridCol w:w="146"/>
        <w:gridCol w:w="931"/>
        <w:gridCol w:w="166"/>
        <w:gridCol w:w="146"/>
        <w:gridCol w:w="294"/>
        <w:gridCol w:w="651"/>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Vested</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Forfeited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June 30,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Stock-based compensation expense is included in research and development expense and general and administrative expense in the condensed consolidated statements of operations and comprehensive (loss) income based on where the associated employee compensation costs are generally classified.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shows a summary of stock-based compensation expense related to stock options, warrants issued pursuant to a service agreement, and RSUs included in the condensed consolidated statements of operations and comprehensive (loss) income:</w:t>
      </w:r>
    </w:p>
    <w:tbl>
      <w:tblPr>
        <w:tblW w:w="8798" w:type="dxa"/>
        <w:jc w:val="left"/>
        <w:tblInd w:w="0" w:type="dxa"/>
        <w:tblLayout w:type="fixed"/>
        <w:tblCellMar>
          <w:top w:w="28" w:type="dxa"/>
          <w:left w:w="28" w:type="dxa"/>
          <w:bottom w:w="28" w:type="dxa"/>
          <w:right w:w="28" w:type="dxa"/>
        </w:tblCellMar>
      </w:tblPr>
      <w:tblGrid>
        <w:gridCol w:w="3451"/>
        <w:gridCol w:w="146"/>
        <w:gridCol w:w="211"/>
        <w:gridCol w:w="573"/>
        <w:gridCol w:w="347"/>
        <w:gridCol w:w="347"/>
        <w:gridCol w:w="211"/>
        <w:gridCol w:w="573"/>
        <w:gridCol w:w="146"/>
        <w:gridCol w:w="146"/>
        <w:gridCol w:w="211"/>
        <w:gridCol w:w="571"/>
        <w:gridCol w:w="346"/>
        <w:gridCol w:w="346"/>
        <w:gridCol w:w="211"/>
        <w:gridCol w:w="57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 stock-based compensation was capitalized to inventory during the three and six months ended June 30, 2026. As of June 30, 2026, total unrecognized stock-based compensation cost related to stock options was $17.7 million, which is expected to be recognized over a weighted-average period of 2.1 years. As of June 30, 2026, total unrecognized stock-based compensation cost related to unvested RSUs was approximately $1.1 million, which is expected to be recognized over a weighted-average period of approximately 0.9 years. </w:t>
      </w:r>
    </w:p>
    <w:p>
      <w:pPr>
        <w:pStyle w:val="TextBody"/>
        <w:bidi w:val="0"/>
        <w:spacing w:before="200" w:after="200"/>
        <w:jc w:val="left"/>
        <w:rPr>
          <w:rFonts w:ascii="Times New Roman" w:hAnsi="Times New Roman"/>
          <w:b/>
          <w:color w:val="000000"/>
          <w:sz w:val="20"/>
        </w:rPr>
      </w:pPr>
      <w:bookmarkStart w:id="17" w:name="section21"/>
      <w:bookmarkEnd w:id="17"/>
      <w:r>
        <w:rPr>
          <w:rFonts w:ascii="Times New Roman" w:hAnsi="Times New Roman"/>
          <w:b/>
          <w:color w:val="000000"/>
          <w:sz w:val="20"/>
        </w:rPr>
        <w:t>9. Income Taxes</w:t>
      </w:r>
    </w:p>
    <w:p>
      <w:pPr>
        <w:pStyle w:val="TextBody"/>
        <w:bidi w:val="0"/>
        <w:jc w:val="left"/>
        <w:rPr>
          <w:rFonts w:ascii="Times New Roman" w:hAnsi="Times New Roman"/>
          <w:color w:val="000000"/>
          <w:sz w:val="20"/>
        </w:rPr>
      </w:pPr>
      <w:r>
        <w:rPr>
          <w:rFonts w:ascii="Times New Roman" w:hAnsi="Times New Roman"/>
          <w:color w:val="000000"/>
          <w:sz w:val="20"/>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2026. The Company’s effective federal and state tax rate for the three and six months ended June 30, 2026 and 2025 was 0%, primarily as a result of accumulating net operating losses for the fiscal year to date offset by the increase in the valuation allowance against the related deferred tax asset.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record any income tax expense or benefit during the three and six months ended June 30, 2026 and 2025. The Company has a net operating loss and has provided a valuation allowance against net deferred tax assets due to uncertainties regarding the Company’s ability to realize these assets. All losses before income taxes arose in the United States.</w:t>
      </w:r>
    </w:p>
    <w:p>
      <w:pPr>
        <w:pStyle w:val="TextBody"/>
        <w:bidi w:val="0"/>
        <w:spacing w:before="200" w:after="283"/>
        <w:jc w:val="left"/>
        <w:rPr>
          <w:rFonts w:ascii="Times New Roman" w:hAnsi="Times New Roman"/>
          <w:b/>
          <w:color w:val="000000"/>
          <w:sz w:val="20"/>
        </w:rPr>
      </w:pPr>
      <w:bookmarkStart w:id="18" w:name="section22"/>
      <w:bookmarkEnd w:id="18"/>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Patent License Agreements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Duke University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March 2006, the Company entered into a license agreement with Duke University (“Duke”), which was subsequently amended in 2011, 2014, 2015, 2018, 2019 and 2022 (as amended, the “Duke License Agreement”). Under the Duke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Company’s entry into the Duke License Agreement, the Company granted equity consideration to Duke in the form of 52,693 shares of Common Stock. Under the Duke License Agreement, the Company also agreed to pay Duke: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low single-digit percentage royalty on eligible sales of licensed products and licensed services, plus a low double-digit percentage of any sublicensing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minimum royalty beginning in 2012, which increases in the calendar year immediately following the first commercial sale of licensed products or licensed services (whichever occurs first);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amount in license fees, as certain milestones are met.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Duke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Company filed a BLA with the FDA for urgent arterial repair following extremity vascular trauma when synthetic graft is not indicated, and autologous vein use is not feasible. Based on the achievement of this milestone under the Duke License Agreement, the Company paid a $0.5 million license fee to Duke during the first quarter of 2024.</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December 2024, the FDA approved the Company’s BLA for urgent arterial repair following extremity vascular trauma when autologous vein use is not feasible. Based on the achievement of this milestone under the Duke License Agreement, the Company paid </w:t>
      </w:r>
      <w:r>
        <w:rPr>
          <w:rFonts w:ascii="Times New Roman" w:hAnsi="Times New Roman"/>
          <w:color w:val="000000"/>
          <w:sz w:val="20"/>
        </w:rPr>
        <w:t>$0.5 million</w:t>
      </w:r>
      <w:r>
        <w:rPr>
          <w:rFonts w:ascii="Times New Roman" w:hAnsi="Times New Roman"/>
          <w:color w:val="231F20"/>
          <w:sz w:val="20"/>
        </w:rPr>
        <w:t xml:space="preserve"> of license fee to Duke during the third quarter of 2025. </w:t>
      </w:r>
      <w:r>
        <w:rPr>
          <w:rFonts w:ascii="Times New Roman" w:hAnsi="Times New Roman"/>
          <w:color w:val="000000"/>
          <w:sz w:val="20"/>
        </w:rPr>
        <w:t>Other payments to Duke under the Duke License Agreement were immaterial during the periods presented.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Yale University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its entry into the Tubular Prosthesis License Agreement, the Company paid Yale upfront cash fees. The Company has also agreed to pay Yale: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annual maintenance fees, increasing annually until the fifth anniversary for the BVP License Agreement and until the fourth anniversary for the Tubular Prostheses License Agreement up to a maximum of less than $0.1</w:t>
      </w:r>
      <w:r>
        <w:rPr>
          <w:color w:val="000000"/>
        </w:rPr>
        <w:t xml:space="preserve"> </w:t>
      </w:r>
      <w:r>
        <w:rPr>
          <w:rFonts w:ascii="Times New Roman" w:hAnsi="Times New Roman"/>
          <w:color w:val="000000"/>
          <w:sz w:val="20"/>
        </w:rPr>
        <w:t>million per year;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milestone payments upon achievement of certain regulatory and commercial milestones of $0.2</w:t>
      </w:r>
      <w:r>
        <w:rPr>
          <w:color w:val="000000"/>
        </w:rPr>
        <w:t xml:space="preserve"> </w:t>
      </w:r>
      <w:r>
        <w:rPr>
          <w:rFonts w:ascii="Times New Roman" w:hAnsi="Times New Roman"/>
          <w:color w:val="000000"/>
          <w:sz w:val="20"/>
        </w:rPr>
        <w:t>million and $0.6</w:t>
      </w:r>
      <w:r>
        <w:rPr>
          <w:color w:val="000000"/>
        </w:rPr>
        <w:t xml:space="preserve"> </w:t>
      </w:r>
      <w:r>
        <w:rPr>
          <w:rFonts w:ascii="Times New Roman" w:hAnsi="Times New Roman"/>
          <w:color w:val="000000"/>
          <w:sz w:val="20"/>
        </w:rPr>
        <w:t>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low single-digit percentage royalty on worldwide net sales, subject to reductions for third-party license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low double-digit percentage of sublicensing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Company or any of its future sublicensees bring a patent challenge against Yale or assists another party in bringing a patent challenge against Yale, the license fees described above will be subject to certain increases and penalties.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JDRF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 2023, the Company entered into an Industry Discovery and Development Partnership Agreement with Breakthrough T1D (f/k/a JDRF International) (“JDRF,” and such agreement,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received an aggregate Actual Award of $0.5 million under the JDRF Agreement upon execution of the agreement and achievement of various research and development milestones.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accordance with the JDRF Agreement, the Company has agreed to pay JDRF: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one-time royalty in an amount equal to four</w:t>
      </w:r>
      <w:r>
        <w:rPr>
          <w:color w:val="000000"/>
        </w:rPr>
        <w:t xml:space="preserve"> </w:t>
      </w:r>
      <w:r>
        <w:rPr>
          <w:rFonts w:ascii="Times New Roman" w:hAnsi="Times New Roman"/>
          <w:color w:val="000000"/>
          <w:sz w:val="20"/>
        </w:rPr>
        <w:t>times the Actual Award, to be paid in three</w:t>
      </w:r>
      <w:r>
        <w:rPr>
          <w:color w:val="000000"/>
        </w:rPr>
        <w:t xml:space="preserve"> </w:t>
      </w:r>
      <w:r>
        <w:rPr>
          <w:rFonts w:ascii="Times New Roman" w:hAnsi="Times New Roman"/>
          <w:color w:val="000000"/>
          <w:sz w:val="20"/>
        </w:rPr>
        <w:t>equal installments following the first commercial sale of any product containing the Company’s technology identified in the JDRF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royalty equal to the Actual Award at a specified payment date after net sales exceed $250</w:t>
      </w:r>
      <w:r>
        <w:rPr>
          <w:color w:val="000000"/>
        </w:rPr>
        <w:t xml:space="preserve"> </w:t>
      </w:r>
      <w:r>
        <w:rPr>
          <w:rFonts w:ascii="Times New Roman" w:hAnsi="Times New Roman"/>
          <w:color w:val="000000"/>
          <w:sz w:val="20"/>
        </w:rPr>
        <w:t>million;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“JDRF Agreement Disposition Payment”). The JDRF Agreement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(loss) income, classified in Change in fair value of derivatives.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based on previously received milestone payments would remain due after a termination by JDRF without cause. As the royalties are contractually required to be paid upon achieving these milestones even after the termination of the JDRF Agreement, the Company determined that the JDRF Actual Award payments are to be classified as a liability in the condensed consolidated balance sheets. The JDRF liability related to the Actual Award payments is reported at amortized cost and is included in Other long-term liabilities in the condensed consolidated balance sheets. As of June 30, 2026 and December 31, 2025, the carrying value of the JDRF liability was $0.7 million and $0.5 million, respectively. During the three and six months ended June 30, 2026, the Company recorded $0.1 million of interest expense related to the JDRF liability. During the three and six months ended June 30, 2025, interest expense related to the JDRF liability was insignificant.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Workforce Reduction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2025, the Company implemented a cost reduction action to reduce its workforce by 30 employees, cease recruitment of additional planned new hires, and reduce other operating expenses. The Company undertook these cost reductions to improve cash runway and to better align the Company’s organizational structure with its top business objectives. Employee severance costs associated with this action were $0.7 million, which were expensed during the second quarter of 2025. Employee severance costs included $0.6 million recognized in research and development expenses and $0.1 million recognized in general and administrative expenses on the Company’s condensed consolidated statements of operations and comprehensive (loss) income. There are no further costs associated with this cost reduction action expected to be incurred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2026, the Company implemented a plan to reduce its workforce by approximately 45 employees, defer additional planned new hires, and reduce other operating expenses. The Company estimates that it will incur aggregate charges of approximately $0.8 million representing one-time cash expenditures for severance and other employee termination benefits, of which the majority has been incurred during the second quarter of 2026.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Legal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the Company may be involved in various lawsuits, claims, assessments and proceedings, including securities, commercial, intellectual property, product liability, contractual, governmental, employment or other matters that arise in the normal course of business. The Company accrues a liability for a contingency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November 18, 2024, James A. Cutshall filed a putative class action lawsuit, captioned </w:t>
      </w:r>
      <w:r>
        <w:rPr>
          <w:rFonts w:ascii="Times New Roman" w:hAnsi="Times New Roman"/>
          <w:i/>
          <w:color w:val="000000"/>
          <w:sz w:val="20"/>
        </w:rPr>
        <w:t>Cutshall v. Humacyte, Inc., et al</w:t>
      </w:r>
      <w:r>
        <w:rPr>
          <w:rFonts w:ascii="Times New Roman" w:hAnsi="Times New Roman"/>
          <w:color w:val="000000"/>
          <w:sz w:val="20"/>
        </w:rPr>
        <w:t>., No. 1:24-cv-00954 (the “Securities Litigation”), against the Company and certain of the Company’s officers in the United States District Court for the Middle District of North Carolina. The complaint in the Securities Litigation (the “Initial Complaint”)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Initial Complaint seeks a variety of relief, including unspecified compensatory damages, attorneys fees and costs. On January 31, 2025, the court appointed co-lead plaintiffs. On May 22, 2025, the co-lead plaintiffs filed the amended complaint in the Securities Litigation. The amended complaint expands the putative class to include persons 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On March 31, 2026, the court partially granted and partially denied the defendants’ motion to dismiss in the Securities Litigation. Claims about financial condition, liquidity and manufacturing facility deficiencies were dismissed without prejudice, while claims related to product safety misrepresentations and omissions were sustained at the pleading stage. Discovery on the remaining claims commenced on June 4, 2026.</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Between January 7 and June 9, 2025, several putative stockholders of the Company filed verified derivative actions against the Company (the “Derivative Actions”), all of which assert substantively similar claims and allegations. On January 7 and 10, 2025, putative stockholders of the Company filed two verified stockholder derivative actions in the United States District Court for the Middle District of North Carolina, captioned </w:t>
      </w:r>
      <w:r>
        <w:rPr>
          <w:rFonts w:ascii="Times New Roman" w:hAnsi="Times New Roman"/>
          <w:i/>
          <w:color w:val="000000"/>
          <w:sz w:val="20"/>
        </w:rPr>
        <w:t>Silva v. Sebelius, et al</w:t>
      </w:r>
      <w:r>
        <w:rPr>
          <w:rFonts w:ascii="Times New Roman" w:hAnsi="Times New Roman"/>
          <w:color w:val="000000"/>
          <w:sz w:val="20"/>
        </w:rPr>
        <w:t>., No. 1:25-cv-00005 (the “</w:t>
      </w:r>
      <w:r>
        <w:rPr>
          <w:rFonts w:ascii="Times New Roman" w:hAnsi="Times New Roman"/>
          <w:i/>
          <w:color w:val="000000"/>
          <w:sz w:val="20"/>
        </w:rPr>
        <w:t>Silva</w:t>
      </w:r>
      <w:r>
        <w:rPr>
          <w:rFonts w:ascii="Times New Roman" w:hAnsi="Times New Roman"/>
          <w:color w:val="000000"/>
          <w:sz w:val="20"/>
        </w:rPr>
        <w:t xml:space="preserve"> Action”) and </w:t>
      </w:r>
      <w:r>
        <w:rPr>
          <w:rFonts w:ascii="Times New Roman" w:hAnsi="Times New Roman"/>
          <w:i/>
          <w:color w:val="000000"/>
          <w:sz w:val="20"/>
        </w:rPr>
        <w:t>Misko v. Niklason, et al</w:t>
      </w:r>
      <w:r>
        <w:rPr>
          <w:rFonts w:ascii="Times New Roman" w:hAnsi="Times New Roman"/>
          <w:color w:val="000000"/>
          <w:sz w:val="20"/>
        </w:rPr>
        <w:t>., No. 1:25-cv-00028 (the “</w:t>
      </w:r>
      <w:r>
        <w:rPr>
          <w:rFonts w:ascii="Times New Roman" w:hAnsi="Times New Roman"/>
          <w:i/>
          <w:color w:val="000000"/>
          <w:sz w:val="20"/>
        </w:rPr>
        <w:t>Misko</w:t>
      </w:r>
      <w:r>
        <w:rPr>
          <w:rFonts w:ascii="Times New Roman" w:hAnsi="Times New Roman"/>
          <w:color w:val="000000"/>
          <w:sz w:val="20"/>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hAnsi="Times New Roman"/>
          <w:i/>
          <w:color w:val="000000"/>
          <w:sz w:val="20"/>
        </w:rPr>
        <w:t>Misko</w:t>
      </w:r>
      <w:r>
        <w:rPr>
          <w:rFonts w:ascii="Times New Roman" w:hAnsi="Times New Roman"/>
          <w:color w:val="000000"/>
          <w:sz w:val="20"/>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hAnsi="Times New Roman"/>
          <w:i/>
          <w:color w:val="000000"/>
          <w:sz w:val="20"/>
        </w:rPr>
        <w:t xml:space="preserve">Silva </w:t>
      </w:r>
      <w:r>
        <w:rPr>
          <w:rFonts w:ascii="Times New Roman" w:hAnsi="Times New Roman"/>
          <w:color w:val="000000"/>
          <w:sz w:val="20"/>
        </w:rPr>
        <w:t xml:space="preserve">Action and the </w:t>
      </w:r>
      <w:r>
        <w:rPr>
          <w:rFonts w:ascii="Times New Roman" w:hAnsi="Times New Roman"/>
          <w:i/>
          <w:color w:val="000000"/>
          <w:sz w:val="20"/>
        </w:rPr>
        <w:t xml:space="preserve">Misko </w:t>
      </w:r>
      <w:r>
        <w:rPr>
          <w:rFonts w:ascii="Times New Roman" w:hAnsi="Times New Roman"/>
          <w:color w:val="000000"/>
          <w:sz w:val="20"/>
        </w:rPr>
        <w:t>Action (collectively, the “Consolidated Derivative Action”).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December 19, 2024, the Company received a demand letter (the “2024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2024 Demand Letter and report back to the full Board. On February 19, 2025, the purported stockholder who sent the 2024 Demand Letter filed a stockholder derivative action in the United States District Court for the Middle District of North Carolina, captioned </w:t>
      </w:r>
      <w:r>
        <w:rPr>
          <w:rFonts w:ascii="Times New Roman" w:hAnsi="Times New Roman"/>
          <w:i/>
          <w:color w:val="000000"/>
          <w:sz w:val="20"/>
        </w:rPr>
        <w:t>Olson v. Niklason</w:t>
      </w:r>
      <w:r>
        <w:rPr>
          <w:rFonts w:ascii="Times New Roman" w:hAnsi="Times New Roman"/>
          <w:color w:val="000000"/>
          <w:sz w:val="20"/>
        </w:rPr>
        <w:t>, et al., No. 1:25-cv-00123 (the “</w:t>
      </w:r>
      <w:r>
        <w:rPr>
          <w:rFonts w:ascii="Times New Roman" w:hAnsi="Times New Roman"/>
          <w:i/>
          <w:color w:val="000000"/>
          <w:sz w:val="20"/>
        </w:rPr>
        <w:t>Olson</w:t>
      </w:r>
      <w:r>
        <w:rPr>
          <w:rFonts w:ascii="Times New Roman" w:hAnsi="Times New Roman"/>
          <w:color w:val="000000"/>
          <w:sz w:val="20"/>
        </w:rPr>
        <w:t xml:space="preserve"> Action”), alleging that the Company had refused his demand.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 and the demand evaluation committee recommended that the board of directors of the Company defer action on the demand until after the resolution of the pending motion to dismiss in the securities class action. The board of directors accepted the demand evaluation committee’s recommendation, and counsel for the demand evaluation committee informed the shareholder of the board of directors’ determination to defer action on the demand by letter dated September 24, 2025. On June 26, 2026, the purported stockholder who sent the 2025 Demand Letter filed a stockholder derivative action in the United States District Court for the Middle District of North Carolina, captioned </w:t>
      </w:r>
      <w:r>
        <w:rPr>
          <w:rFonts w:ascii="Times New Roman" w:hAnsi="Times New Roman"/>
          <w:i/>
          <w:color w:val="000000"/>
          <w:sz w:val="20"/>
        </w:rPr>
        <w:t>Heller v. Bamforth</w:t>
      </w:r>
      <w:r>
        <w:rPr>
          <w:rFonts w:ascii="Times New Roman" w:hAnsi="Times New Roman"/>
          <w:color w:val="000000"/>
          <w:sz w:val="20"/>
        </w:rPr>
        <w:t>, et al., No. 1:25-cv-00604 (the “</w:t>
      </w:r>
      <w:r>
        <w:rPr>
          <w:rFonts w:ascii="Times New Roman" w:hAnsi="Times New Roman"/>
          <w:i/>
          <w:color w:val="000000"/>
          <w:sz w:val="20"/>
        </w:rPr>
        <w:t xml:space="preserve">Heller </w:t>
      </w:r>
      <w:r>
        <w:rPr>
          <w:rFonts w:ascii="Times New Roman" w:hAnsi="Times New Roman"/>
          <w:color w:val="000000"/>
          <w:sz w:val="20"/>
        </w:rPr>
        <w:t>Action”), alleging that the Company had refused his demand.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June 9, 2025, a putative stockholder of the Company filed a verified stockholder derivative action in the United States District Court for the District of Delaware, captioned </w:t>
      </w:r>
      <w:r>
        <w:rPr>
          <w:rFonts w:ascii="Times New Roman" w:hAnsi="Times New Roman"/>
          <w:i/>
          <w:color w:val="000000"/>
          <w:sz w:val="20"/>
        </w:rPr>
        <w:t>Dusci v. Bamforth, et al</w:t>
      </w:r>
      <w:r>
        <w:rPr>
          <w:rFonts w:ascii="Times New Roman" w:hAnsi="Times New Roman"/>
          <w:color w:val="000000"/>
          <w:sz w:val="20"/>
        </w:rPr>
        <w:t>., No. 1:25-cv-00722 (the “</w:t>
      </w:r>
      <w:r>
        <w:rPr>
          <w:rFonts w:ascii="Times New Roman" w:hAnsi="Times New Roman"/>
          <w:i/>
          <w:color w:val="000000"/>
          <w:sz w:val="20"/>
        </w:rPr>
        <w:t>Dusci</w:t>
      </w:r>
      <w:r>
        <w:rPr>
          <w:rFonts w:ascii="Times New Roman" w:hAnsi="Times New Roman"/>
          <w:color w:val="000000"/>
          <w:sz w:val="20"/>
        </w:rPr>
        <w:t xml:space="preserve"> Action”). The complaint in the </w:t>
      </w:r>
      <w:r>
        <w:rPr>
          <w:rFonts w:ascii="Times New Roman" w:hAnsi="Times New Roman"/>
          <w:i/>
          <w:color w:val="000000"/>
          <w:sz w:val="20"/>
        </w:rPr>
        <w:t xml:space="preserve">Dusci </w:t>
      </w:r>
      <w:r>
        <w:rPr>
          <w:rFonts w:ascii="Times New Roman" w:hAnsi="Times New Roman"/>
          <w:color w:val="000000"/>
          <w:sz w:val="20"/>
        </w:rPr>
        <w:t xml:space="preserve">Action asserts substantive claims and allegations that are substantively similar to those asserted in the Consolidated Derivative Action and </w:t>
      </w:r>
      <w:r>
        <w:rPr>
          <w:rFonts w:ascii="Times New Roman" w:hAnsi="Times New Roman"/>
          <w:i/>
          <w:color w:val="000000"/>
          <w:sz w:val="20"/>
        </w:rPr>
        <w:t xml:space="preserve">Olson </w:t>
      </w:r>
      <w:r>
        <w:rPr>
          <w:rFonts w:ascii="Times New Roman" w:hAnsi="Times New Roman"/>
          <w:color w:val="000000"/>
          <w:sz w:val="20"/>
        </w:rPr>
        <w:t xml:space="preserve">Action.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parties have filed joint motions to stay all four Derivative Actions. Those motions have been granted in the </w:t>
      </w:r>
      <w:r>
        <w:rPr>
          <w:rFonts w:ascii="Times New Roman" w:hAnsi="Times New Roman"/>
          <w:i/>
          <w:color w:val="000000"/>
          <w:sz w:val="20"/>
        </w:rPr>
        <w:t>Olson, Heller</w:t>
      </w:r>
      <w:r>
        <w:rPr>
          <w:rFonts w:ascii="Times New Roman" w:hAnsi="Times New Roman"/>
          <w:color w:val="000000"/>
          <w:sz w:val="20"/>
        </w:rPr>
        <w:t xml:space="preserve">, and </w:t>
      </w:r>
      <w:r>
        <w:rPr>
          <w:rFonts w:ascii="Times New Roman" w:hAnsi="Times New Roman"/>
          <w:i/>
          <w:color w:val="000000"/>
          <w:sz w:val="20"/>
        </w:rPr>
        <w:t>Dusci</w:t>
      </w:r>
      <w:r>
        <w:rPr>
          <w:rFonts w:ascii="Times New Roman" w:hAnsi="Times New Roman"/>
          <w:color w:val="000000"/>
          <w:sz w:val="20"/>
        </w:rPr>
        <w:t xml:space="preserve"> actions; the motion is pending in the Consolidated Derivative Action.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disputes all claims asserted against it in the Securities Litigation and disputes that the plaintiffs in the Consolidated Derivative Action, the </w:t>
      </w:r>
      <w:r>
        <w:rPr>
          <w:rFonts w:ascii="Times New Roman" w:hAnsi="Times New Roman"/>
          <w:i/>
          <w:color w:val="000000"/>
          <w:sz w:val="20"/>
        </w:rPr>
        <w:t xml:space="preserve">Dusci </w:t>
      </w:r>
      <w:r>
        <w:rPr>
          <w:rFonts w:ascii="Times New Roman" w:hAnsi="Times New Roman"/>
          <w:color w:val="000000"/>
          <w:sz w:val="20"/>
        </w:rPr>
        <w:t xml:space="preserve">Action and </w:t>
      </w:r>
      <w:r>
        <w:rPr>
          <w:rFonts w:ascii="Times New Roman" w:hAnsi="Times New Roman"/>
          <w:i/>
          <w:color w:val="000000"/>
          <w:sz w:val="20"/>
        </w:rPr>
        <w:t xml:space="preserve">Olson </w:t>
      </w:r>
      <w:r>
        <w:rPr>
          <w:rFonts w:ascii="Times New Roman" w:hAnsi="Times New Roman"/>
          <w:color w:val="000000"/>
          <w:sz w:val="20"/>
        </w:rPr>
        <w:t>Action have standing to assert claims derivatively on its behalf. The Company is currently unable to estimate the potential loss or range of loss, if any, associated with these lawsuits, which could be material. Although there can be no assurance of the outcome of these lawsuits, based on information known by management, the Company has not accrued any material liabilities related to these lawsuits in the consolidated financial statements, as a negative outcome is deemed not probable, nor is any range of loss estimable as of June 30, 2026. Since the outcome of these matters cannot be predicted with certainty, any associated costs could have a material adverse effect on the Company’s consolidated results of operations, financial position or cash flows.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pStyle w:val="TextBody"/>
        <w:bidi w:val="0"/>
        <w:spacing w:before="200" w:after="283"/>
        <w:jc w:val="left"/>
        <w:rPr>
          <w:rFonts w:ascii="Times New Roman" w:hAnsi="Times New Roman"/>
          <w:b/>
          <w:color w:val="000000"/>
          <w:sz w:val="20"/>
        </w:rPr>
      </w:pPr>
      <w:bookmarkStart w:id="19" w:name="section23"/>
      <w:bookmarkEnd w:id="19"/>
      <w:r>
        <w:rPr>
          <w:rFonts w:ascii="Times New Roman" w:hAnsi="Times New Roman"/>
          <w:b/>
          <w:color w:val="000000"/>
          <w:sz w:val="20"/>
        </w:rPr>
        <w:t>11. Related Party Transactions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Fresenius Medical Care investments and distribution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2018, the Company completed a $150 million financing transaction pursuant to which Fresenius Medical Care purchased shares of series D redeemable convertible preferred stock that at the Closing Date converted into 15,812,735 shares of Common Stock. In August 2021, Fresenius Medical Care invested $25 million as part of a private placement offering related to the Merger and received an additional 2.5 million shares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the Company entered into a distribution agreement with Fresenius Medical Care in June 2018 (as amended by the First Amendment dated October 2, 2019, the Second Amendment dated February 16, 2021, and the Third Amendment dated April 21, 2026, the “Distribution Agreement”). Prior to the Third Amendment, the Distribution Agreement granted Fresenius Medical Care rights to develop and commercialize the Company’s 6 millimeter acellular tissue engineered vessel-tyod (the “Distribution Product”) outside the United States. Pursuant to the Third Amendment, the Company has the sole right to develop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commercialize, and conduct all regulatory matters relating to the Distribution Product on a worldwide basis. In connection with the reversion of ex-U.S. rights, the Company pays Fresenius Medical Care low-single-digit royalties on net sales of the Distribution Product outside the United States, subject to a two-year royalty-free period following launch of the Distribution Product (as defined in the Distribution Agreement) in each applicable country. The Company continues to pay royalties on net sales of the Distribution Product in the United States at rates ranging from mid-single digits to low double digits, and Fresenius Medical Care remains obligated to support adoption of the Distribution Product as a standard of care in hemodialysis patients for which such use is supported by clinical results and health economic analyses.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royalties payable to Fresenius Medical Care were $0.3 million and $0.2 million, respectively.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left"/>
        <w:rPr>
          <w:rFonts w:ascii="Times New Roman" w:hAnsi="Times New Roman"/>
          <w:b/>
          <w:color w:val="000000"/>
          <w:sz w:val="20"/>
        </w:rPr>
      </w:pPr>
      <w:bookmarkStart w:id="20" w:name="management_discussion_and_analysis"/>
      <w:bookmarkEnd w:id="2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Unless the context indicates otherwise, references in this Quarterly Report to the “Company,” “Humacyte,” “we,” “us,” “our” and similar terms refer to Humacyte, Inc. and its consolidated subsidiaries (Humacyte Global, Inc. and Humacyte Europe Limited).</w:t>
      </w:r>
    </w:p>
    <w:p>
      <w:pPr>
        <w:pStyle w:val="TextBody"/>
        <w:bidi w:val="0"/>
        <w:spacing w:before="200" w:after="283"/>
        <w:jc w:val="left"/>
        <w:rPr>
          <w:rFonts w:ascii="Times New Roman" w:hAnsi="Times New Roman"/>
          <w:b/>
          <w:color w:val="000000"/>
          <w:sz w:val="20"/>
        </w:rPr>
      </w:pPr>
      <w:bookmarkStart w:id="21" w:name="section26"/>
      <w:bookmarkEnd w:id="21"/>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commercial-stage biotechnology platform company developing universally implantable, bioengineered human tissues at commercial scale, and in the first quarter of 2025 commenced the United States commercial launch of our first FDA-approved product.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pStyle w:val="TextBody"/>
        <w:bidi w:val="0"/>
        <w:spacing w:before="200" w:after="283"/>
        <w:jc w:val="left"/>
        <w:rPr>
          <w:rFonts w:ascii="Times New Roman" w:hAnsi="Times New Roman"/>
          <w:sz w:val="20"/>
        </w:rPr>
      </w:pPr>
      <w:r>
        <w:rPr>
          <w:rFonts w:ascii="Times New Roman" w:hAnsi="Times New Roman"/>
          <w:color w:val="000000"/>
          <w:sz w:val="20"/>
        </w:rPr>
        <w:t>We are initially using our proprietary, scientific technology platform to engineer and manufacture ATEVs. On December 19, 2024, the FDA granted full approval for the ATEV under the brand name Symvess</w:t>
      </w:r>
      <w:r>
        <w:rPr>
          <w:rFonts w:ascii="Times New Roman" w:hAnsi="Times New Roman"/>
          <w:color w:val="000000"/>
          <w:sz w:val="13"/>
        </w:rPr>
        <w:t>®</w:t>
      </w:r>
      <w:r>
        <w:rPr>
          <w:rFonts w:ascii="Times New Roman" w:hAnsi="Times New Roman"/>
          <w:color w:val="000000"/>
          <w:sz w:val="20"/>
        </w:rPr>
        <w:t xml:space="preserve"> for use in adults as a vascular conduit for extremity arterial injury when urgent revascularization is needed to avoid imminent limb loss, and autologous vein graft is not feasible. Our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AV access for hemodialysis and PAD. We are also developing the ATEV for coronary artery bypass grafting (“CABG”) and pediatric heart surgery. Over the longer term, we are developing our ATEV for the delivery of cellular therapies, including pancreatic islet cell transplantation to treat Type 1 diabetes (our BioVascular Pancreas or BVP). We will continue to explore the application of our technology across a broad range of markets and indications, including the development of urinary conduit, trachea, esophagus and other novel cell delivery systems.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and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extremity vascular trauma, we and our collaborators are currently conducting Phase 3 and Phase 2 trials of our 6 millimeter ATEV in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2023, we announced positive topline results from our V005 Phase 2/3 trial in vascular trauma, and in December 2023, we filed a BLA for urgent arterial repair following extremity vascular trauma when synthetic graft is not indicated, and autologous vein use is not feasible. In February 2024, the FDA accepted the BLA filing, granted priority review and set a Prescription Drug User Fee Act date of August 10, 2024. On August 9, 2024, the FDA informed us that it required additional time to complete its review of the BLA for the vascular trauma indication. On December 19, 2024, the FDA granted full approval for Symvess (acellular tissue engineered vessel-tyod) for use in adults as a vascular conduit for extremity arterial injury when urgent revascularization is needed to avoid imminent limb loss, and autologous vein graft is not feasible. In February 2025, the FDA completed its required review of commercial batch information for Symvess and authorized us to commence commercial shipments and we shipped our first commercial products in March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2024, we announced positive topline results from our V007 Phase 3 trial of the ATEV for use in AV access, where the ATEV met the primary endpoints in the study. In June 2026, we announced positive interim results from our V012 Phase 3 trial in women, showing that the ATEV achieved superior catheter-free days compared to AV fistula, the primary endpoint in the study. We plan to submit a supplemental BLA for the ATEV to the FDA for an indication in AV access for hemodialysis in the second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21, 2026, we entered into the Third Amendment to our distribution agreement with Fresenius Medical Care. Pursuant to the amendment, we have the sole right to develop and commercialize, and conduct all regulatory matters relating to, the Distribution Product (as defined in the distribution agreement, as amended) on a worldwide basis. In connection with the reversion of ex-U.S. rights to us, we will pay Fresenius Medical Care low-single-digit royalties on net sales of the Distribution Product outside the United States, subject to a two-year royalty-free period following launch of the Distribution Product in each applicable country. We will continue to pay royalties on net sales of the Distribution Product in the United States at rates ranging from mid-single digits to low double digits, and Fresenius Medical Care remains obligated to support adoption of the Distribution Product as a standard of care in hemodialysis patients for which such use is supported by clinical results and health economic analyses.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incurred operating losses and negative cash flows from operations in each year since our inception in 2004. As of June 30, 2026 and December 31, 2025, we had an accumulated deficit of $781.3 million and $726.8 million, respectively, and working capital of $77.8 million and $49.4 million, respectively. Our operating losses were approximately $55.9 million and $52.9 million for the six months ended June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flows used in operating activities were $47.2 million and $55.0 million during the six months ended June 30, 2026 and 2025,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continue to commercialize Symvess and advance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we had cash and cash equivalents of $79.9 million and restricted cash of $0.4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not have sufficient liquidity to fund our operations beyond one year from the issuance of these interim financial statements if we are unable to generate sufficient cash flows from commercial sales on a timely basis and/or obtain additional capital. These factors raise substantial doubt about our ability to continue as a going concern. See Note 1, Organization and Description of Business, to our accompanying condensed consolidated financial statements included elsewhere in this Quarterly Report for additional information regarding this assessment.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Our need for additional capital will depend in part on the scope and costs of our development and commercial manufacturing activities and on the results of our ongoing commercial sales efforts. Since receiving FDA approval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commercialize Symvess in the vascular trauma indication, we generated product revenue of $0.4 million and $0.9 million for the three and six months ended June 30, 2026, respectively, and $1.4 million for the twelve months ended December 31, 2025. Our ability to generate sufficient product revenue to finance our operations will depend on the successful commercialization of Symvess and the advancement of our product candidates. Until such time, if ever, we expect to finance our operations primarily through the use of existing cash and cash equivalents, private or public equity financings, debt financings, debt refinancings or restructurings, collaborations, strategic alliances, and marketing, distribution or licensing arrangements. Adequate capital may not be available to us when needed or on acceptable terms. If we are unable to raise capital, we plan to implement a program to delay, reduce, suspend or cease our planned capital expenditures, research and development programs or any future commercialization efforts, which would have a negative impact on our business, prospects, operating results and financial condition. See “Risk Factors” for additional information.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expect to continue to incur significant expenses and to increase operating losses for at least the next several years. We anticipate that our expenses will increase substantially as we seek to: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continue to generate revenue from sales of Symvess in the United States for the indication in vascular trauma and, if approved, via U.S. market launch for the indication in AV access for hemodialysis;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 marketing approval for our 6 millimeter ATEV in additional indications involving vascular repair, reconstruction and replacement, including in AV access for hemodialysis;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scale out our manufacturing facility to the extent required to satisfy potential market demand for Symvess in the U.S. and our product candidates, following receipt of any regulatory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continue our preclinical and clinical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maintain, expand and protect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 operational, financial and management information systems and personnel to support, among other things, our product development and commercialization efforts and operations;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21, 2026, we entered into the Third Amendment to the distribution agreement with Fresenius Medical Care. Pursuant to the amendment, we have the sole right to develop and commercialize, and conduct all regulatory matters relating to, the Distribution Product (as defined in the distribution agreement, as amended) on a worldwide basis. In connection with the reversion of ex-U.S. rights to us, we will pay Fresenius Medical Care low-single-digit royalties on net sales of the Distribution Product outside the United States, subject to a two-year royalty-free period following launch of the Distribution Product in each applicable country. We will continue to pay royalties on net sales of the Distribution Product in the United States at rates ranging from mid-single digits to low double digits, and Fresenius Medical Care remains obligated to support adoption of the Distribution Product as a standard of care in hemodialysis patients for which such use is supported by clinical results and health economic analyses.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2026, we implemented a plan to reduce our workforce by approximately 45 employees, defer additional planned new hires, and reduce other operating expenses. These reductions have been implemented thoughtfully, and we have retained key personnel, resources, and initiatives to meet our key corporate goals and milestones. We estimate that we will incur aggregate charges of approximately $0.8 million representing one-time cash expenditures for severance and other employee termination benefits, of which the majority has been incurred during the second quarter of 2026. We estimate net savings due to the workforce reductions and operating cost reductions, net of termination severance and benefits, totaling approximately $14.3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June 10, 2026, we entered into an underwriting agreement with Barclays Capital Inc., BTIG, LLC and Titan Partners Group LLC, a division of American Capital Partners, LLC, as representatives of the several underwriters named therein, relating to the 2026 Public Offering. In the 2026 Public Offering, we sold the 2026 Firm Shares, consisting of 47,619,048 shares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Common Stock, at a price to the public of $1.05 per share. We also granted the underwriters a 30-day option to purchase up to an additional 7,142,857 shares of Common Stock at the same price as the 2026 Firm Shares, which the underwriters exercised on June 15, 2026. Our net proceeds from the 2026 Public Offering, including the sale of the 2026 Option Shares, were approximately $53.8 million after deducting underwriting discounts and commissions and offering expenses. The sale of the 2026 Firm Shares closed on June 12, 2026 and the sale of 2026 Option Shares closed on June 16, 2026.</w:t>
      </w:r>
    </w:p>
    <w:p>
      <w:pPr>
        <w:pStyle w:val="TextBody"/>
        <w:bidi w:val="0"/>
        <w:spacing w:before="200" w:after="283"/>
        <w:jc w:val="left"/>
        <w:rPr>
          <w:rFonts w:ascii="Times New Roman" w:hAnsi="Times New Roman"/>
          <w:b/>
          <w:color w:val="000000"/>
          <w:sz w:val="20"/>
        </w:rPr>
      </w:pPr>
      <w:bookmarkStart w:id="22" w:name="section27"/>
      <w:bookmarkEnd w:id="22"/>
      <w:r>
        <w:rPr>
          <w:rFonts w:ascii="Times New Roman" w:hAnsi="Times New Roman"/>
          <w:b/>
          <w:color w:val="000000"/>
          <w:sz w:val="20"/>
        </w:rPr>
        <w:t>Components of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 product revenue from commercial sales of Symvess in the United States. Contract revenue consists of revenue related to a single contract with a customer to recover contract expenses. Contract revenue associated with each performance obligation in the contract is recognized as the research and development services are provided according to the actual costs incurred compared to the total costs expected to be incurred to satisfy the performance obligation.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the recent commercialization of the ATEVs in the vascular trauma indication, all of our revenue was derived from government and other grants. During the three and six months ended June 30, 2026, we generated $0.4 million and $0.9 million, respectively, in product revenue from sales of Symvess, compared with $0.1 million and $0.2 million, respectively, for the three and six months ended June 30, 2025. The remainder of our revenue has been derived from contracts. From inception through June 30, 2026, we have been awarded grants, including grants from the California Institute of Regenerative Medicine, the National Institutes of Health, and the Department of Defense, to support our development, production scaling and clinical trials of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generate revenue in the future from government and other grants, payments from future license or collaboration agreements and from product sales of our ATEVs in the vascular trauma indication and any of our product candidates that receive marketing approval.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goods sold consists of manufacturing costs associated with the production of Symvess, including materials, direct labor and manufacturing-related overhead. Cost of goods sold also includes royalty expense related to product sales, overhead associated with unused production capacity, and inventory reserves recorded to adjust inventory to its estimated net realizable value. Prior to FDA approval of Symvess for the vascular trauma indication in December 2024, manufacturing and material costs incurred in connection with product development were expensed as research and development costs as incurred, as commercialization and future economic benefit were not yet considered probable. Beginning in 2025, following commercialization of Symvess, certain manufacturing-related payroll and overhead costs previously included within research and development expenses were capitalized to inventory and recognized in cost of goods sold as product is sold. During the three and six months ended June 30, 2026, we recorded an inventory reserve to adjust certain inventory balances to the estimated net realizable value, which is reflected within cost of goods sold in the condensed consolidated statements of operations and comprehensive (loss) income.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our recent shift in focus to the sale of Symvess for the vascular trauma indication, we have historically focused, and continue to focus a substantial portion of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salaries and related overhead expenses for personnel in research and development functions, including stock-based compensation and benefits;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facility lease and maintenance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of leasehold improvements, laboratory equipment and computers;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purchasing raw materials and producing our product candidates for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our manufacturing development and expanded-capabilities initiatives;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fees related to in-licensed technologies.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majority of our research and development resources are currently focused on our Phase 2 and 3 clinical trials for our 6 millimeter ATEV, other work needed to obtain marketing approval for our 6 millimeter ATEV for use in AV access in hemodialysis, and preparation for a planned Phase 2a study of the 3.5 millimeter coronary tissue engineered vessel (CTEV) in coronary artery bypass grafting (CABG).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Direct expenses for our vascular trauma and AV access for hemodialysis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expense and results of our preclinical development activities, our ongoing clinical trials and any additional clinical trials that we may conduct, and other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marketing approvals from applicable regulatory authorities including the FDA and non-U.S.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refinement of clinical and commercial manufacturing capabilities or making arrangements with third-party manufacturers in order to ensure that it or its third-party manufacturers are able to successfully manufacture our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Symvess and our product candidates,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market acceptance of Symvess and any product candidates that obtain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following approval of Symvess in the vascular trauma indication and in any other indications for which approval may be granted, or for any of our product candidates, if approved.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general and administrative expenses will continue to increase for the foreseeable future to support our expanded infrastructure and increased costs of operating as a public company and as we commercialize Symvess in the United States and seek marketing approval for Symvess outside of the United States.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(iii) interest expense incurred on our Term Loan Facility, finance leases, and our former Purchase Agreement during the periods each were outstanding, and (iv) the change in fair value of our derivative liabilities and assets, including the private placement Common Stock warrant liabilities related to the Private Placement Warrants, which we assumed in connection with the Merger; Common Stock warrant liabilities related to our Registered Direct Offerings; the warrant liability related to the Loan Agreement; the former contingent derivative liability related to the terminated Purchase Agreement; a former liability related to a freestanding option agreement related to the terminated Purchase Agreement; a derivative liability related to our agreement with JDRF; a derivative liability related to the Loan Agreement; and a derivative asset related to our Common Stock Purchase Agreement, all of which are subject to remeasurement to fair value at each balance sheet date each liability is outstanding, resulting in a non-cash gain or loss.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b/>
          <w:color w:val="000000"/>
          <w:sz w:val="20"/>
        </w:rPr>
      </w:pPr>
      <w:bookmarkStart w:id="23" w:name="section28"/>
      <w:bookmarkEnd w:id="23"/>
      <w:r>
        <w:rPr>
          <w:rFonts w:ascii="Times New Roman" w:hAnsi="Times New Roman"/>
          <w:b/>
          <w:color w:val="000000"/>
          <w:sz w:val="20"/>
        </w:rPr>
        <w:t>Results of Operations</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Comparison of the Three Months Ended June 30, 2026 and 2025</w:t>
      </w:r>
    </w:p>
    <w:tbl>
      <w:tblPr>
        <w:tblW w:w="9689" w:type="dxa"/>
        <w:jc w:val="left"/>
        <w:tblInd w:w="0" w:type="dxa"/>
        <w:tblLayout w:type="fixed"/>
        <w:tblCellMar>
          <w:top w:w="28" w:type="dxa"/>
          <w:left w:w="28" w:type="dxa"/>
          <w:bottom w:w="28" w:type="dxa"/>
          <w:right w:w="28" w:type="dxa"/>
        </w:tblCellMar>
      </w:tblPr>
      <w:tblGrid>
        <w:gridCol w:w="4611"/>
        <w:gridCol w:w="146"/>
        <w:gridCol w:w="216"/>
        <w:gridCol w:w="756"/>
        <w:gridCol w:w="170"/>
        <w:gridCol w:w="149"/>
        <w:gridCol w:w="216"/>
        <w:gridCol w:w="756"/>
        <w:gridCol w:w="166"/>
        <w:gridCol w:w="146"/>
        <w:gridCol w:w="211"/>
        <w:gridCol w:w="631"/>
        <w:gridCol w:w="166"/>
        <w:gridCol w:w="146"/>
        <w:gridCol w:w="146"/>
        <w:gridCol w:w="481"/>
        <w:gridCol w:w="576"/>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(26,996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(36,802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rFonts w:ascii="Times New Roman" w:hAnsi="Times New Roman"/>
          <w:color w:val="000000"/>
          <w:sz w:val="20"/>
        </w:rPr>
      </w:pPr>
      <w:r>
        <w:rPr>
          <w:rFonts w:ascii="Times New Roman" w:hAnsi="Times New Roman"/>
          <w:color w:val="000000"/>
          <w:sz w:val="20"/>
        </w:rPr>
        <w:t>Total revenue was $0.4 million for the three months ended June 30, 2026, compared with $0.3 million revenue for the three months ended June 30, 2025. Revenue for the three months ended June 30, 2026 consisted of product revenue from sales of Symvess in the United States. Revenue for the three months ended June 30, 2025 consisted of $0.1 million of product revenue from sales of Symvess in the United States and $0.2 million of revenue earned related to research and development services pursuant to a research contract with a large medical technology company.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goods sold was $1.2 million for the three months ended June 30, 2026, compared to $0.2 million for the three months ended June 30, 2025. During the three months ended June 30, 2026, cost of goods sold included a $0.7 million inventory reserve to reduce certain inventory to its estimated net realizable value, $0.1 million in costs associated with excess capacity, and royalties on product sales.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research and development expenses for the periods indicated:</w:t>
      </w:r>
    </w:p>
    <w:tbl>
      <w:tblPr>
        <w:tblW w:w="8865" w:type="dxa"/>
        <w:jc w:val="left"/>
        <w:tblInd w:w="0" w:type="dxa"/>
        <w:tblLayout w:type="fixed"/>
        <w:tblCellMar>
          <w:top w:w="28" w:type="dxa"/>
          <w:left w:w="28" w:type="dxa"/>
          <w:bottom w:w="28" w:type="dxa"/>
          <w:right w:w="28" w:type="dxa"/>
        </w:tblCellMar>
      </w:tblPr>
      <w:tblGrid>
        <w:gridCol w:w="3711"/>
        <w:gridCol w:w="146"/>
        <w:gridCol w:w="231"/>
        <w:gridCol w:w="741"/>
        <w:gridCol w:w="160"/>
        <w:gridCol w:w="160"/>
        <w:gridCol w:w="231"/>
        <w:gridCol w:w="741"/>
        <w:gridCol w:w="146"/>
        <w:gridCol w:w="146"/>
        <w:gridCol w:w="211"/>
        <w:gridCol w:w="631"/>
        <w:gridCol w:w="166"/>
        <w:gridCol w:w="146"/>
        <w:gridCol w:w="146"/>
        <w:gridCol w:w="376"/>
        <w:gridCol w:w="776"/>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Vascular Trauma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 Access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$18.1 million for the three months ended June 30, 2026, a decrease of $3.9 million, or 18%, compared with $22.0 million for the three months ended June 30, 2025. The decrease was primarily attributable to a $4.9 million reduction in materials and supplies expense, which was higher in the prior-year period due to non-commercial manufacturing production runs. The decrease was partially offset by a $1.5 million increase in other research and development expenses, primarily due to a $1.6 million decrease in the capitalization of manufacturing overhead costs in the current-year period resulting from fewer manufacturing runs compared to the prior-year period.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were comparable at $8.0 million and $7.8 million for the three months ended June 30, 2026 and 2025, respectively.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Total 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other expense, net was $9.8 million for the three months ended June 30, 2026, compared with $7.9 million for the three months ended June 30, 2025. The $1.9 million expense increase was primarily attributable to a $4.4 million increase in the non-cash loss from the fair value remeasurement of derivative liabilities, partially offset by a $2.8 million non-cash gain from the fair value remeasurement of the Contingent Earnout Liability.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Comparison of the Six Months Ended June 30, 2026 and 2025</w:t>
      </w:r>
    </w:p>
    <w:tbl>
      <w:tblPr>
        <w:tblW w:w="9737" w:type="dxa"/>
        <w:jc w:val="left"/>
        <w:tblInd w:w="0" w:type="dxa"/>
        <w:tblLayout w:type="fixed"/>
        <w:tblCellMar>
          <w:top w:w="28" w:type="dxa"/>
          <w:left w:w="28" w:type="dxa"/>
          <w:bottom w:w="28" w:type="dxa"/>
          <w:right w:w="28" w:type="dxa"/>
        </w:tblCellMar>
      </w:tblPr>
      <w:tblGrid>
        <w:gridCol w:w="4611"/>
        <w:gridCol w:w="146"/>
        <w:gridCol w:w="211"/>
        <w:gridCol w:w="736"/>
        <w:gridCol w:w="166"/>
        <w:gridCol w:w="146"/>
        <w:gridCol w:w="211"/>
        <w:gridCol w:w="736"/>
        <w:gridCol w:w="166"/>
        <w:gridCol w:w="146"/>
        <w:gridCol w:w="211"/>
        <w:gridCol w:w="736"/>
        <w:gridCol w:w="166"/>
        <w:gridCol w:w="146"/>
        <w:gridCol w:w="146"/>
        <w:gridCol w:w="481"/>
        <w:gridCol w:w="576"/>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n/m</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rFonts w:ascii="Times New Roman" w:hAnsi="Times New Roman"/>
          <w:color w:val="000000"/>
          <w:sz w:val="20"/>
        </w:rPr>
      </w:pPr>
      <w:r>
        <w:rPr>
          <w:rFonts w:ascii="Times New Roman" w:hAnsi="Times New Roman"/>
          <w:color w:val="000000"/>
          <w:sz w:val="20"/>
        </w:rPr>
        <w:t>Total revenue was $0.9 million for the six months ended June 30, 2026, compared with $0.8 million revenue for the six months ended June 30, 2025. Revenue for the six months ended June 30, 2026 consisted primarily of product revenue from sales of Symvess in the United States. Revenue for the six months ended June 30, 2025 consisted of $0.2 million of product revenue from sales of Symvess in the United States and $0.6 million of revenue earned related to research and development services pursuant to a research contract with a large medical technology company.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goods sold was $3.3 million for the six months ended June 30, 2026, compared to $0.4 million for the six months ended June 30, 2025. During the six months ended June 30, 2026, cost of goods sold included a $2.3 million inventory reserve to reduce certain inventory to its estimated net realizable value, $0.3 million in costs associated with excess capacity, and royalties on product sales.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research and development expenses for the periods indicated:</w:t>
      </w:r>
    </w:p>
    <w:tbl>
      <w:tblPr>
        <w:tblW w:w="8609" w:type="dxa"/>
        <w:jc w:val="left"/>
        <w:tblInd w:w="0" w:type="dxa"/>
        <w:tblLayout w:type="fixed"/>
        <w:tblCellMar>
          <w:top w:w="28" w:type="dxa"/>
          <w:left w:w="28" w:type="dxa"/>
          <w:bottom w:w="28" w:type="dxa"/>
          <w:right w:w="28" w:type="dxa"/>
        </w:tblCellMar>
      </w:tblPr>
      <w:tblGrid>
        <w:gridCol w:w="3711"/>
        <w:gridCol w:w="146"/>
        <w:gridCol w:w="211"/>
        <w:gridCol w:w="677"/>
        <w:gridCol w:w="146"/>
        <w:gridCol w:w="146"/>
        <w:gridCol w:w="211"/>
        <w:gridCol w:w="677"/>
        <w:gridCol w:w="146"/>
        <w:gridCol w:w="146"/>
        <w:gridCol w:w="211"/>
        <w:gridCol w:w="571"/>
        <w:gridCol w:w="166"/>
        <w:gridCol w:w="146"/>
        <w:gridCol w:w="146"/>
        <w:gridCol w:w="376"/>
        <w:gridCol w:w="776"/>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Vascular Trauma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comparable at $37.6 million and $37.4 million for the six months ended June 30, 2026 and 2025, respectively. Other research and development expenses increased by $1.8 million compared to the prior-year period, primarily due to a reduction in capitalized manufacturing overhead costs resulting from fewer manufacturing runs. This increase was partially offset by decreases of $0.6 million in materials and supplies expense and $0.9 million in professional and consulting costs included in external services expense, primarily due to the wind-down of certain programs.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were $16.0 million for each of the six months ended June 30, 2026 and 2025.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Total 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other income, net was $1.5 million for the six months ended June 30, 2026, compared with $54.4 million for the six months ended June 30, 2025. The $52.9 million decrease was primarily attributable to lower non-cash gains, including decreases of $42.3 million from the fair value remeasurement of the Contingent Earnout Liability and $10.8 million from the fair value remeasurement of derivative liabilities.</w:t>
      </w:r>
    </w:p>
    <w:p>
      <w:pPr>
        <w:pStyle w:val="TextBody"/>
        <w:bidi w:val="0"/>
        <w:spacing w:before="200" w:after="283"/>
        <w:jc w:val="left"/>
        <w:rPr>
          <w:rFonts w:ascii="Times New Roman" w:hAnsi="Times New Roman"/>
          <w:b/>
          <w:color w:val="000000"/>
          <w:sz w:val="20"/>
        </w:rPr>
      </w:pPr>
      <w:bookmarkStart w:id="24" w:name="section29"/>
      <w:bookmarkEnd w:id="24"/>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are a commercial-stage biotechnology platform company, we have a single product approved for commercial sale and generated $0.4 million and $0.9 million of product revenue from sales of Symvess during the three and six months ended June 30, 2026, respectively, compared with $0.1 million and $0.2 million, respectively, for the three and six months ended June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historically financed our operations primarily through the sale of equity securities and convertible debt, borrowings under loan facilities, including the Term Loan Facility, the Purchase Agreement, and, to a lesser extent, through grants from governmental and other agencies. Since our inception, we have incurred significant operating losses and negative cash flows. As of June 30, 2026 and December 31, 2025, we had an accumulated deficit of $781.3 million and $726.8 million,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we had working capital of $77.8 million and $49.4 million, respectively. As of June 30, 2026 and December 31, 2025, we had cash and cash equivalents of $79.9 million and $50.5 million, respectively, and restricted cash of $0.4 million as of both 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will not have sufficient liquidity to fund our operations beyond one year from the issuance of these interim financial statements if we are unable to generate sufficient cash flows from commercial sales on a timely basis and/or obtain additional capital. These factors raise substantial doubt about our ability to continue as a going concern. Our future viability is dependent on our ability to generate cash flows from the sale of Symvess and raise additional capital to finance our operations. As further disclosed in Note 10, in May 2026, we implemented a plan to reduce our workforce by approximately 45 employees, defer additional planned new hires, and reduce other operating expenses. These reductions have been implemented thoughtfully, and we have retained key personnel, resources, and initiatives to meet our key corporate goals and milestones. We plan to seek additional funding through private or public equity financings, debt financings, debt refinancings or restructurings, collaborations, strategic alliances, and marketing, distribution or licensing arrangements. Adequate additional capital may not be available to us when needed or on acceptable terms. If we are unable to raise capital, we plan to implement a program that delays, reduces, suspends or ceases certain of our planned capital expenditures, research and development programs or any future commercialization efforts, which would have a negative impact on our business, prospects, operating results and financial condition. The accompanying unaudited condensed consolidated financial statements contained in Part I, Item 1 of this Quarterly Report on Form 10-Q have been prepared assuming that we will continue as a going concern and contemplate the realization of assets and the satisfaction of liabilities in the normal course of business. The accompanying condensed consolidated financial statements do not include any adjustments related to the recoverability and classification of assets or the amounts and classification of liabilities or any other adjustments that might be necessary should we be unable to continue as a going concern.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 Organization and Description of Business, to our accompanying condensed consolidated financial statements included elsewhere in this Quarterly Report for additional information regarding this assessment.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June 30, 2026, we had completed sales of shares under the Common Stock Purchase Agreement that provided $2.5 million in gross proceeds, and as of June 30, 2026, we had $47.5 million in remaining availability for sales of our Common Stock under our Common Stock Purchase Agreement with Lincoln Park.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25, 2025, we entered into an underwriting agreement in connection with the 2025 Public Offering. The net proceeds to us from the 2025 Public Offering were approximately $46.7 million, after deducting underwriting discounts and commissions and offering expenses. The 2025 Public Offering closed on March 27,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6, 2025, we entered into a securities purchase agreement with institutional investors pursuant to which the investors purchased approximately $60.0 million of Common Stock and October 2025 RDO Warrants in the October 2025 Registered Direct Offering. The net proceeds to us from the October 2025 Registered Direct Offering were approximately $56.5 million, after deducting placement agent’s fees and offering expenses of approximately $3.5 million. The October 2025 Registered Direct Offering closed on October 8, 2025.</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On December 15, 2025, we entered into the Loan Agreement with Avenue Venture Opportunities Fund II, L.P., as administrative agent and collateral agent for the lenders, which provides for a Term Loan Facility of up to $77.5 million in the aggregate that matures on December 1, 2029. The Term Loan Facility consists of (i) an initial term loan of $40.0 million, which was fully funded on December 15, 2025, (ii) a $12.5 million delayed draw term loan which will be made available between October 1, 2026 and March 31, 2027, subject to the satisfaction of certain revenue, regulatory approval and liquidity conditions, and (iii) a $25.0 million delayed draw term loan which will be made available at the discretion of the lenders between July 1, 2027 and June 30, 2028, subject to the satisfaction of certain revenue, regulatory approval and liquidity conditions. The proceeds from the initial term loan were used primarily to repay the remaining obligations under the Purchase Agreement, as discussed below.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On March 19, 2026, we entered into certain securities purchase agreements pursuant to which we agreed to issue and sell to certain investors in a registered direct offering 25,000,000 shares of Common Stock at a price of $0.80 per share (the “March 2026 Registered Direct Offering”). The net proceeds to us from the March 2026 Registered Direct Offering were approximately $18.3 million, after deducting the placement agent’s fees and offering expenses of approximately $0.4 million. The March 2026 Registered Direct Offering closed on March 20,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10, 2026, we entered into an underwriting agreement with Barclays Capital Inc., BTIG, LLC and Titan Partners Group LLC, a division of American Capital Partners, LLC, as representatives of the several underwriters named therein, relating to the 2026 Public Offering. In the 2026 Public Offering, we sold the 2026 Firm Shares, consisting of 47,619,048 shares of Common Stock, at a price to the public of $1.05 per share. We also granted the underwriters a 30-day option to purchase up to an additional 7,142,857 shares of Common Stock at the same price as the 2026 Firm Shares, which the underwriters exercised on June 15, 2026. Our net proceeds from the 2026 Public Offering, including the sale of the 2026 Option Shares, were approximately $53.8 million after deducting underwriting discounts and commissions and offering expenses. The sale of the 2026 Firm Shares closed on June 12, 2026 and the sale of 2026 Option Shares closed on June 16, 2026.</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ATM Facilities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September 1, 2022, we entered into a sales agreement with Jefferies LLC, acting as sales agent (the “Jefferies ATM Sales Agreement”), for the sale from time to time of up to $80.0 million of shares of Common Stock (the “Jefferies ATM Facility”). During the six months ended June 30, 2025, we sold an aggregate of 1,299,870 shares of Common Stock under the ATM Facility at an average price of $2.86 per share for net proceeds of approximately $3.6 million after deducting sales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commissions of approximately $0.1 million. On November 21, 2025, we delivered a notice to Jefferies LLC terminating the Jefferies ATM Sales Agreement, which termination became effective 10 days thereafter.</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December 16, 2025, we entered into a sales agreement with TD Cowen, acting as sales agent (the “TD Cowen ATM Facility”), pursuant to which we may sell shares of Common Stock from time to time up to an aggregate offering price of $60.0 million. During the six months ended June 30, 2026, we sold an aggregate of 4,018,497 shares of Common Stock under the TD Cowen ATM Facility at an average price of $1.16 per share for net proceeds of approximately $4.6 million. </w:t>
      </w:r>
      <w:r>
        <w:rPr>
          <w:rFonts w:ascii="Times New Roman" w:hAnsi="Times New Roman"/>
          <w:color w:val="231F20"/>
          <w:sz w:val="20"/>
        </w:rPr>
        <w:t xml:space="preserve">All such sales occurred during the first quarter of 2026. </w:t>
      </w:r>
      <w:r>
        <w:rPr>
          <w:rFonts w:ascii="Times New Roman" w:hAnsi="Times New Roman"/>
          <w:color w:val="000000"/>
          <w:sz w:val="20"/>
        </w:rPr>
        <w:t>On March 19, 2026, we suspended and terminated the ATM Prospectus pursuant to which shares had been sold under the TD Cowen ATM Facility.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Material Cash Requirements</w:t>
      </w:r>
    </w:p>
    <w:p>
      <w:pPr>
        <w:pStyle w:val="TextBody"/>
        <w:bidi w:val="0"/>
        <w:spacing w:before="200" w:after="283"/>
        <w:jc w:val="left"/>
        <w:rPr>
          <w:rFonts w:ascii="Times New Roman" w:hAnsi="Times New Roman"/>
          <w:sz w:val="20"/>
        </w:rPr>
      </w:pPr>
      <w:r>
        <w:rPr>
          <w:rFonts w:ascii="Times New Roman" w:hAnsi="Times New Roman"/>
          <w:color w:val="000000"/>
          <w:sz w:val="20"/>
        </w:rPr>
        <w:t>Our known material cash requirements include: (1) the purchase of supplies and services that are primarily for research and development; (2) manufacturing and commercialization expenditures; (3) employee wages, benefits, and incentives; (4) finance lease payments (for additional information see below); and (5) debt service obligations under our senior secured Term Loan Facility (for additional information, see below and Note 6, Debt, to</w:t>
      </w:r>
      <w:r>
        <w:rPr>
          <w:rFonts w:ascii="Times New Roman" w:hAnsi="Times New Roman"/>
          <w:color w:val="231F20"/>
          <w:sz w:val="20"/>
        </w:rPr>
        <w:t xml:space="preserve"> our unaudited condensed consolidated financial statements contained elsewhere in this Quarterly Report</w:t>
      </w:r>
      <w:r>
        <w:rPr>
          <w:rFonts w:ascii="Times New Roman" w:hAnsi="Times New Roman"/>
          <w:color w:val="000000"/>
          <w:sz w:val="20"/>
        </w:rPr>
        <w:t>).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Under the senior secured Term Loan Facility (see Note 6 </w:t>
      </w:r>
      <w:r>
        <w:rPr>
          <w:rFonts w:ascii="Times New Roman" w:hAnsi="Times New Roman"/>
          <w:color w:val="231F20"/>
          <w:sz w:val="20"/>
        </w:rPr>
        <w:t>to our unaudited condensed consolidated financial statements contained elsewhere in this Quarterly Report</w:t>
      </w:r>
      <w:r>
        <w:rPr>
          <w:rFonts w:ascii="Times New Roman" w:hAnsi="Times New Roman"/>
          <w:color w:val="000000"/>
          <w:sz w:val="20"/>
        </w:rPr>
        <w:t xml:space="preserve">), we are required to make monthly interest payments beginning in January 2026 at a variable rate equal to the greater of 11.50% or the Wall Street Journal Prime Rate plus 4.50%. We are not required to make scheduled principal payments until December 1, 2027, or December 1, 2028 if the second tranche is funded, after which principal will be repaid in equal monthly installments through maturity in December 2029. In addition, the facility includes a contractual final payment fee of $2.4 million due at maturity. Because the interest rate is variable, our future interest expense and related cash interest payments may increase or decrease based on changes in rates. The Loan Agreement contains customary affirmative and negative covenants, certain liquidity requirements and customary events of default, and is secured by substantially all of our assets. See Note 6 </w:t>
      </w:r>
      <w:r>
        <w:rPr>
          <w:rFonts w:ascii="Times New Roman" w:hAnsi="Times New Roman"/>
          <w:color w:val="231F20"/>
          <w:sz w:val="20"/>
        </w:rPr>
        <w:t>to our unaudited condensed consolidated financial statements contained elsewhere in this Quarterly Report.</w:t>
      </w:r>
    </w:p>
    <w:p>
      <w:pPr>
        <w:pStyle w:val="TextBody"/>
        <w:bidi w:val="0"/>
        <w:spacing w:before="200" w:after="283"/>
        <w:jc w:val="left"/>
        <w:rPr>
          <w:rFonts w:ascii="Times New Roman" w:hAnsi="Times New Roman"/>
          <w:sz w:val="20"/>
        </w:rPr>
      </w:pPr>
      <w:r>
        <w:rPr>
          <w:rFonts w:ascii="Times New Roman" w:hAnsi="Times New Roman"/>
          <w:color w:val="000000"/>
          <w:sz w:val="20"/>
        </w:rPr>
        <w:t>As of June 30, 2026, we had non-cancellable purchase com</w:t>
      </w:r>
      <w:r>
        <w:rPr>
          <w:rFonts w:ascii="Times New Roman" w:hAnsi="Times New Roman"/>
          <w:color w:val="231F20"/>
          <w:sz w:val="20"/>
        </w:rPr>
        <w:t>mitments of $22.3 million for supplies and services that are primarily for research and 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June 30, 2026. For additional information regarding our agreement with Fresenius Medical Care, see Note 11, Related Party Transactions, to our unaudited condensed consolidated financial statements contained elsewhere in this Quarterly Report. For additional information regarding our agreements with Duke University, Yale University and JDRF, see Note 10 to our unaudited condensed consolidated financial statements contained elsewhere in this Quarterly Report.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Leases</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Our finance lease relates to our headquarters facility containing our manufacturing, research and development and general and administrative functions, which was substantially completed in June 2018. Our future contractual obligations under our lease agreement as of June 30, 2026 are as follows:</w:t>
      </w:r>
    </w:p>
    <w:tbl>
      <w:tblPr>
        <w:tblW w:w="7152"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571"/>
        <w:gridCol w:w="146"/>
        <w:gridCol w:w="146"/>
        <w:gridCol w:w="243"/>
        <w:gridCol w:w="657"/>
        <w:gridCol w:w="146"/>
        <w:gridCol w:w="146"/>
        <w:gridCol w:w="243"/>
        <w:gridCol w:w="657"/>
        <w:gridCol w:w="146"/>
        <w:gridCol w:w="146"/>
        <w:gridCol w:w="211"/>
        <w:gridCol w:w="676"/>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incur significant expenses in connection with our ongoing activities as we seek to (i) continue to sell Symvess for the vascular trauma indication and seek marketing approval for Symvess in additional indications and for our product candidates in the United States and to obtain marketing approval for our 6 millimeter ATEV outside of the United States; (ii) continue clinical development of our 6 millimeter ATEV for use in AV access for hemodialysis and submit a BLA for FDA approval of an indication in AV access for hemodialysis; (iii) advance our pipeline in major markets, including PAD Phase 3 trials and continue preclinical development and advance to planned clinical studies in CABG and BVP for diabetes; and (iv) scale out our manufacturing facility as required to satisfy market demand. We will need additional funding in connection with these activities.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future funding requirements, both short-term and long-term, will depend on many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and timing of our future commercialization activities, including product manufacturing, marketing and distribution for Symvess in the United States, and any other product candidate for which we receive marketing approval in the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 and timing of revenues that we receive from commercial sales of Symvess and any product candidates for which we receive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progress and results of our clinical trials and interpretation of those results by the FDA and other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timing and outcome of regulatory review of our product candidates, particularly for marketing approval of Symvess outside of the United States and of our product candidates in the United States;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scope, progress, results and costs of preclinical development, laboratory testing and clinical trials for our additional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and timing of preparing, filing and prosecuting patent applications, maintaining and enforcing our intellectual property rights and defending any intellectual property-related claims;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Until such time, if ever, as we are able to successfully commercialize Symvess and to develop and commercialize our product candidates, we expect to continue financing our operations through equity financings, debt financings, debt refinancings or restructurings or through potential collaborations with other companies, other strategic transactions or government or other grants. Adequate capital may not be available to us when needed or on acceptable terms.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additional fixed payment obligations. If we are unable to raise capital, we plan to implement a program that delays, reduces, suspends or ceases our planned capital expenditures, research and development programs or any future commercialization efforts, which would have a negative impact on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principal use of cash in recent periods has been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that we receive from commercial sales.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section of our Annual Report entitled “Risk Factors” for additional risks associated with our substantial capital requirements.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shows a summary of our cash flows for each of the periods shown below:</w:t>
      </w:r>
    </w:p>
    <w:tbl>
      <w:tblPr>
        <w:tblW w:w="10205" w:type="dxa"/>
        <w:jc w:val="left"/>
        <w:tblInd w:w="0" w:type="dxa"/>
        <w:tblLayout w:type="fixed"/>
        <w:tblCellMar>
          <w:top w:w="28" w:type="dxa"/>
          <w:left w:w="28" w:type="dxa"/>
          <w:bottom w:w="28" w:type="dxa"/>
          <w:right w:w="28" w:type="dxa"/>
        </w:tblCellMar>
      </w:tblPr>
      <w:tblGrid>
        <w:gridCol w:w="7442"/>
        <w:gridCol w:w="146"/>
        <w:gridCol w:w="211"/>
        <w:gridCol w:w="736"/>
        <w:gridCol w:w="166"/>
        <w:gridCol w:w="146"/>
        <w:gridCol w:w="211"/>
        <w:gridCol w:w="736"/>
        <w:gridCol w:w="411"/>
      </w:tblGrid>
      <w:tr>
        <w:trPr/>
        <w:tc>
          <w:tcPr>
            <w:tcW w:w="7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Non-cash adjustments to reconcile net (loss) income to net cash used in operating activities</w:t>
            </w:r>
            <w:r>
              <w:rPr>
                <w:rFonts w:ascii="Times New Roman" w:hAnsi="Times New Roman"/>
                <w:color w:val="000000"/>
                <w:sz w:val="13"/>
              </w:rPr>
              <w:t>(a)</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Primarily includes depreciation; amortization related to our leases; stock-based compensation expense; non-cash interest expense related to our revenue interest liability, our JDRF Award liability (defined above), and our Term Loan Facility (defined above); amortization of debt discount related to our Term Loan Facility; the changes in fair value of our Contingent Earnout Liability (defined above) and our derivative liabilities and asset; and inventory write-down to net realizable value.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Cash Flow from Operating Activities</w:t>
      </w:r>
    </w:p>
    <w:p>
      <w:pPr>
        <w:pStyle w:val="TextBody"/>
        <w:bidi w:val="0"/>
        <w:spacing w:before="200" w:after="283"/>
        <w:jc w:val="left"/>
        <w:rPr>
          <w:rFonts w:ascii="Times New Roman" w:hAnsi="Times New Roman"/>
          <w:sz w:val="20"/>
        </w:rPr>
      </w:pPr>
      <w:r>
        <w:rPr>
          <w:rFonts w:ascii="Times New Roman" w:hAnsi="Times New Roman"/>
          <w:color w:val="231F20"/>
          <w:sz w:val="20"/>
        </w:rPr>
        <w:t>Net cash used in operating activities decreased by $7.8 million for the</w:t>
      </w:r>
      <w:r>
        <w:rPr>
          <w:rFonts w:ascii="Times New Roman" w:hAnsi="Times New Roman"/>
          <w:color w:val="000000"/>
          <w:sz w:val="20"/>
        </w:rPr>
        <w:t xml:space="preserve"> six months ended June 30, 2026, compared with the</w:t>
      </w:r>
      <w:r>
        <w:rPr>
          <w:rFonts w:ascii="Times New Roman" w:hAnsi="Times New Roman"/>
          <w:color w:val="231F20"/>
          <w:sz w:val="20"/>
        </w:rPr>
        <w:t xml:space="preserve"> </w:t>
      </w:r>
      <w:r>
        <w:rPr>
          <w:rFonts w:ascii="Times New Roman" w:hAnsi="Times New Roman"/>
          <w:color w:val="000000"/>
          <w:sz w:val="20"/>
        </w:rPr>
        <w:t>six months ended June 30, 2025. The decrease was primarily attributable to a favorable year-over-year change in manufacturing runs and inventory build. This decrease in cash used was partially offset by net unfavorable changes in other working capital components, including prepaid expenses, other current assets, and accounts payable.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Cash Flow from Investing Activities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Net cash used in investing activities for </w:t>
      </w:r>
      <w:r>
        <w:rPr>
          <w:rFonts w:ascii="Times New Roman" w:hAnsi="Times New Roman"/>
          <w:color w:val="000000"/>
          <w:sz w:val="20"/>
        </w:rPr>
        <w:t xml:space="preserve">the six months ended June 30, 2026 and 2025 consisted of purchases of property and equipment.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Cash Flow from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consisted primarily of $18.3 million of net proceeds from our March 2026 Registered Direct Offering, $53.8 million of net proceeds from our 2026 Public Offering and $4.6 million of net proceeds from the issuance of stock under our TD Cowen ATM Facility. Net cash provided by financing activities for the six months ended June 30, 2025 consisted primarily of $46.7 million of net proceeds from our 2025 Public Offering and $3.6 million of net proceeds from the issuance of stock under our Jefferies ATM Facility.</w:t>
      </w:r>
    </w:p>
    <w:p>
      <w:pPr>
        <w:pStyle w:val="TextBody"/>
        <w:bidi w:val="0"/>
        <w:spacing w:before="200" w:after="283"/>
        <w:jc w:val="left"/>
        <w:rPr>
          <w:rFonts w:ascii="Times New Roman" w:hAnsi="Times New Roman"/>
          <w:sz w:val="20"/>
        </w:rPr>
      </w:pPr>
      <w:r>
        <w:rPr>
          <w:rFonts w:ascii="Times New Roman" w:hAnsi="Times New Roman"/>
          <w:i/>
          <w:color w:val="231F20"/>
          <w:sz w:val="20"/>
        </w:rPr>
        <w:t>Off-Balance</w:t>
      </w:r>
      <w:r>
        <w:rPr>
          <w:rFonts w:ascii="Times New Roman" w:hAnsi="Times New Roman"/>
          <w:color w:val="000000"/>
          <w:sz w:val="20"/>
        </w:rPr>
        <w:t xml:space="preserve"> </w:t>
      </w:r>
      <w:r>
        <w:rPr>
          <w:rFonts w:ascii="Times New Roman" w:hAnsi="Times New Roman"/>
          <w:i/>
          <w:color w:val="000000"/>
          <w:sz w:val="20"/>
        </w:rPr>
        <w:t>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periods presented, we did not have, and we do not currently have, any off-balance sheet arrangements as defined by SEC rules and regulations.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b/>
          <w:i/>
          <w:color w:val="000000"/>
          <w:sz w:val="20"/>
        </w:rPr>
      </w:pPr>
      <w:bookmarkStart w:id="25" w:name="section30"/>
      <w:bookmarkEnd w:id="25"/>
      <w:r>
        <w:rPr>
          <w:rFonts w:ascii="Times New Roman" w:hAnsi="Times New Roman"/>
          <w:b/>
          <w:i/>
          <w:color w:val="000000"/>
          <w:sz w:val="20"/>
        </w:rPr>
        <w:t>Critical Accounting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is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estimates as compared to those disclosed in our audited consolidated financial statements as of and for the years ended December 31, 2025 and 2024, included in our Annual Report.</w:t>
      </w:r>
    </w:p>
    <w:p>
      <w:pPr>
        <w:pStyle w:val="TextBody"/>
        <w:bidi w:val="0"/>
        <w:spacing w:before="200" w:after="283"/>
        <w:jc w:val="left"/>
        <w:rPr>
          <w:rFonts w:ascii="Times New Roman" w:hAnsi="Times New Roman"/>
          <w:b/>
          <w:i/>
          <w:color w:val="000000"/>
          <w:sz w:val="20"/>
        </w:rPr>
      </w:pPr>
      <w:bookmarkStart w:id="26" w:name="section31"/>
      <w:bookmarkEnd w:id="26"/>
      <w:r>
        <w:rPr>
          <w:rFonts w:ascii="Times New Roman" w:hAnsi="Times New Roman"/>
          <w:b/>
          <w:i/>
          <w:color w:val="000000"/>
          <w:sz w:val="20"/>
        </w:rPr>
        <w:t>Smaller Reporting Company Status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“smaller reporting company” as defined in Item 10(f)(1) of Regulation S-K under the Exchange Act (“Regulation S-K”), and may continue to qualify as such even after we no longer qualify as an emerging growth company.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the second fiscal quarter are less than $100 million and the market value of Common Stock held by non-affiliates is less than $700 million as of the last business day of the second fiscal quarter.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b/>
          <w:color w:val="000000"/>
          <w:sz w:val="20"/>
        </w:rPr>
      </w:pPr>
      <w:bookmarkStart w:id="27" w:name="quantitative_and_qualitative_disclosures"/>
      <w:bookmarkEnd w:id="27"/>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qualify as a smaller reporting company, as defined by Item 10 of Regulation S-K and, thus, are not required to provide the information required by this Item.</w:t>
      </w:r>
    </w:p>
    <w:p>
      <w:pPr>
        <w:pStyle w:val="TextBody"/>
        <w:bidi w:val="0"/>
        <w:spacing w:before="200" w:after="283"/>
        <w:jc w:val="left"/>
        <w:rPr>
          <w:rFonts w:ascii="Times New Roman" w:hAnsi="Times New Roman"/>
          <w:b/>
          <w:color w:val="000000"/>
          <w:sz w:val="20"/>
        </w:rPr>
      </w:pPr>
      <w:bookmarkStart w:id="28" w:name="controls_and_procedures"/>
      <w:bookmarkEnd w:id="28"/>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June 30,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13a-15(f) and 15d-15(f) under the Exchange Act) during the three months ended June 30, 2026 that have materially affected, or are reasonably likely to materially affect, our internal control over financial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29" w:name="part_ii_other_information"/>
      <w:bookmarkEnd w:id="29"/>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30" w:name="legal_proceedings"/>
      <w:bookmarkEnd w:id="30"/>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section “Legal Matters” contained in Note 10, Commitments and Contingencies, in the notes to our accompanying condensed consolidated financial statements for additional information.</w:t>
      </w:r>
    </w:p>
    <w:p>
      <w:pPr>
        <w:pStyle w:val="TextBody"/>
        <w:bidi w:val="0"/>
        <w:spacing w:before="200" w:after="283"/>
        <w:jc w:val="left"/>
        <w:rPr>
          <w:rFonts w:ascii="Times New Roman" w:hAnsi="Times New Roman"/>
          <w:b/>
          <w:color w:val="000000"/>
          <w:sz w:val="20"/>
        </w:rPr>
      </w:pPr>
      <w:bookmarkStart w:id="31" w:name="risk_factors"/>
      <w:bookmarkEnd w:id="31"/>
      <w:r>
        <w:rPr>
          <w:rFonts w:ascii="Times New Roman" w:hAnsi="Times New Roman"/>
          <w:b/>
          <w:color w:val="000000"/>
          <w:sz w:val="20"/>
        </w:rPr>
        <w:t>Item 1A. Risk Factors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risk factors are disclosed in Part I, Item 1A of our Annual Report. The risk factors set forth below supplement those disclosures and should be read together with the risk factors in our Annual Report. Except as set forth below, there have been no material changes to the risk factors previously disclosed in our Annual Report during the </w:t>
      </w:r>
      <w:r>
        <w:rPr>
          <w:rFonts w:ascii="Times New Roman" w:hAnsi="Times New Roman"/>
          <w:color w:val="231F20"/>
          <w:sz w:val="20"/>
        </w:rPr>
        <w:t>six months ended June 30, 2026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not successfully execute or achieve the expected benefits of cost-saving measures that we have taken or may take in the future, and our efforts may be disruptive and could adversely affect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May 2026, we implemented a plan to reduce our workforce by approximately 45 employees, defer additional planned new hires, and reduce other operating expenses. These reductions have been implemented thoughtfully, and we have retained key personnel, resources, and initiatives to meet our key corporate goals and milestones. From time to time, we also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in connection with our current cost saving measures, as well as any additional actions we may decide to take in the future may not be successful in yielding our intended results and may not appropriately address either or both of the short-term and long-term strategy for our business. Implementation of our current and any other cost-saving initiatives may be costly and disruptive to our business, the expected costs and charges may be greater than we have forecasted, and the estimated cost savings may be lower than we have forecasted. Certain aspects of the cost saving measures, such as severance costs in connection with reducing our headcount, could negatively impact our cash flows. In addition, our initiatives could result in personnel attrition beyond our planned reduction in headcount or reduced employee morale, which could in turn adversely impact productivity, including through a loss of continuity, loss of accumulated knowledge or inefficiency during transitional periods, or our ability to attract highly skilled employees. Unfavorable publicity about us or any of our strategic initiatives could result in reputation harm and could diminish confidence in, and the adoption or use of, Symvess and our products and product candidates, including our ATEVs and CTEVs.</w:t>
      </w:r>
    </w:p>
    <w:p>
      <w:pPr>
        <w:pStyle w:val="TextBody"/>
        <w:bidi w:val="0"/>
        <w:spacing w:before="200" w:after="283"/>
        <w:jc w:val="left"/>
        <w:rPr>
          <w:rFonts w:ascii="Times New Roman" w:hAnsi="Times New Roman"/>
          <w:sz w:val="20"/>
        </w:rPr>
      </w:pPr>
      <w:r>
        <w:rPr>
          <w:rFonts w:ascii="Times New Roman" w:hAnsi="Times New Roman"/>
          <w:b/>
          <w:i/>
          <w:color w:val="231F20"/>
          <w:sz w:val="20"/>
        </w:rPr>
        <w:t>We have received a notice of delisting or failure to satisfy a continued listing rule from Nasdaq. If we are unable to regain or maintain compliance, our common stock could be delisted, which could adversely affect our stock price, liquidity, and ability to raise capital.</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July 31, 2026, we received a letter from the staff of Nasdaq notifying us that, for the 30 consecutive business days ended July 30, 2026, the closing bid price of our Common Stock was below the minimum $1.00 per share requirement under Nasdaq Listing Rule 5450(a)(1). In accordance with Nasdaq Listing Rule 5810(c)(3)(A), we have been provided an initial period of 180 calendar days, or until January 27, 2027, to regain compliance. To regain compliance, the closing bid price of our Common Stock must be $1.00 per share or more for a minimum of 10 consecutive business days at any time before January 27, 2027. The notice has no immediate effect on the listing of our Common Stock, which continues to trade on The Nasdaq Global Select Market under the symbol “HUMA,” or on our business operations or reporting obligations with the SEC. If we regain compliance, Nasdaq will provide us with written confirmation and close the matter.</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If we do not regain compliance during the initial compliance period, Nasdaq may issue a delisting determination with respect to our Common Stock, which could result in the delisting of our Common Stock from Nasdaq. We intend to monitor the bid price of the Common Stock and will consider options available to us to achieve compliance. However, there can be no assurance that we will regain compliance within the applicable compliance period or otherwise maintain compliance with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Nasdaq’s continued listing requirements. If our Common Stock is delisted from Nasdaq, the market liquidity for our Common Stock could be adversely affected and the trading price of our Common Stock could decline. A delisting could also make it more difficult for us to raise additional capital on acceptable terms, or at all, which could adversely affect our business, financial condition and results of operations.</w:t>
      </w:r>
    </w:p>
    <w:p>
      <w:pPr>
        <w:pStyle w:val="TextBody"/>
        <w:bidi w:val="0"/>
        <w:spacing w:before="240" w:after="283"/>
        <w:jc w:val="left"/>
        <w:rPr>
          <w:rFonts w:ascii="Times New Roman" w:hAnsi="Times New Roman"/>
          <w:b/>
          <w:color w:val="000000"/>
          <w:sz w:val="20"/>
        </w:rPr>
      </w:pPr>
      <w:bookmarkStart w:id="32" w:name="unregistered_sales_of_equity_securities"/>
      <w:bookmarkEnd w:id="32"/>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May 2026, the Company issued warrants to purchase an aggregate of 240,000 shares of Common Stock at an exercise price of $1.11 per share (the “Mayo Clinic Warrants”) to Mayo Clinic in connection with a services agreement under which Dr. Todd E. Rasmussen serves as the Company’s Chief Surgical Officer (the “Mayo Services Agreement”). The shares issuable upon exercise of the Mayo Clinic Warrants may be transferred to Dr. Rasmussen, without prior written consent of the Company, in accordance with Mayo Clinic’s internal royalty-sharing policy and applicable federal and state securities laws. The Mayo Clinic Warrants vest in three equal annual tranches of 80,000 shares of Common Stock per tranche on March 31, 2027, 2028, and 2029, subject to continued effectiveness of the Mayo Services Agreement, and expire on May 27, 2031. The issuance was made pursuant to an exemption from registration contained in Section 4(a)(2) of the Securities Act of 1933, as amended.</w:t>
      </w:r>
    </w:p>
    <w:p>
      <w:pPr>
        <w:pStyle w:val="TextBody"/>
        <w:bidi w:val="0"/>
        <w:spacing w:before="200" w:after="283"/>
        <w:jc w:val="left"/>
        <w:rPr>
          <w:rFonts w:ascii="Times New Roman" w:hAnsi="Times New Roman"/>
          <w:b/>
          <w:color w:val="000000"/>
          <w:sz w:val="20"/>
        </w:rPr>
      </w:pPr>
      <w:bookmarkStart w:id="33" w:name="defaults_upon_senior_securities"/>
      <w:bookmarkEnd w:id="33"/>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34" w:name="mine_safety_disclosures"/>
      <w:bookmarkEnd w:id="34"/>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35" w:name="other_information"/>
      <w:bookmarkEnd w:id="35"/>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3, 2026, Laura E. Niklason, the Company’s President and Chief Executive Officer, adopted a trading arrangement for the sale of Common Stock that is intended to satisfy the affirmative defense conditions provided by Rule 10b5-1(c) under the Exchange Act (the “Niklason 10b5-1 Plan”). The Niklason 10b5-1 Plan provides for the first possible trade date of September 1, 2026 and terminates automatically on the earlier of the execution of all trades contemplated by the Niklason 10b5-1 Plan (or the expiration of all orders relating to such trades), or June 3, 2027. The Niklason 10b5-1 Plan provides for the potential sale of up to an aggregate of 214,420 shares of Common Stock pursuant to its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than as disclosed above, during the three months ended June 30, 2026, no director or officer (as defined in Rule 16a-1(f) under the Exchange Act) of the Company adopted or terminated any “Rule 10b5-1 trading arrangement” or any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left"/>
        <w:rPr>
          <w:rFonts w:ascii="Times New Roman" w:hAnsi="Times New Roman"/>
          <w:b/>
          <w:color w:val="000000"/>
          <w:sz w:val="20"/>
        </w:rPr>
      </w:pPr>
      <w:bookmarkStart w:id="36" w:name="exhibits"/>
      <w:bookmarkEnd w:id="36"/>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Amended and Restated Certificate of Incorporation of Humacyte, Inc., as amended.</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Purchase Warrant, dated May 27, 2026, by and between Humacyte, Inc. and Mayo Clinic, a Minnesota not-for-profit corporation.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Amendment to Distribution Agreement, dated April 21, 2026, by and between Humacyte Global, Inc. and Fresenius Medical Care Holdings, Inc. (incorporated by reference to Exhibit 10.1 to Humacyte, Inc.’s Current Report on Form 8-K, filed with the SEC on April 24,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Executive Officer pursuant to Rules 13a-14(a) and 15d-14(a) under the Securities Exchange Act of 1934, as adopted pursuant to Section 302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Financial Officer pursuant to Rules 13a-14(a) and 15d-14(a) under the Securities Exchange Act of 1934, as adopted pursuant to Section 302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Executive Officer pursuant to 18 U.S.C. Section 1350, as adopted pursuant to Section 906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Financial Officer pursuant to 18 U.S.C. Section 1350, as adopted pursuant to Section 906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Humacyte, Inc.’s Quarterly Report on Form 10-Q for the quarter ended June 30, 2026, formatted in Inline XBRL (Inline eXtensible Business Reporting Language): (i) Condensed Consolidated Balance Sheets (unaudited), (ii) Condensed Consolidated Statements of Operations and Comprehensive (Loss) Income (unaudited), (iii) Condensed Consolidated Statements of Changes in Stockholders’ Equity (Deficit) (unaudited), (iv) Condensed Consolidated Statements of Cash Flows (unaudited), (v) Notes to Condensed Consolidated Financial Statements (unaudited), and (vi) Cover 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Certain confidential information contained in this exhibit, marked by brackets, has been omitted because the information (i) is not material and (ii) is the type of information the company both customarily and actually treats as private or confidential.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This exhibit is being furnished rather than filed, and shall not be deemed incorporated by reference into any filing, in accordance with Item 601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37" w:name="signature"/>
      <w:bookmarkEnd w:id="37"/>
      <w:r>
        <w:rPr>
          <w:rFonts w:ascii="Times New Roman" w:hAnsi="Times New Roman"/>
          <w:b/>
          <w:color w:val="000000"/>
          <w:sz w:val="20"/>
        </w:rPr>
        <w:t>SIGNATURE</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 on this 12</w:t>
      </w:r>
      <w:r>
        <w:rPr>
          <w:rFonts w:ascii="Times New Roman" w:hAnsi="Times New Roman"/>
          <w:color w:val="000000"/>
          <w:sz w:val="13"/>
        </w:rPr>
        <w:t>th</w:t>
      </w:r>
      <w:r>
        <w:rPr>
          <w:rFonts w:ascii="Times New Roman" w:hAnsi="Times New Roman"/>
          <w:color w:val="000000"/>
          <w:sz w:val="20"/>
        </w:rPr>
        <w:t xml:space="preserve"> day of August, 2026.</w:t>
      </w:r>
    </w:p>
    <w:p>
      <w:pPr>
        <w:pStyle w:val="TextBody"/>
        <w:bidi w:val="0"/>
        <w:jc w:val="both"/>
        <w:rPr/>
      </w:pPr>
      <w:r>
        <w:rPr/>
        <w:t> </w:t>
      </w:r>
    </w:p>
    <w:tbl>
      <w:tblPr>
        <w:tblW w:w="6484" w:type="dxa"/>
        <w:jc w:val="left"/>
        <w:tblInd w:w="0" w:type="dxa"/>
        <w:tblLayout w:type="fixed"/>
        <w:tblCellMar>
          <w:top w:w="28" w:type="dxa"/>
          <w:left w:w="28" w:type="dxa"/>
          <w:bottom w:w="28" w:type="dxa"/>
          <w:right w:w="28" w:type="dxa"/>
        </w:tblCellMar>
      </w:tblPr>
      <w:tblGrid>
        <w:gridCol w:w="1951"/>
        <w:gridCol w:w="406"/>
        <w:gridCol w:w="676"/>
        <w:gridCol w:w="345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HUMACYTE,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2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Laura E. Niklason,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34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Laura E. Niklason,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2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Dale A. Sander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34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Dale A. Sander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Chief Corporate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Officer and Treasurer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Times New Roman" w:hAnsi="Times New Roman"/>
          <w:sz w:val="20"/>
        </w:rPr>
      </w:pPr>
      <w:bookmarkStart w:id="38" w:name="huma-ex3_1.htm"/>
      <w:bookmarkStart w:id="39" w:name="kshumaex3_1"/>
      <w:bookmarkEnd w:id="38"/>
      <w:bookmarkEnd w:id="39"/>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3.1</w:t>
      </w:r>
      <w:r>
        <w:br w:type="page"/>
      </w:r>
    </w:p>
    <w:p>
      <w:pPr>
        <w:pStyle w:val="TextBody"/>
        <w:bidi w:val="0"/>
        <w:spacing w:before="1" w:after="283"/>
        <w:jc w:val="center"/>
        <w:rPr>
          <w:rFonts w:ascii="Times New Roman" w:hAnsi="Times New Roman"/>
          <w:sz w:val="20"/>
        </w:rPr>
      </w:pPr>
      <w:r>
        <w:rPr>
          <w:rFonts w:ascii="Times New Roman" w:hAnsi="Times New Roman"/>
          <w:b/>
          <w:color w:val="000000"/>
          <w:sz w:val="20"/>
        </w:rPr>
        <w:t>SECOND</w:t>
      </w:r>
      <w:r>
        <w:rPr>
          <w:rFonts w:ascii="Times New Roman" w:hAnsi="Times New Roman"/>
          <w:color w:val="000000"/>
          <w:sz w:val="20"/>
        </w:rPr>
        <w:t xml:space="preserve"> </w:t>
      </w:r>
      <w:r>
        <w:rPr>
          <w:rFonts w:ascii="Times New Roman" w:hAnsi="Times New Roman"/>
          <w:b/>
          <w:color w:val="000000"/>
          <w:sz w:val="20"/>
        </w:rPr>
        <w:t>AMENDED</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RESTATED CERTIFICATE</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INCORPORATION OF</w:t>
      </w:r>
    </w:p>
    <w:p>
      <w:pPr>
        <w:pStyle w:val="TextBody"/>
        <w:bidi w:val="0"/>
        <w:jc w:val="center"/>
        <w:rPr>
          <w:rFonts w:ascii="Times New Roman" w:hAnsi="Times New Roman"/>
          <w:sz w:val="20"/>
        </w:rPr>
      </w:pPr>
      <w:r>
        <w:rPr>
          <w:rFonts w:ascii="Times New Roman" w:hAnsi="Times New Roman"/>
          <w:b/>
          <w:color w:val="000000"/>
          <w:sz w:val="20"/>
        </w:rPr>
        <w:t>ALPHA</w:t>
      </w:r>
      <w:r>
        <w:rPr>
          <w:rFonts w:ascii="Times New Roman" w:hAnsi="Times New Roman"/>
          <w:color w:val="000000"/>
          <w:sz w:val="20"/>
        </w:rPr>
        <w:t xml:space="preserve"> </w:t>
      </w:r>
      <w:r>
        <w:rPr>
          <w:rFonts w:ascii="Times New Roman" w:hAnsi="Times New Roman"/>
          <w:b/>
          <w:color w:val="000000"/>
          <w:sz w:val="20"/>
        </w:rPr>
        <w:t>HEALTHCARE</w:t>
      </w:r>
      <w:r>
        <w:rPr>
          <w:rFonts w:ascii="Times New Roman" w:hAnsi="Times New Roman"/>
          <w:color w:val="000000"/>
          <w:sz w:val="20"/>
        </w:rPr>
        <w:t xml:space="preserve"> </w:t>
      </w:r>
      <w:r>
        <w:rPr>
          <w:rFonts w:ascii="Times New Roman" w:hAnsi="Times New Roman"/>
          <w:b/>
          <w:color w:val="000000"/>
          <w:sz w:val="20"/>
        </w:rPr>
        <w:t>ACQUISITION</w:t>
      </w:r>
      <w:r>
        <w:rPr>
          <w:rFonts w:ascii="Times New Roman" w:hAnsi="Times New Roman"/>
          <w:color w:val="000000"/>
          <w:sz w:val="20"/>
        </w:rPr>
        <w:t xml:space="preserve"> </w:t>
      </w:r>
      <w:r>
        <w:rPr>
          <w:rFonts w:ascii="Times New Roman" w:hAnsi="Times New Roman"/>
          <w:b/>
          <w:color w:val="000000"/>
          <w:sz w:val="20"/>
        </w:rPr>
        <w:t>CORP.</w:t>
      </w:r>
    </w:p>
    <w:p>
      <w:pPr>
        <w:pStyle w:val="TextBody"/>
        <w:bidi w:val="0"/>
        <w:jc w:val="left"/>
        <w:rPr/>
      </w:pPr>
      <w:r>
        <w:rPr/>
        <w:t> </w:t>
      </w:r>
    </w:p>
    <w:p>
      <w:pPr>
        <w:pStyle w:val="TextBody"/>
        <w:bidi w:val="0"/>
        <w:spacing w:before="1" w:after="283"/>
        <w:jc w:val="center"/>
        <w:rPr>
          <w:rFonts w:ascii="Times New Roman" w:hAnsi="Times New Roman"/>
          <w:color w:val="000000"/>
          <w:sz w:val="20"/>
        </w:rPr>
      </w:pPr>
      <w:r>
        <w:rPr>
          <w:rFonts w:ascii="Times New Roman" w:hAnsi="Times New Roman"/>
          <w:color w:val="000000"/>
          <w:sz w:val="20"/>
        </w:rPr>
        <w:t>August 26, 2021</w:t>
      </w:r>
    </w:p>
    <w:p>
      <w:pPr>
        <w:pStyle w:val="TextBody"/>
        <w:bidi w:val="0"/>
        <w:spacing w:before="228" w:after="283"/>
        <w:jc w:val="left"/>
        <w:rPr>
          <w:rFonts w:ascii="Times New Roman" w:hAnsi="Times New Roman"/>
          <w:sz w:val="20"/>
        </w:rPr>
      </w:pPr>
      <w:r>
        <w:rPr>
          <w:rFonts w:ascii="Times New Roman" w:hAnsi="Times New Roman"/>
          <w:color w:val="000000"/>
          <w:sz w:val="20"/>
        </w:rPr>
        <w:t>Alpha Healthcare Acquisition Corp., a corporation organized and existing under the laws of the State of Delaware (the “</w:t>
      </w:r>
      <w:r>
        <w:rPr>
          <w:rFonts w:ascii="Times New Roman" w:hAnsi="Times New Roman"/>
          <w:b/>
          <w:i/>
          <w:color w:val="000000"/>
          <w:sz w:val="20"/>
        </w:rPr>
        <w:t>Corporation</w:t>
      </w:r>
      <w:r>
        <w:rPr>
          <w:rFonts w:ascii="Times New Roman" w:hAnsi="Times New Roman"/>
          <w:color w:val="000000"/>
          <w:sz w:val="20"/>
        </w:rPr>
        <w:t>”), DOES HEREBY CERTIFY AS FOLLOWS:</w:t>
      </w:r>
    </w:p>
    <w:p>
      <w:pPr>
        <w:pStyle w:val="TextBody"/>
        <w:bidi w:val="0"/>
        <w:spacing w:before="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name of the Corporation is “</w:t>
      </w:r>
      <w:r>
        <w:rPr>
          <w:rFonts w:ascii="Times New Roman" w:hAnsi="Times New Roman"/>
          <w:b/>
          <w:i/>
          <w:color w:val="000000"/>
          <w:sz w:val="20"/>
        </w:rPr>
        <w:t>Alpha Healthcare Acquisition Corp.</w:t>
      </w:r>
      <w:r>
        <w:rPr>
          <w:color w:val="000000"/>
        </w:rPr>
        <w:t>”</w:t>
      </w:r>
      <w:r>
        <w:rPr>
          <w:rFonts w:ascii="Times New Roman" w:hAnsi="Times New Roman"/>
          <w:color w:val="000000"/>
          <w:sz w:val="20"/>
        </w:rPr>
        <w:t>. The original certificate of incorporation</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Corporation</w:t>
      </w:r>
      <w:r>
        <w:rPr>
          <w:color w:val="000000"/>
        </w:rPr>
        <w:t xml:space="preserve"> </w:t>
      </w:r>
      <w:r>
        <w:rPr>
          <w:rFonts w:ascii="Times New Roman" w:hAnsi="Times New Roman"/>
          <w:color w:val="000000"/>
          <w:sz w:val="20"/>
        </w:rPr>
        <w:t>was</w:t>
      </w:r>
      <w:r>
        <w:rPr>
          <w:color w:val="000000"/>
        </w:rPr>
        <w:t xml:space="preserve"> </w:t>
      </w:r>
      <w:r>
        <w:rPr>
          <w:rFonts w:ascii="Times New Roman" w:hAnsi="Times New Roman"/>
          <w:color w:val="000000"/>
          <w:sz w:val="20"/>
        </w:rPr>
        <w:t>filed</w:t>
      </w:r>
      <w:r>
        <w:rPr>
          <w:color w:val="000000"/>
        </w:rPr>
        <w:t xml:space="preserve"> </w:t>
      </w:r>
      <w:r>
        <w:rPr>
          <w:rFonts w:ascii="Times New Roman" w:hAnsi="Times New Roman"/>
          <w:color w:val="000000"/>
          <w:sz w:val="20"/>
        </w:rPr>
        <w:t>with</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Secretary</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State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State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Delaware</w:t>
      </w:r>
      <w:r>
        <w:rPr>
          <w:color w:val="000000"/>
        </w:rPr>
        <w:t xml:space="preserve"> </w:t>
      </w:r>
      <w:r>
        <w:rPr>
          <w:rFonts w:ascii="Times New Roman" w:hAnsi="Times New Roman"/>
          <w:color w:val="000000"/>
          <w:sz w:val="20"/>
        </w:rPr>
        <w:t>on</w:t>
      </w:r>
      <w:r>
        <w:rPr>
          <w:color w:val="000000"/>
        </w:rPr>
        <w:t xml:space="preserve"> </w:t>
      </w:r>
      <w:r>
        <w:rPr>
          <w:rFonts w:ascii="Times New Roman" w:hAnsi="Times New Roman"/>
          <w:color w:val="000000"/>
          <w:sz w:val="20"/>
        </w:rPr>
        <w:t>July</w:t>
      </w:r>
      <w:r>
        <w:rPr>
          <w:color w:val="000000"/>
        </w:rPr>
        <w:t xml:space="preserve"> </w:t>
      </w:r>
      <w:r>
        <w:rPr>
          <w:rFonts w:ascii="Times New Roman" w:hAnsi="Times New Roman"/>
          <w:color w:val="000000"/>
          <w:sz w:val="20"/>
        </w:rPr>
        <w:t>1,</w:t>
      </w:r>
      <w:r>
        <w:rPr>
          <w:color w:val="000000"/>
        </w:rPr>
        <w:t xml:space="preserve"> </w:t>
      </w:r>
      <w:r>
        <w:rPr>
          <w:rFonts w:ascii="Times New Roman" w:hAnsi="Times New Roman"/>
          <w:color w:val="000000"/>
          <w:sz w:val="20"/>
        </w:rPr>
        <w:t>2020</w:t>
      </w:r>
      <w:r>
        <w:rPr>
          <w:color w:val="000000"/>
        </w:rPr>
        <w:t xml:space="preserve"> </w:t>
      </w:r>
      <w:r>
        <w:rPr>
          <w:rFonts w:ascii="Times New Roman" w:hAnsi="Times New Roman"/>
          <w:color w:val="000000"/>
          <w:sz w:val="20"/>
        </w:rPr>
        <w:t>(the “</w:t>
      </w:r>
      <w:r>
        <w:rPr>
          <w:rFonts w:ascii="Times New Roman" w:hAnsi="Times New Roman"/>
          <w:b/>
          <w:i/>
          <w:color w:val="000000"/>
          <w:sz w:val="20"/>
        </w:rPr>
        <w:t>Original Certificate</w:t>
      </w:r>
      <w:r>
        <w:rPr>
          <w:color w:val="000000"/>
        </w:rPr>
        <w:t>”</w:t>
      </w:r>
      <w:r>
        <w:rPr>
          <w:rFonts w:ascii="Times New Roman" w:hAnsi="Times New Roman"/>
          <w:color w:val="000000"/>
          <w:sz w:val="20"/>
        </w:rPr>
        <w:t>). The Corporation filed an amended and restated certificate of incorporation with the Secretary of State of the State of Delaware on September 17, 2020 (the “</w:t>
      </w:r>
      <w:r>
        <w:rPr>
          <w:rFonts w:ascii="Times New Roman" w:hAnsi="Times New Roman"/>
          <w:b/>
          <w:i/>
          <w:color w:val="000000"/>
          <w:sz w:val="20"/>
        </w:rPr>
        <w:t>Existing Certificate</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rPr>
        <w:t>This Second Amended and Restated Certificate of Incorporation (the “</w:t>
      </w:r>
      <w:r>
        <w:rPr>
          <w:rFonts w:ascii="Times New Roman" w:hAnsi="Times New Roman"/>
          <w:b/>
          <w:i/>
          <w:color w:val="000000"/>
          <w:sz w:val="20"/>
        </w:rPr>
        <w:t>Amended and Restated Certificate</w:t>
      </w:r>
      <w:r>
        <w:rPr>
          <w:color w:val="000000"/>
        </w:rPr>
        <w:t>”</w:t>
      </w:r>
      <w:r>
        <w:rPr>
          <w:rFonts w:ascii="Times New Roman" w:hAnsi="Times New Roman"/>
          <w:color w:val="000000"/>
          <w:sz w:val="20"/>
        </w:rPr>
        <w:t>), which both restates and amends the provisions of the Existing Certificate, was duly adopted in accordance</w:t>
      </w:r>
      <w:r>
        <w:rPr>
          <w:color w:val="000000"/>
        </w:rPr>
        <w:t xml:space="preserve"> </w:t>
      </w:r>
      <w:r>
        <w:rPr>
          <w:rFonts w:ascii="Times New Roman" w:hAnsi="Times New Roman"/>
          <w:color w:val="000000"/>
          <w:sz w:val="20"/>
        </w:rPr>
        <w:t>with</w:t>
      </w:r>
      <w:r>
        <w:rPr>
          <w:color w:val="000000"/>
        </w:rPr>
        <w:t xml:space="preserve"> </w:t>
      </w:r>
      <w:r>
        <w:rPr>
          <w:rFonts w:ascii="Times New Roman" w:hAnsi="Times New Roman"/>
          <w:color w:val="000000"/>
          <w:sz w:val="20"/>
        </w:rPr>
        <w:t>Sections</w:t>
      </w:r>
      <w:r>
        <w:rPr>
          <w:color w:val="000000"/>
        </w:rPr>
        <w:t xml:space="preserve"> </w:t>
      </w:r>
      <w:r>
        <w:rPr>
          <w:rFonts w:ascii="Times New Roman" w:hAnsi="Times New Roman"/>
          <w:color w:val="000000"/>
          <w:sz w:val="20"/>
        </w:rPr>
        <w:t>242</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245</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General</w:t>
      </w:r>
      <w:r>
        <w:rPr>
          <w:color w:val="000000"/>
        </w:rPr>
        <w:t xml:space="preserve"> </w:t>
      </w:r>
      <w:r>
        <w:rPr>
          <w:rFonts w:ascii="Times New Roman" w:hAnsi="Times New Roman"/>
          <w:color w:val="000000"/>
          <w:sz w:val="20"/>
        </w:rPr>
        <w:t>Corporation</w:t>
      </w:r>
      <w:r>
        <w:rPr>
          <w:color w:val="000000"/>
        </w:rPr>
        <w:t xml:space="preserve"> </w:t>
      </w:r>
      <w:r>
        <w:rPr>
          <w:rFonts w:ascii="Times New Roman" w:hAnsi="Times New Roman"/>
          <w:color w:val="000000"/>
          <w:sz w:val="20"/>
        </w:rPr>
        <w:t>Law</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State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Delaware,</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amended</w:t>
      </w:r>
      <w:r>
        <w:rPr>
          <w:color w:val="000000"/>
        </w:rPr>
        <w:t xml:space="preserve"> </w:t>
      </w:r>
      <w:r>
        <w:rPr>
          <w:rFonts w:ascii="Times New Roman" w:hAnsi="Times New Roman"/>
          <w:color w:val="000000"/>
          <w:sz w:val="20"/>
        </w:rPr>
        <w:t>from time to time (the “</w:t>
      </w:r>
      <w:r>
        <w:rPr>
          <w:rFonts w:ascii="Times New Roman" w:hAnsi="Times New Roman"/>
          <w:b/>
          <w:i/>
          <w:color w:val="000000"/>
          <w:sz w:val="20"/>
        </w:rPr>
        <w:t>DGCL</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This</w:t>
      </w:r>
      <w:r>
        <w:rPr>
          <w:color w:val="000000"/>
        </w:rPr>
        <w:t xml:space="preserve"> </w:t>
      </w:r>
      <w:r>
        <w:rPr>
          <w:rFonts w:ascii="Times New Roman" w:hAnsi="Times New Roman"/>
          <w:color w:val="000000"/>
          <w:sz w:val="20"/>
        </w:rPr>
        <w:t>Amended</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Restated</w:t>
      </w:r>
      <w:r>
        <w:rPr>
          <w:color w:val="000000"/>
        </w:rPr>
        <w:t xml:space="preserve"> </w:t>
      </w:r>
      <w:r>
        <w:rPr>
          <w:rFonts w:ascii="Times New Roman" w:hAnsi="Times New Roman"/>
          <w:color w:val="000000"/>
          <w:sz w:val="20"/>
        </w:rPr>
        <w:t>Certificate</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become</w:t>
      </w:r>
      <w:r>
        <w:rPr>
          <w:color w:val="000000"/>
        </w:rPr>
        <w:t xml:space="preserve"> </w:t>
      </w:r>
      <w:r>
        <w:rPr>
          <w:rFonts w:ascii="Times New Roman" w:hAnsi="Times New Roman"/>
          <w:color w:val="000000"/>
          <w:sz w:val="20"/>
        </w:rPr>
        <w:t>effective</w:t>
      </w:r>
      <w:r>
        <w:rPr>
          <w:color w:val="000000"/>
        </w:rPr>
        <w:t xml:space="preserve"> </w:t>
      </w:r>
      <w:r>
        <w:rPr>
          <w:rFonts w:ascii="Times New Roman" w:hAnsi="Times New Roman"/>
          <w:color w:val="000000"/>
          <w:sz w:val="20"/>
        </w:rPr>
        <w:t>on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date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filing</w:t>
      </w:r>
      <w:r>
        <w:rPr>
          <w:color w:val="000000"/>
        </w:rPr>
        <w:t xml:space="preserve"> </w:t>
      </w:r>
      <w:r>
        <w:rPr>
          <w:rFonts w:ascii="Times New Roman" w:hAnsi="Times New Roman"/>
          <w:color w:val="000000"/>
          <w:sz w:val="20"/>
        </w:rPr>
        <w:t>with</w:t>
      </w:r>
      <w:r>
        <w:rPr>
          <w:color w:val="000000"/>
        </w:rPr>
        <w:t xml:space="preserve"> </w:t>
      </w:r>
      <w:r>
        <w:rPr>
          <w:rFonts w:ascii="Times New Roman" w:hAnsi="Times New Roman"/>
          <w:color w:val="000000"/>
          <w:sz w:val="20"/>
        </w:rPr>
        <w:t>Secretary</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State of Delaware.</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color w:val="000000"/>
          <w:sz w:val="20"/>
        </w:rPr>
        <w:t>The</w:t>
      </w:r>
      <w:r>
        <w:rPr>
          <w:color w:val="000000"/>
        </w:rPr>
        <w:t xml:space="preserve"> </w:t>
      </w:r>
      <w:r>
        <w:rPr>
          <w:rFonts w:ascii="Times New Roman" w:hAnsi="Times New Roman"/>
          <w:color w:val="000000"/>
          <w:sz w:val="20"/>
        </w:rPr>
        <w:t>text</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Existing</w:t>
      </w:r>
      <w:r>
        <w:rPr>
          <w:color w:val="000000"/>
        </w:rPr>
        <w:t xml:space="preserve"> </w:t>
      </w:r>
      <w:r>
        <w:rPr>
          <w:rFonts w:ascii="Times New Roman" w:hAnsi="Times New Roman"/>
          <w:color w:val="000000"/>
          <w:sz w:val="20"/>
        </w:rPr>
        <w:t>Certificate</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hereby</w:t>
      </w:r>
      <w:r>
        <w:rPr>
          <w:color w:val="000000"/>
        </w:rPr>
        <w:t xml:space="preserve"> </w:t>
      </w:r>
      <w:r>
        <w:rPr>
          <w:rFonts w:ascii="Times New Roman" w:hAnsi="Times New Roman"/>
          <w:color w:val="000000"/>
          <w:sz w:val="20"/>
        </w:rPr>
        <w:t>restated</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amended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its</w:t>
      </w:r>
      <w:r>
        <w:rPr>
          <w:color w:val="000000"/>
        </w:rPr>
        <w:t xml:space="preserve"> </w:t>
      </w:r>
      <w:r>
        <w:rPr>
          <w:rFonts w:ascii="Times New Roman" w:hAnsi="Times New Roman"/>
          <w:color w:val="000000"/>
          <w:sz w:val="20"/>
        </w:rPr>
        <w:t>entirety</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read</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follows:</w:t>
      </w:r>
    </w:p>
    <w:p>
      <w:pPr>
        <w:pStyle w:val="Heading1"/>
        <w:bidi w:val="0"/>
        <w:spacing w:before="229" w:after="283"/>
        <w:jc w:val="center"/>
        <w:rPr>
          <w:rFonts w:ascii="Times New Roman" w:hAnsi="Times New Roman"/>
          <w:color w:val="000000"/>
          <w:sz w:val="20"/>
        </w:rPr>
      </w:pPr>
      <w:r>
        <w:rPr>
          <w:rFonts w:ascii="Times New Roman" w:hAnsi="Times New Roman"/>
          <w:color w:val="000000"/>
          <w:sz w:val="20"/>
        </w:rPr>
        <w:t>ARTICLE I NAME</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The name of the corporation is Humacyte, Inc. (the “</w:t>
      </w:r>
      <w:r>
        <w:rPr>
          <w:rFonts w:ascii="Times New Roman" w:hAnsi="Times New Roman"/>
          <w:b/>
          <w:i/>
          <w:color w:val="000000"/>
          <w:sz w:val="20"/>
        </w:rPr>
        <w:t>Corporation</w:t>
      </w:r>
      <w:r>
        <w:rPr>
          <w:rFonts w:ascii="Times New Roman" w:hAnsi="Times New Roman"/>
          <w:color w:val="000000"/>
          <w:sz w:val="20"/>
        </w:rPr>
        <w:t>”).</w:t>
      </w:r>
    </w:p>
    <w:p>
      <w:pPr>
        <w:pStyle w:val="Heading1"/>
        <w:bidi w:val="0"/>
        <w:spacing w:before="229" w:after="283"/>
        <w:jc w:val="center"/>
        <w:rPr>
          <w:rFonts w:ascii="Times New Roman" w:hAnsi="Times New Roman"/>
          <w:color w:val="000000"/>
          <w:sz w:val="20"/>
        </w:rPr>
      </w:pPr>
      <w:r>
        <w:rPr>
          <w:rFonts w:ascii="Times New Roman" w:hAnsi="Times New Roman"/>
          <w:color w:val="000000"/>
          <w:sz w:val="20"/>
        </w:rPr>
        <w:t>ARTICLE II PURPOSE</w:t>
      </w:r>
    </w:p>
    <w:p>
      <w:pPr>
        <w:pStyle w:val="TextBody"/>
        <w:bidi w:val="0"/>
        <w:spacing w:before="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purpose of the Corporation is to engage in any lawful act or activity for which corporations may be organized under the DGCL.</w:t>
      </w:r>
    </w:p>
    <w:p>
      <w:pPr>
        <w:pStyle w:val="Heading1"/>
        <w:bidi w:val="0"/>
        <w:spacing w:before="230" w:after="283"/>
        <w:jc w:val="center"/>
        <w:rPr>
          <w:rFonts w:ascii="Times New Roman" w:hAnsi="Times New Roman"/>
          <w:color w:val="000000"/>
          <w:sz w:val="20"/>
        </w:rPr>
      </w:pPr>
      <w:r>
        <w:rPr>
          <w:rFonts w:ascii="Times New Roman" w:hAnsi="Times New Roman"/>
          <w:color w:val="000000"/>
          <w:sz w:val="20"/>
        </w:rPr>
        <w:t>ARTICLE III REGISTERED AGENT</w:t>
      </w:r>
    </w:p>
    <w:p>
      <w:pPr>
        <w:pStyle w:val="TextBody"/>
        <w:bidi w:val="0"/>
        <w:spacing w:before="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pStyle w:val="Heading1"/>
        <w:bidi w:val="0"/>
        <w:spacing w:before="230" w:after="283"/>
        <w:jc w:val="center"/>
        <w:rPr>
          <w:rFonts w:ascii="Times New Roman" w:hAnsi="Times New Roman"/>
          <w:color w:val="000000"/>
          <w:sz w:val="20"/>
        </w:rPr>
      </w:pPr>
      <w:r>
        <w:rPr>
          <w:rFonts w:ascii="Times New Roman" w:hAnsi="Times New Roman"/>
          <w:color w:val="000000"/>
          <w:sz w:val="20"/>
        </w:rPr>
        <w:t>ARTICLE IV CAPITALIZATION</w:t>
      </w:r>
    </w:p>
    <w:p>
      <w:pPr>
        <w:pStyle w:val="TextBody"/>
        <w:bidi w:val="0"/>
        <w:spacing w:before="3"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4.1 </w:t>
      </w:r>
      <w:r>
        <w:rPr>
          <w:rFonts w:ascii="Times New Roman" w:hAnsi="Times New Roman"/>
          <w:color w:val="000000"/>
          <w:sz w:val="20"/>
          <w:u w:val="single"/>
        </w:rPr>
        <w:t>Authorized Capital Stock</w:t>
      </w:r>
      <w:r>
        <w:rPr>
          <w:rFonts w:ascii="Times New Roman" w:hAnsi="Times New Roman"/>
          <w:color w:val="000000"/>
          <w:sz w:val="20"/>
        </w:rPr>
        <w:t>. The total number of shares of all classes of capital stock, each with a par value of $0.0001 per share, which the Corporation is authorized to issue is 270,000,000 shares, consisting of (a) 250,000,000 shares of common stock (the “</w:t>
      </w:r>
      <w:r>
        <w:rPr>
          <w:rFonts w:ascii="Times New Roman" w:hAnsi="Times New Roman"/>
          <w:b/>
          <w:i/>
          <w:color w:val="000000"/>
          <w:sz w:val="20"/>
        </w:rPr>
        <w:t>Common Stock</w:t>
      </w:r>
      <w:r>
        <w:rPr>
          <w:rFonts w:ascii="Times New Roman" w:hAnsi="Times New Roman"/>
          <w:color w:val="000000"/>
          <w:sz w:val="20"/>
        </w:rPr>
        <w:t>”) and (b) 20,000,000 shares of preferred stock (the “</w:t>
      </w:r>
      <w:r>
        <w:rPr>
          <w:rFonts w:ascii="Times New Roman" w:hAnsi="Times New Roman"/>
          <w:b/>
          <w:i/>
          <w:color w:val="000000"/>
          <w:sz w:val="20"/>
        </w:rPr>
        <w:t>Preferred Stock</w:t>
      </w:r>
      <w:r>
        <w:rPr>
          <w:rFonts w:ascii="Times New Roman" w:hAnsi="Times New Roman"/>
          <w:color w:val="000000"/>
          <w:sz w:val="20"/>
        </w:rPr>
        <w:t>”).</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4.2 </w:t>
      </w:r>
      <w:r>
        <w:rPr>
          <w:rFonts w:ascii="Times New Roman" w:hAnsi="Times New Roman"/>
          <w:color w:val="000000"/>
          <w:sz w:val="20"/>
          <w:u w:val="single"/>
        </w:rPr>
        <w:t>Preferred Stock.</w:t>
      </w:r>
      <w:r>
        <w:rPr>
          <w:rFonts w:ascii="Times New Roman" w:hAnsi="Times New Roman"/>
          <w:color w:val="000000"/>
          <w:sz w:val="20"/>
        </w:rPr>
        <w:t xml:space="preserve"> The Board of Directors of the Corporation (the “</w:t>
      </w:r>
      <w:r>
        <w:rPr>
          <w:rFonts w:ascii="Times New Roman" w:hAnsi="Times New Roman"/>
          <w:b/>
          <w:i/>
          <w:color w:val="000000"/>
          <w:sz w:val="20"/>
        </w:rPr>
        <w:t>Board</w:t>
      </w:r>
      <w:r>
        <w:rPr>
          <w:rFonts w:ascii="Times New Roman" w:hAnsi="Times New Roman"/>
          <w:color w:val="000000"/>
          <w:sz w:val="20"/>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0"/>
        </w:rPr>
        <w:t>such series and any qualifications, limitations and restrictions thereof, as shall be stated in the resolution or resolutions adopted by the Board providing for the issuance of such series and included in a certificate of designation (a “</w:t>
      </w:r>
      <w:r>
        <w:rPr>
          <w:rFonts w:ascii="Times New Roman" w:hAnsi="Times New Roman"/>
          <w:b/>
          <w:i/>
          <w:color w:val="000000"/>
          <w:sz w:val="20"/>
        </w:rPr>
        <w:t>Preferred</w:t>
      </w:r>
      <w:r>
        <w:rPr>
          <w:rFonts w:ascii="Times New Roman" w:hAnsi="Times New Roman"/>
          <w:color w:val="000000"/>
          <w:sz w:val="20"/>
        </w:rPr>
        <w:t xml:space="preserve"> </w:t>
      </w:r>
      <w:r>
        <w:rPr>
          <w:rFonts w:ascii="Times New Roman" w:hAnsi="Times New Roman"/>
          <w:b/>
          <w:i/>
          <w:color w:val="000000"/>
          <w:sz w:val="20"/>
        </w:rPr>
        <w:t>Stock</w:t>
      </w:r>
      <w:r>
        <w:rPr>
          <w:rFonts w:ascii="Times New Roman" w:hAnsi="Times New Roman"/>
          <w:color w:val="000000"/>
          <w:sz w:val="20"/>
        </w:rPr>
        <w:t xml:space="preserve"> </w:t>
      </w:r>
      <w:r>
        <w:rPr>
          <w:rFonts w:ascii="Times New Roman" w:hAnsi="Times New Roman"/>
          <w:b/>
          <w:i/>
          <w:color w:val="000000"/>
          <w:sz w:val="20"/>
        </w:rPr>
        <w:t>Designation</w:t>
      </w:r>
      <w:r>
        <w:rPr>
          <w:rFonts w:ascii="Times New Roman" w:hAnsi="Times New Roman"/>
          <w:color w:val="000000"/>
          <w:sz w:val="20"/>
        </w:rPr>
        <w:t>”) filed pursuant to the DGCL, and the Board is hereby expressly vested with the authority to the full extent provided by law, now or hereafter, to adopt any such resolution or resolutions.</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4.3 </w:t>
      </w:r>
      <w:r>
        <w:rPr>
          <w:rFonts w:ascii="Times New Roman" w:hAnsi="Times New Roman"/>
          <w:color w:val="000000"/>
          <w:sz w:val="20"/>
          <w:u w:val="single"/>
        </w:rPr>
        <w:t>Common Stock</w:t>
      </w:r>
      <w:r>
        <w:rPr>
          <w:rFonts w:ascii="Times New Roman" w:hAnsi="Times New Roman"/>
          <w:color w:val="000000"/>
          <w:sz w:val="20"/>
        </w:rPr>
        <w:t>.</w:t>
      </w:r>
    </w:p>
    <w:p>
      <w:pPr>
        <w:pStyle w:val="TextBody"/>
        <w:bidi w:val="0"/>
        <w:spacing w:before="228"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28" w:after="283"/>
        <w:jc w:val="left"/>
        <w:rPr/>
      </w:pPr>
      <w:r>
        <w:rPr>
          <w:rFonts w:ascii="Times New Roman" w:hAnsi="Times New Roman"/>
          <w:i/>
          <w:color w:val="000000"/>
          <w:sz w:val="20"/>
        </w:rPr>
        <w:t>Voting</w:t>
      </w:r>
      <w:r>
        <w:rPr>
          <w:rFonts w:ascii="Times New Roman" w:hAnsi="Times New Roman"/>
          <w:color w:val="000000"/>
          <w:sz w:val="20"/>
        </w:rPr>
        <w: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pPr>
      <w:r>
        <w:rPr>
          <w:rFonts w:ascii="Times New Roman" w:hAnsi="Times New Roman"/>
          <w:color w:val="000000"/>
          <w:sz w:val="20"/>
        </w:rPr>
        <w:t>Except</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otherwise</w:t>
      </w:r>
      <w:r>
        <w:rPr>
          <w:color w:val="000000"/>
        </w:rPr>
        <w:t xml:space="preserve"> </w:t>
      </w:r>
      <w:r>
        <w:rPr>
          <w:rFonts w:ascii="Times New Roman" w:hAnsi="Times New Roman"/>
          <w:color w:val="000000"/>
          <w:sz w:val="20"/>
        </w:rPr>
        <w:t>required by law</w:t>
      </w:r>
      <w:r>
        <w:rPr>
          <w:color w:val="000000"/>
        </w:rPr>
        <w:t xml:space="preserve"> </w:t>
      </w:r>
      <w:r>
        <w:rPr>
          <w:rFonts w:ascii="Times New Roman" w:hAnsi="Times New Roman"/>
          <w:color w:val="000000"/>
          <w:sz w:val="20"/>
        </w:rPr>
        <w:t>or this</w:t>
      </w:r>
      <w:r>
        <w:rPr>
          <w:color w:val="000000"/>
        </w:rPr>
        <w:t xml:space="preserve"> </w:t>
      </w:r>
      <w:r>
        <w:rPr>
          <w:rFonts w:ascii="Times New Roman" w:hAnsi="Times New Roman"/>
          <w:color w:val="000000"/>
          <w:sz w:val="20"/>
        </w:rPr>
        <w:t>Amended and</w:t>
      </w:r>
      <w:r>
        <w:rPr>
          <w:color w:val="000000"/>
        </w:rPr>
        <w:t xml:space="preserve"> </w:t>
      </w:r>
      <w:r>
        <w:rPr>
          <w:rFonts w:ascii="Times New Roman" w:hAnsi="Times New Roman"/>
          <w:color w:val="000000"/>
          <w:sz w:val="20"/>
        </w:rPr>
        <w:t>Restated Certificate</w:t>
      </w:r>
      <w:r>
        <w:rPr>
          <w:color w:val="000000"/>
        </w:rPr>
        <w:t xml:space="preserve"> </w:t>
      </w:r>
      <w:r>
        <w:rPr>
          <w:rFonts w:ascii="Times New Roman" w:hAnsi="Times New Roman"/>
          <w:color w:val="000000"/>
          <w:sz w:val="20"/>
        </w:rPr>
        <w:t>(including any Preferred Stock</w:t>
      </w:r>
      <w:r>
        <w:rPr>
          <w:color w:val="000000"/>
        </w:rPr>
        <w:t xml:space="preserve"> </w:t>
      </w:r>
      <w:r>
        <w:rPr>
          <w:rFonts w:ascii="Times New Roman" w:hAnsi="Times New Roman"/>
          <w:color w:val="000000"/>
          <w:sz w:val="20"/>
        </w:rPr>
        <w:t>Designation),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Common</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exclusively</w:t>
      </w:r>
      <w:r>
        <w:rPr>
          <w:color w:val="000000"/>
        </w:rPr>
        <w:t xml:space="preserve"> </w:t>
      </w:r>
      <w:r>
        <w:rPr>
          <w:rFonts w:ascii="Times New Roman" w:hAnsi="Times New Roman"/>
          <w:color w:val="000000"/>
          <w:sz w:val="20"/>
        </w:rPr>
        <w:t>possess</w:t>
      </w:r>
      <w:r>
        <w:rPr>
          <w:color w:val="000000"/>
        </w:rPr>
        <w:t xml:space="preserve"> </w:t>
      </w:r>
      <w:r>
        <w:rPr>
          <w:rFonts w:ascii="Times New Roman" w:hAnsi="Times New Roman"/>
          <w:color w:val="000000"/>
          <w:sz w:val="20"/>
        </w:rPr>
        <w:t>all</w:t>
      </w:r>
      <w:r>
        <w:rPr>
          <w:color w:val="000000"/>
        </w:rPr>
        <w:t xml:space="preserve"> </w:t>
      </w:r>
      <w:r>
        <w:rPr>
          <w:rFonts w:ascii="Times New Roman" w:hAnsi="Times New Roman"/>
          <w:color w:val="000000"/>
          <w:sz w:val="20"/>
        </w:rPr>
        <w:t>voting</w:t>
      </w:r>
      <w:r>
        <w:rPr>
          <w:color w:val="000000"/>
        </w:rPr>
        <w:t xml:space="preserve"> </w:t>
      </w:r>
      <w:r>
        <w:rPr>
          <w:rFonts w:ascii="Times New Roman" w:hAnsi="Times New Roman"/>
          <w:color w:val="000000"/>
          <w:sz w:val="20"/>
        </w:rPr>
        <w:t>power</w:t>
      </w:r>
      <w:r>
        <w:rPr>
          <w:color w:val="000000"/>
        </w:rPr>
        <w:t xml:space="preserve"> </w:t>
      </w:r>
      <w:r>
        <w:rPr>
          <w:rFonts w:ascii="Times New Roman" w:hAnsi="Times New Roman"/>
          <w:color w:val="000000"/>
          <w:sz w:val="20"/>
        </w:rPr>
        <w:t>with</w:t>
      </w:r>
      <w:r>
        <w:rPr>
          <w:color w:val="000000"/>
        </w:rPr>
        <w:t xml:space="preserve"> </w:t>
      </w:r>
      <w:r>
        <w:rPr>
          <w:rFonts w:ascii="Times New Roman" w:hAnsi="Times New Roman"/>
          <w:color w:val="000000"/>
          <w:sz w:val="20"/>
        </w:rPr>
        <w:t>respect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 Corporation.</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29" w:after="283"/>
        <w:jc w:val="left"/>
        <w:rPr/>
      </w:pPr>
      <w:r>
        <w:rPr>
          <w:rFonts w:ascii="Times New Roman" w:hAnsi="Times New Roman"/>
          <w:color w:val="000000"/>
          <w:sz w:val="20"/>
        </w:rPr>
        <w:t>Except</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otherwise</w:t>
      </w:r>
      <w:r>
        <w:rPr>
          <w:color w:val="000000"/>
        </w:rPr>
        <w:t xml:space="preserve"> </w:t>
      </w:r>
      <w:r>
        <w:rPr>
          <w:rFonts w:ascii="Times New Roman" w:hAnsi="Times New Roman"/>
          <w:color w:val="000000"/>
          <w:sz w:val="20"/>
        </w:rPr>
        <w:t>required by law</w:t>
      </w:r>
      <w:r>
        <w:rPr>
          <w:color w:val="000000"/>
        </w:rPr>
        <w:t xml:space="preserve"> </w:t>
      </w:r>
      <w:r>
        <w:rPr>
          <w:rFonts w:ascii="Times New Roman" w:hAnsi="Times New Roman"/>
          <w:color w:val="000000"/>
          <w:sz w:val="20"/>
        </w:rPr>
        <w:t>or this</w:t>
      </w:r>
      <w:r>
        <w:rPr>
          <w:color w:val="000000"/>
        </w:rPr>
        <w:t xml:space="preserve"> </w:t>
      </w:r>
      <w:r>
        <w:rPr>
          <w:rFonts w:ascii="Times New Roman" w:hAnsi="Times New Roman"/>
          <w:color w:val="000000"/>
          <w:sz w:val="20"/>
        </w:rPr>
        <w:t>Amended and Restated Certificate</w:t>
      </w:r>
      <w:r>
        <w:rPr>
          <w:color w:val="000000"/>
        </w:rPr>
        <w:t xml:space="preserve"> </w:t>
      </w:r>
      <w:r>
        <w:rPr>
          <w:rFonts w:ascii="Times New Roman" w:hAnsi="Times New Roman"/>
          <w:color w:val="000000"/>
          <w:sz w:val="20"/>
        </w:rPr>
        <w:t>(including any</w:t>
      </w:r>
      <w:r>
        <w:rPr>
          <w:color w:val="000000"/>
        </w:rPr>
        <w:t xml:space="preserve"> </w:t>
      </w:r>
      <w:r>
        <w:rPr>
          <w:rFonts w:ascii="Times New Roman" w:hAnsi="Times New Roman"/>
          <w:color w:val="000000"/>
          <w:sz w:val="20"/>
        </w:rPr>
        <w:t>Preferred Stock</w:t>
      </w:r>
      <w:r>
        <w:rPr>
          <w:color w:val="000000"/>
        </w:rPr>
        <w:t xml:space="preserve"> </w:t>
      </w:r>
      <w:r>
        <w:rPr>
          <w:rFonts w:ascii="Times New Roman" w:hAnsi="Times New Roman"/>
          <w:color w:val="000000"/>
          <w:sz w:val="20"/>
        </w:rPr>
        <w:t>Designation),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shares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Common</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entitled</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one</w:t>
      </w:r>
      <w:r>
        <w:rPr>
          <w:color w:val="000000"/>
        </w:rPr>
        <w:t xml:space="preserve"> </w:t>
      </w:r>
      <w:r>
        <w:rPr>
          <w:rFonts w:ascii="Times New Roman" w:hAnsi="Times New Roman"/>
          <w:color w:val="000000"/>
          <w:sz w:val="20"/>
        </w:rPr>
        <w:t>vote</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each</w:t>
      </w:r>
      <w:r>
        <w:rPr>
          <w:color w:val="000000"/>
        </w:rPr>
        <w:t xml:space="preserve"> </w:t>
      </w:r>
      <w:r>
        <w:rPr>
          <w:rFonts w:ascii="Times New Roman" w:hAnsi="Times New Roman"/>
          <w:color w:val="000000"/>
          <w:sz w:val="20"/>
        </w:rPr>
        <w:t>such</w:t>
      </w:r>
      <w:r>
        <w:rPr>
          <w:color w:val="000000"/>
        </w:rPr>
        <w:t xml:space="preserve"> </w:t>
      </w:r>
      <w:r>
        <w:rPr>
          <w:rFonts w:ascii="Times New Roman" w:hAnsi="Times New Roman"/>
          <w:color w:val="000000"/>
          <w:sz w:val="20"/>
        </w:rPr>
        <w:t>share</w:t>
      </w:r>
      <w:r>
        <w:rPr>
          <w:color w:val="000000"/>
        </w:rPr>
        <w:t xml:space="preserve"> </w:t>
      </w:r>
      <w:r>
        <w:rPr>
          <w:rFonts w:ascii="Times New Roman" w:hAnsi="Times New Roman"/>
          <w:color w:val="000000"/>
          <w:sz w:val="20"/>
        </w:rPr>
        <w:t>on</w:t>
      </w:r>
      <w:r>
        <w:rPr>
          <w:color w:val="000000"/>
        </w:rPr>
        <w:t xml:space="preserve"> </w:t>
      </w:r>
      <w:r>
        <w:rPr>
          <w:rFonts w:ascii="Times New Roman" w:hAnsi="Times New Roman"/>
          <w:color w:val="000000"/>
          <w:sz w:val="20"/>
        </w:rPr>
        <w:t>each matter properly submitted to the stockholders of the Corporation on which the holders of the Common Stock are entitled to vote.</w:t>
      </w:r>
    </w:p>
    <w:p>
      <w:pPr>
        <w:pStyle w:val="TextBody"/>
        <w:bidi w:val="0"/>
        <w:spacing w:before="3"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jc w:val="left"/>
        <w:rPr/>
      </w:pPr>
      <w:r>
        <w:rPr>
          <w:rFonts w:ascii="Times New Roman" w:hAnsi="Times New Roman"/>
          <w:color w:val="000000"/>
          <w:sz w:val="20"/>
        </w:rPr>
        <w:t>Except</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otherwise</w:t>
      </w:r>
      <w:r>
        <w:rPr>
          <w:color w:val="000000"/>
        </w:rPr>
        <w:t xml:space="preserve"> </w:t>
      </w:r>
      <w:r>
        <w:rPr>
          <w:rFonts w:ascii="Times New Roman" w:hAnsi="Times New Roman"/>
          <w:color w:val="000000"/>
          <w:sz w:val="20"/>
        </w:rPr>
        <w:t>required</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law</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Amended</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Restated</w:t>
      </w:r>
      <w:r>
        <w:rPr>
          <w:color w:val="000000"/>
        </w:rPr>
        <w:t xml:space="preserve"> </w:t>
      </w:r>
      <w:r>
        <w:rPr>
          <w:rFonts w:ascii="Times New Roman" w:hAnsi="Times New Roman"/>
          <w:color w:val="000000"/>
          <w:sz w:val="20"/>
        </w:rPr>
        <w:t>Certificate</w:t>
      </w:r>
      <w:r>
        <w:rPr>
          <w:color w:val="000000"/>
        </w:rPr>
        <w:t xml:space="preserve"> </w:t>
      </w:r>
      <w:r>
        <w:rPr>
          <w:rFonts w:ascii="Times New Roman" w:hAnsi="Times New Roman"/>
          <w:color w:val="000000"/>
          <w:sz w:val="20"/>
        </w:rPr>
        <w:t>(including</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Preferred Stock Designation), at any annual or special meeting of the stockholders of the Corporation, holders of Common Stock shall have the exclusive right to vote for the election of directors and on all other matters properly submitted</w:t>
      </w:r>
      <w:r>
        <w:rPr>
          <w:color w:val="000000"/>
        </w:rPr>
        <w:t xml:space="preserve"> </w:t>
      </w:r>
      <w:r>
        <w:rPr>
          <w:rFonts w:ascii="Times New Roman" w:hAnsi="Times New Roman"/>
          <w:color w:val="000000"/>
          <w:sz w:val="20"/>
        </w:rPr>
        <w:t>to a vote of the stockholders. Notwithstanding the foregoing, except as otherwise required by law or this Amended and Restated Certificate (including any Preferred Stock Designation), holders of shares of Common Stock shall not be entitled to vote on any amendment to this Amended and Restated Certificate (including any amendment to any Preferred Stock Designation) that relates solely to the terms of one or more outstanding series of Preferred Stock if the holders of such affected series of Preferred Stock are entitled exclusively, either separately or together with the holders of one or more other such series, to vote thereon pursuant to this Amended and Restated Certificate (including any Preferred Stock Designation) or the DGCL.</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i/>
          <w:color w:val="000000"/>
          <w:sz w:val="20"/>
        </w:rPr>
        <w:t>Dividends</w:t>
      </w:r>
      <w:r>
        <w:rPr>
          <w:rFonts w:ascii="Times New Roman" w:hAnsi="Times New Roman"/>
          <w:color w:val="000000"/>
          <w:sz w:val="20"/>
        </w:rPr>
        <w:t>. Subject to applicable law, the rights, if any, of the holders of any outstanding series of the Preferred Stock, the holders of shares of Common Stock shall be entitled to receive such dividends and other distributions</w:t>
      </w:r>
      <w:r>
        <w:rPr>
          <w:color w:val="000000"/>
        </w:rPr>
        <w:t xml:space="preserve"> </w:t>
      </w:r>
      <w:r>
        <w:rPr>
          <w:rFonts w:ascii="Times New Roman" w:hAnsi="Times New Roman"/>
          <w:color w:val="000000"/>
          <w:sz w:val="20"/>
        </w:rPr>
        <w:t>(payable</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cash,</w:t>
      </w:r>
      <w:r>
        <w:rPr>
          <w:color w:val="000000"/>
        </w:rPr>
        <w:t xml:space="preserve"> </w:t>
      </w:r>
      <w:r>
        <w:rPr>
          <w:rFonts w:ascii="Times New Roman" w:hAnsi="Times New Roman"/>
          <w:color w:val="000000"/>
          <w:sz w:val="20"/>
        </w:rPr>
        <w:t>property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capital</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Corporation)</w:t>
      </w:r>
      <w:r>
        <w:rPr>
          <w:color w:val="000000"/>
        </w:rPr>
        <w:t xml:space="preserve"> </w:t>
      </w:r>
      <w:r>
        <w:rPr>
          <w:rFonts w:ascii="Times New Roman" w:hAnsi="Times New Roman"/>
          <w:color w:val="000000"/>
          <w:sz w:val="20"/>
        </w:rPr>
        <w:t>when,</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if</w:t>
      </w:r>
      <w:r>
        <w:rPr>
          <w:color w:val="000000"/>
        </w:rPr>
        <w:t xml:space="preserve"> </w:t>
      </w:r>
      <w:r>
        <w:rPr>
          <w:rFonts w:ascii="Times New Roman" w:hAnsi="Times New Roman"/>
          <w:color w:val="000000"/>
          <w:sz w:val="20"/>
        </w:rPr>
        <w:t>declared</w:t>
      </w:r>
      <w:r>
        <w:rPr>
          <w:color w:val="000000"/>
        </w:rPr>
        <w:t xml:space="preserve"> </w:t>
      </w:r>
      <w:r>
        <w:rPr>
          <w:rFonts w:ascii="Times New Roman" w:hAnsi="Times New Roman"/>
          <w:color w:val="000000"/>
          <w:sz w:val="20"/>
        </w:rPr>
        <w:t>thereon</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the Board from time to time out of any assets or funds of the Corporation legally available therefor and shall share equally on a per share basis in such dividends and distributions.</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i/>
          <w:color w:val="000000"/>
          <w:sz w:val="20"/>
        </w:rPr>
        <w:t>Liquidation,</w:t>
      </w:r>
      <w:r>
        <w:rPr>
          <w:color w:val="000000"/>
        </w:rPr>
        <w:t xml:space="preserve"> </w:t>
      </w:r>
      <w:r>
        <w:rPr>
          <w:rFonts w:ascii="Times New Roman" w:hAnsi="Times New Roman"/>
          <w:i/>
          <w:color w:val="000000"/>
          <w:sz w:val="20"/>
        </w:rPr>
        <w:t>Dissolution</w:t>
      </w:r>
      <w:r>
        <w:rPr>
          <w:color w:val="000000"/>
        </w:rPr>
        <w:t xml:space="preserve"> </w:t>
      </w:r>
      <w:r>
        <w:rPr>
          <w:rFonts w:ascii="Times New Roman" w:hAnsi="Times New Roman"/>
          <w:i/>
          <w:color w:val="000000"/>
          <w:sz w:val="20"/>
        </w:rPr>
        <w:t>or</w:t>
      </w:r>
      <w:r>
        <w:rPr>
          <w:color w:val="000000"/>
        </w:rPr>
        <w:t xml:space="preserve"> </w:t>
      </w:r>
      <w:r>
        <w:rPr>
          <w:rFonts w:ascii="Times New Roman" w:hAnsi="Times New Roman"/>
          <w:i/>
          <w:color w:val="000000"/>
          <w:sz w:val="20"/>
        </w:rPr>
        <w:t>Winding</w:t>
      </w:r>
      <w:r>
        <w:rPr>
          <w:color w:val="000000"/>
        </w:rPr>
        <w:t xml:space="preserve"> </w:t>
      </w:r>
      <w:r>
        <w:rPr>
          <w:rFonts w:ascii="Times New Roman" w:hAnsi="Times New Roman"/>
          <w:i/>
          <w:color w:val="000000"/>
          <w:sz w:val="20"/>
        </w:rPr>
        <w:t>Up</w:t>
      </w:r>
      <w:r>
        <w:rPr>
          <w:color w:val="000000"/>
        </w:rPr>
        <w:t xml:space="preserve"> </w:t>
      </w:r>
      <w:r>
        <w:rPr>
          <w:rFonts w:ascii="Times New Roman" w:hAnsi="Times New Roman"/>
          <w:i/>
          <w:color w:val="000000"/>
          <w:sz w:val="20"/>
        </w:rPr>
        <w:t>of</w:t>
      </w:r>
      <w:r>
        <w:rPr>
          <w:color w:val="000000"/>
        </w:rPr>
        <w:t xml:space="preserve"> </w:t>
      </w:r>
      <w:r>
        <w:rPr>
          <w:rFonts w:ascii="Times New Roman" w:hAnsi="Times New Roman"/>
          <w:i/>
          <w:color w:val="000000"/>
          <w:sz w:val="20"/>
        </w:rPr>
        <w:t>the</w:t>
      </w:r>
      <w:r>
        <w:rPr>
          <w:color w:val="000000"/>
        </w:rPr>
        <w:t xml:space="preserve"> </w:t>
      </w:r>
      <w:r>
        <w:rPr>
          <w:rFonts w:ascii="Times New Roman" w:hAnsi="Times New Roman"/>
          <w:i/>
          <w:color w:val="000000"/>
          <w:sz w:val="20"/>
        </w:rPr>
        <w:t>Corporation</w:t>
      </w:r>
      <w:r>
        <w:rPr>
          <w:rFonts w:ascii="Times New Roman" w:hAnsi="Times New Roman"/>
          <w:color w:val="000000"/>
          <w:sz w:val="20"/>
        </w:rPr>
        <w:t>.</w:t>
      </w:r>
      <w:r>
        <w:rPr>
          <w:color w:val="000000"/>
        </w:rPr>
        <w:t xml:space="preserve"> </w:t>
      </w:r>
      <w:r>
        <w:rPr>
          <w:rFonts w:ascii="Times New Roman" w:hAnsi="Times New Roman"/>
          <w:color w:val="000000"/>
          <w:sz w:val="20"/>
        </w:rPr>
        <w:t>Subject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applicable</w:t>
      </w:r>
      <w:r>
        <w:rPr>
          <w:color w:val="000000"/>
        </w:rPr>
        <w:t xml:space="preserve"> </w:t>
      </w:r>
      <w:r>
        <w:rPr>
          <w:rFonts w:ascii="Times New Roman" w:hAnsi="Times New Roman"/>
          <w:color w:val="000000"/>
          <w:sz w:val="20"/>
        </w:rPr>
        <w:t>law,</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rights,</w:t>
      </w:r>
      <w:r>
        <w:rPr>
          <w:color w:val="000000"/>
        </w:rPr>
        <w:t xml:space="preserve"> </w:t>
      </w:r>
      <w:r>
        <w:rPr>
          <w:rFonts w:ascii="Times New Roman" w:hAnsi="Times New Roman"/>
          <w:color w:val="000000"/>
          <w:sz w:val="20"/>
        </w:rPr>
        <w:t>if</w:t>
      </w:r>
      <w:r>
        <w:rPr>
          <w:color w:val="000000"/>
        </w:rPr>
        <w:t xml:space="preserve"> </w:t>
      </w:r>
      <w:r>
        <w:rPr>
          <w:rFonts w:ascii="Times New Roman" w:hAnsi="Times New Roman"/>
          <w:color w:val="000000"/>
          <w:sz w:val="20"/>
        </w:rPr>
        <w:t>any, of the holders of any 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w:t>
      </w:r>
      <w:r>
        <w:rPr>
          <w:color w:val="000000"/>
        </w:rPr>
        <w:t xml:space="preserve"> </w:t>
      </w:r>
      <w:r>
        <w:rPr>
          <w:rFonts w:ascii="Times New Roman" w:hAnsi="Times New Roman"/>
          <w:color w:val="000000"/>
          <w:sz w:val="20"/>
        </w:rPr>
        <w:t>assets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Corporation</w:t>
      </w:r>
      <w:r>
        <w:rPr>
          <w:color w:val="000000"/>
        </w:rPr>
        <w:t xml:space="preserve"> </w:t>
      </w:r>
      <w:r>
        <w:rPr>
          <w:rFonts w:ascii="Times New Roman" w:hAnsi="Times New Roman"/>
          <w:color w:val="000000"/>
          <w:sz w:val="20"/>
        </w:rPr>
        <w:t>available</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distribution</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its</w:t>
      </w:r>
      <w:r>
        <w:rPr>
          <w:color w:val="000000"/>
        </w:rPr>
        <w:t xml:space="preserve"> </w:t>
      </w:r>
      <w:r>
        <w:rPr>
          <w:rFonts w:ascii="Times New Roman" w:hAnsi="Times New Roman"/>
          <w:color w:val="000000"/>
          <w:sz w:val="20"/>
        </w:rPr>
        <w:t>stockholders,</w:t>
      </w:r>
      <w:r>
        <w:rPr>
          <w:color w:val="000000"/>
        </w:rPr>
        <w:t xml:space="preserve"> </w:t>
      </w:r>
      <w:r>
        <w:rPr>
          <w:rFonts w:ascii="Times New Roman" w:hAnsi="Times New Roman"/>
          <w:color w:val="000000"/>
          <w:sz w:val="20"/>
        </w:rPr>
        <w:t>ratably</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proportion</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number of shares held by them.</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4.4 </w:t>
      </w:r>
      <w:r>
        <w:rPr>
          <w:rFonts w:ascii="Times New Roman" w:hAnsi="Times New Roman"/>
          <w:color w:val="000000"/>
          <w:sz w:val="20"/>
          <w:u w:val="single"/>
        </w:rPr>
        <w:t>Rights and Options</w:t>
      </w:r>
      <w:r>
        <w:rPr>
          <w:rFonts w:ascii="Times New Roman" w:hAnsi="Times New Roman"/>
          <w:color w:val="000000"/>
          <w:sz w:val="20"/>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pStyle w:val="Heading1"/>
        <w:bidi w:val="0"/>
        <w:spacing w:before="228" w:after="283"/>
        <w:jc w:val="left"/>
        <w:rPr>
          <w:rFonts w:ascii="Times New Roman" w:hAnsi="Times New Roman"/>
          <w:color w:val="000000"/>
          <w:sz w:val="20"/>
        </w:rPr>
      </w:pPr>
      <w:r>
        <w:rPr>
          <w:rFonts w:ascii="Times New Roman" w:hAnsi="Times New Roman"/>
          <w:color w:val="000000"/>
          <w:sz w:val="20"/>
        </w:rPr>
        <w:t>ARTICLE V BOARD OF DIRECTORS</w:t>
      </w:r>
    </w:p>
    <w:p>
      <w:pPr>
        <w:pStyle w:val="TextBody"/>
        <w:bidi w:val="0"/>
        <w:spacing w:before="1"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5.1 </w:t>
      </w:r>
      <w:r>
        <w:rPr>
          <w:rFonts w:ascii="Times New Roman" w:hAnsi="Times New Roman"/>
          <w:color w:val="000000"/>
          <w:sz w:val="20"/>
          <w:u w:val="single"/>
        </w:rPr>
        <w:t>Board Powers</w:t>
      </w:r>
      <w:r>
        <w:rPr>
          <w:rFonts w:ascii="Times New Roman" w:hAnsi="Times New Roman"/>
          <w:color w:val="000000"/>
          <w:sz w:val="20"/>
        </w:rPr>
        <w:t>. The business and affairs of the Corporation shall be managed by, or under the direction of, the Board. In addition to the powers and authority expressly conferred upon the Board by statute, this Amended and Restated Certificate or the Bylaws of the Corporation (“</w:t>
      </w:r>
      <w:r>
        <w:rPr>
          <w:rFonts w:ascii="Times New Roman" w:hAnsi="Times New Roman"/>
          <w:b/>
          <w:i/>
          <w:color w:val="000000"/>
          <w:sz w:val="20"/>
        </w:rPr>
        <w:t>Bylaws</w:t>
      </w:r>
      <w:r>
        <w:rPr>
          <w:rFonts w:ascii="Times New Roman" w:hAnsi="Times New Roman"/>
          <w:color w:val="000000"/>
          <w:sz w:val="20"/>
        </w:rPr>
        <w:t>”), the Board is hereby empowered 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exercise all such powers and do all such acts and things as may be exercised or done by the Corporation, subject, nevertheless, to the provisions of the DGCL, this Amended and Restated Certificate, and any Bylaws adopted by the stockholders of the Corporation; provided, however, that no Bylaws hereafter adopted by the stockholders of the Corporation shall invalidate any prior act of the Board that would have been valid if such Bylaws had not been adopted.</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5.2 </w:t>
      </w:r>
      <w:r>
        <w:rPr>
          <w:rFonts w:ascii="Times New Roman" w:hAnsi="Times New Roman"/>
          <w:color w:val="000000"/>
          <w:sz w:val="20"/>
          <w:u w:val="single"/>
        </w:rPr>
        <w:t>Number, Election and Term</w:t>
      </w:r>
      <w:r>
        <w:rPr>
          <w:rFonts w:ascii="Times New Roman" w:hAnsi="Times New Roman"/>
          <w:color w:val="000000"/>
          <w:sz w:val="20"/>
        </w:rPr>
        <w:t>.</w:t>
      </w:r>
    </w:p>
    <w:p>
      <w:pPr>
        <w:pStyle w:val="TextBody"/>
        <w:bidi w:val="0"/>
        <w:spacing w:before="228"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28" w:after="283"/>
        <w:jc w:val="left"/>
        <w:rPr/>
      </w:pPr>
      <w:r>
        <w:rPr>
          <w:rFonts w:ascii="Times New Roman" w:hAnsi="Times New Roman"/>
          <w:color w:val="000000"/>
          <w:sz w:val="20"/>
        </w:rPr>
        <w:t>The</w:t>
      </w:r>
      <w:r>
        <w:rPr>
          <w:color w:val="000000"/>
        </w:rPr>
        <w:t xml:space="preserve"> </w:t>
      </w:r>
      <w:r>
        <w:rPr>
          <w:rFonts w:ascii="Times New Roman" w:hAnsi="Times New Roman"/>
          <w:color w:val="000000"/>
          <w:sz w:val="20"/>
        </w:rPr>
        <w:t>number</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directors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Corporation,</w:t>
      </w:r>
      <w:r>
        <w:rPr>
          <w:color w:val="000000"/>
        </w:rPr>
        <w:t xml:space="preserve"> </w:t>
      </w:r>
      <w:r>
        <w:rPr>
          <w:rFonts w:ascii="Times New Roman" w:hAnsi="Times New Roman"/>
          <w:color w:val="000000"/>
          <w:sz w:val="20"/>
        </w:rPr>
        <w:t>other</w:t>
      </w:r>
      <w:r>
        <w:rPr>
          <w:color w:val="000000"/>
        </w:rPr>
        <w:t xml:space="preserve"> </w:t>
      </w:r>
      <w:r>
        <w:rPr>
          <w:rFonts w:ascii="Times New Roman" w:hAnsi="Times New Roman"/>
          <w:color w:val="000000"/>
          <w:sz w:val="20"/>
        </w:rPr>
        <w:t>than</w:t>
      </w:r>
      <w:r>
        <w:rPr>
          <w:color w:val="000000"/>
        </w:rPr>
        <w:t xml:space="preserve"> </w:t>
      </w:r>
      <w:r>
        <w:rPr>
          <w:rFonts w:ascii="Times New Roman" w:hAnsi="Times New Roman"/>
          <w:color w:val="000000"/>
          <w:sz w:val="20"/>
        </w:rPr>
        <w:t>those</w:t>
      </w:r>
      <w:r>
        <w:rPr>
          <w:color w:val="000000"/>
        </w:rPr>
        <w:t xml:space="preserve"> </w:t>
      </w:r>
      <w:r>
        <w:rPr>
          <w:rFonts w:ascii="Times New Roman" w:hAnsi="Times New Roman"/>
          <w:color w:val="000000"/>
          <w:sz w:val="20"/>
        </w:rPr>
        <w:t>who</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elected</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one or more series of the Preferred Stock voting separately by class or series, shall be fixed from time to time exclusively by the Board pursuant to a resolution adopted by a majority of the Board.</w:t>
      </w:r>
    </w:p>
    <w:p>
      <w:pPr>
        <w:pStyle w:val="TextBody"/>
        <w:bidi w:val="0"/>
        <w:spacing w:before="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rPr>
        <w:t>Subject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u w:val="single"/>
        </w:rPr>
        <w:t>Section 5.5</w:t>
      </w:r>
      <w:r>
        <w:rPr>
          <w:color w:val="000000"/>
        </w:rPr>
        <w:t xml:space="preserve"> </w:t>
      </w:r>
      <w:r>
        <w:rPr>
          <w:rFonts w:ascii="Times New Roman" w:hAnsi="Times New Roman"/>
          <w:color w:val="000000"/>
          <w:sz w:val="20"/>
        </w:rPr>
        <w:t>hereof, the</w:t>
      </w:r>
      <w:r>
        <w:rPr>
          <w:color w:val="000000"/>
        </w:rPr>
        <w:t xml:space="preserve"> </w:t>
      </w:r>
      <w:r>
        <w:rPr>
          <w:rFonts w:ascii="Times New Roman" w:hAnsi="Times New Roman"/>
          <w:color w:val="000000"/>
          <w:sz w:val="20"/>
        </w:rPr>
        <w:t>Board 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divided</w:t>
      </w:r>
      <w:r>
        <w:rPr>
          <w:color w:val="000000"/>
        </w:rPr>
        <w:t xml:space="preserve"> </w:t>
      </w:r>
      <w:r>
        <w:rPr>
          <w:rFonts w:ascii="Times New Roman" w:hAnsi="Times New Roman"/>
          <w:color w:val="000000"/>
          <w:sz w:val="20"/>
        </w:rPr>
        <w:t>into three</w:t>
      </w:r>
      <w:r>
        <w:rPr>
          <w:color w:val="000000"/>
        </w:rPr>
        <w:t xml:space="preserve"> </w:t>
      </w:r>
      <w:r>
        <w:rPr>
          <w:rFonts w:ascii="Times New Roman" w:hAnsi="Times New Roman"/>
          <w:color w:val="000000"/>
          <w:sz w:val="20"/>
        </w:rPr>
        <w:t>classes, as</w:t>
      </w:r>
      <w:r>
        <w:rPr>
          <w:color w:val="000000"/>
        </w:rPr>
        <w:t xml:space="preserve"> </w:t>
      </w:r>
      <w:r>
        <w:rPr>
          <w:rFonts w:ascii="Times New Roman" w:hAnsi="Times New Roman"/>
          <w:color w:val="000000"/>
          <w:sz w:val="20"/>
        </w:rPr>
        <w:t>nearly equal</w:t>
      </w:r>
      <w:r>
        <w:rPr>
          <w:color w:val="000000"/>
        </w:rPr>
        <w:t xml:space="preserve"> </w:t>
      </w:r>
      <w:r>
        <w:rPr>
          <w:rFonts w:ascii="Times New Roman" w:hAnsi="Times New Roman"/>
          <w:color w:val="000000"/>
          <w:sz w:val="20"/>
        </w:rPr>
        <w:t>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w:t>
      </w:r>
      <w:r>
        <w:rPr>
          <w:color w:val="000000"/>
        </w:rPr>
        <w:t xml:space="preserve"> </w:t>
      </w:r>
      <w:r>
        <w:rPr>
          <w:rFonts w:ascii="Times New Roman" w:hAnsi="Times New Roman"/>
          <w:color w:val="000000"/>
          <w:sz w:val="20"/>
        </w:rPr>
        <w:t>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w:t>
      </w:r>
      <w:r>
        <w:rPr>
          <w:color w:val="000000"/>
        </w:rPr>
        <w:t xml:space="preserve"> </w:t>
      </w:r>
      <w:r>
        <w:rPr>
          <w:rFonts w:ascii="Times New Roman" w:hAnsi="Times New Roman"/>
          <w:color w:val="000000"/>
          <w:sz w:val="20"/>
        </w:rPr>
        <w:t xml:space="preserve">to their earlier death, resignation or removal. Subject to </w:t>
      </w:r>
      <w:r>
        <w:rPr>
          <w:rFonts w:ascii="Times New Roman" w:hAnsi="Times New Roman"/>
          <w:color w:val="000000"/>
          <w:sz w:val="20"/>
          <w:u w:val="single"/>
        </w:rPr>
        <w:t>Section 5.5</w:t>
      </w:r>
      <w:r>
        <w:rPr>
          <w:color w:val="000000"/>
        </w:rPr>
        <w:t xml:space="preserve"> </w:t>
      </w:r>
      <w:r>
        <w:rPr>
          <w:rFonts w:ascii="Times New Roman" w:hAnsi="Times New Roman"/>
          <w:color w:val="000000"/>
          <w:sz w:val="20"/>
        </w:rPr>
        <w:t>hereof, if the number of directors that constitute the Board is changed, any increase or decrease shall be apportioned by the Board among the classes so as to maintain the number of directors in each class as nearly equal</w:t>
      </w:r>
      <w:r>
        <w:rPr>
          <w:color w:val="000000"/>
        </w:rPr>
        <w:t xml:space="preserve"> </w:t>
      </w:r>
      <w:r>
        <w:rPr>
          <w:rFonts w:ascii="Times New Roman" w:hAnsi="Times New Roman"/>
          <w:color w:val="000000"/>
          <w:sz w:val="20"/>
        </w:rPr>
        <w:t>as possible, but in no case shall a decrease in the number of</w:t>
      </w:r>
      <w:r>
        <w:rPr>
          <w:color w:val="000000"/>
        </w:rPr>
        <w:t xml:space="preserve"> </w:t>
      </w:r>
      <w:r>
        <w:rPr>
          <w:rFonts w:ascii="Times New Roman" w:hAnsi="Times New Roman"/>
          <w:color w:val="000000"/>
          <w:sz w:val="20"/>
        </w:rPr>
        <w:t>directors constituting the Board shorten the term of any incumbent</w:t>
      </w:r>
      <w:r>
        <w:rPr>
          <w:color w:val="000000"/>
        </w:rPr>
        <w:t xml:space="preserve"> </w:t>
      </w:r>
      <w:r>
        <w:rPr>
          <w:rFonts w:ascii="Times New Roman" w:hAnsi="Times New Roman"/>
          <w:color w:val="000000"/>
          <w:sz w:val="20"/>
        </w:rPr>
        <w:t>director.</w:t>
      </w:r>
      <w:r>
        <w:rPr>
          <w:color w:val="000000"/>
        </w:rPr>
        <w:t xml:space="preserve"> </w:t>
      </w:r>
      <w:r>
        <w:rPr>
          <w:rFonts w:ascii="Times New Roman" w:hAnsi="Times New Roman"/>
          <w:color w:val="000000"/>
          <w:sz w:val="20"/>
        </w:rPr>
        <w:t>Subject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rights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one</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more</w:t>
      </w:r>
      <w:r>
        <w:rPr>
          <w:color w:val="000000"/>
        </w:rPr>
        <w:t xml:space="preserve"> </w:t>
      </w:r>
      <w:r>
        <w:rPr>
          <w:rFonts w:ascii="Times New Roman" w:hAnsi="Times New Roman"/>
          <w:color w:val="000000"/>
          <w:sz w:val="20"/>
        </w:rPr>
        <w:t>series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Preferred</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voting</w:t>
      </w:r>
      <w:r>
        <w:rPr>
          <w:color w:val="000000"/>
        </w:rPr>
        <w:t xml:space="preserve"> </w:t>
      </w:r>
      <w:r>
        <w:rPr>
          <w:rFonts w:ascii="Times New Roman" w:hAnsi="Times New Roman"/>
          <w:color w:val="000000"/>
          <w:sz w:val="20"/>
        </w:rPr>
        <w:t>separately</w:t>
      </w:r>
      <w:r>
        <w:rPr>
          <w:color w:val="000000"/>
        </w:rPr>
        <w:t xml:space="preserve"> </w:t>
      </w:r>
      <w:r>
        <w:rPr>
          <w:rFonts w:ascii="Times New Roman" w:hAnsi="Times New Roman"/>
          <w:color w:val="000000"/>
          <w:sz w:val="20"/>
        </w:rPr>
        <w:t>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Subject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u w:val="single"/>
        </w:rPr>
        <w:t>Section</w:t>
      </w:r>
      <w:r>
        <w:rPr>
          <w:color w:val="000000"/>
          <w:u w:val="single"/>
        </w:rPr>
        <w:t xml:space="preserve"> </w:t>
      </w:r>
      <w:r>
        <w:rPr>
          <w:rFonts w:ascii="Times New Roman" w:hAnsi="Times New Roman"/>
          <w:color w:val="000000"/>
          <w:sz w:val="20"/>
          <w:u w:val="single"/>
        </w:rPr>
        <w:t>5.5</w:t>
      </w:r>
      <w:r>
        <w:rPr>
          <w:color w:val="000000"/>
        </w:rPr>
        <w:t xml:space="preserve"> </w:t>
      </w:r>
      <w:r>
        <w:rPr>
          <w:rFonts w:ascii="Times New Roman" w:hAnsi="Times New Roman"/>
          <w:color w:val="000000"/>
          <w:sz w:val="20"/>
        </w:rPr>
        <w:t>hereof,</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director</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hold</w:t>
      </w:r>
      <w:r>
        <w:rPr>
          <w:color w:val="000000"/>
        </w:rPr>
        <w:t xml:space="preserve"> </w:t>
      </w:r>
      <w:r>
        <w:rPr>
          <w:rFonts w:ascii="Times New Roman" w:hAnsi="Times New Roman"/>
          <w:color w:val="000000"/>
          <w:sz w:val="20"/>
        </w:rPr>
        <w:t>office</w:t>
      </w:r>
      <w:r>
        <w:rPr>
          <w:color w:val="000000"/>
        </w:rPr>
        <w:t xml:space="preserve"> </w:t>
      </w:r>
      <w:r>
        <w:rPr>
          <w:rFonts w:ascii="Times New Roman" w:hAnsi="Times New Roman"/>
          <w:color w:val="000000"/>
          <w:sz w:val="20"/>
        </w:rPr>
        <w:t>until</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annual</w:t>
      </w:r>
      <w:r>
        <w:rPr>
          <w:color w:val="000000"/>
        </w:rPr>
        <w:t xml:space="preserve"> </w:t>
      </w:r>
      <w:r>
        <w:rPr>
          <w:rFonts w:ascii="Times New Roman" w:hAnsi="Times New Roman"/>
          <w:color w:val="000000"/>
          <w:sz w:val="20"/>
        </w:rPr>
        <w:t>meeting</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year</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which his or her term expires and until his or her successor has been elected and qualified, subject, however, to such director’s earlier death, resignation, retirement, disqualification or removal.</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29" w:after="283"/>
        <w:jc w:val="left"/>
        <w:rPr/>
      </w:pPr>
      <w:r>
        <w:rPr>
          <w:rFonts w:ascii="Times New Roman" w:hAnsi="Times New Roman"/>
          <w:color w:val="000000"/>
          <w:sz w:val="20"/>
        </w:rPr>
        <w:t>Unless</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except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extent</w:t>
      </w:r>
      <w:r>
        <w:rPr>
          <w:color w:val="000000"/>
        </w:rPr>
        <w:t xml:space="preserve"> </w:t>
      </w:r>
      <w:r>
        <w:rPr>
          <w:rFonts w:ascii="Times New Roman" w:hAnsi="Times New Roman"/>
          <w:color w:val="000000"/>
          <w:sz w:val="20"/>
        </w:rPr>
        <w:t>that</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Bylaws</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so</w:t>
      </w:r>
      <w:r>
        <w:rPr>
          <w:color w:val="000000"/>
        </w:rPr>
        <w:t xml:space="preserve"> </w:t>
      </w:r>
      <w:r>
        <w:rPr>
          <w:rFonts w:ascii="Times New Roman" w:hAnsi="Times New Roman"/>
          <w:color w:val="000000"/>
          <w:sz w:val="20"/>
        </w:rPr>
        <w:t>require,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election</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directors</w:t>
      </w:r>
      <w:r>
        <w:rPr>
          <w:color w:val="000000"/>
        </w:rPr>
        <w:t xml:space="preserve"> </w:t>
      </w:r>
      <w:r>
        <w:rPr>
          <w:rFonts w:ascii="Times New Roman" w:hAnsi="Times New Roman"/>
          <w:color w:val="000000"/>
          <w:sz w:val="20"/>
        </w:rPr>
        <w:t>need</w:t>
      </w:r>
      <w:r>
        <w:rPr>
          <w:color w:val="000000"/>
        </w:rPr>
        <w:t xml:space="preserve"> </w:t>
      </w:r>
      <w:r>
        <w:rPr>
          <w:rFonts w:ascii="Times New Roman" w:hAnsi="Times New Roman"/>
          <w:color w:val="000000"/>
          <w:sz w:val="20"/>
        </w:rPr>
        <w:t>not</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by written ballot. The holders of shares of Common Stock shall not have cumulative voting rights with regard to election of directors.</w:t>
      </w:r>
    </w:p>
    <w:p>
      <w:pPr>
        <w:pStyle w:val="TextBody"/>
        <w:bidi w:val="0"/>
        <w:spacing w:before="230" w:after="283"/>
        <w:jc w:val="left"/>
        <w:rPr>
          <w:rFonts w:ascii="Times New Roman" w:hAnsi="Times New Roman"/>
          <w:sz w:val="20"/>
        </w:rPr>
      </w:pPr>
      <w:r>
        <w:rPr>
          <w:rFonts w:ascii="Times New Roman" w:hAnsi="Times New Roman"/>
          <w:color w:val="000000"/>
          <w:sz w:val="20"/>
        </w:rPr>
        <w:t xml:space="preserve">Section 5.3 </w:t>
      </w:r>
      <w:r>
        <w:rPr>
          <w:rFonts w:ascii="Times New Roman" w:hAnsi="Times New Roman"/>
          <w:color w:val="000000"/>
          <w:sz w:val="20"/>
          <w:u w:val="single"/>
        </w:rPr>
        <w:t>Newly Created Directorships and Vacancies</w:t>
      </w:r>
      <w:r>
        <w:rPr>
          <w:rFonts w:ascii="Times New Roman" w:hAnsi="Times New Roman"/>
          <w:color w:val="000000"/>
          <w:sz w:val="20"/>
        </w:rPr>
        <w:t xml:space="preserve">. Subject to </w:t>
      </w:r>
      <w:r>
        <w:rPr>
          <w:rFonts w:ascii="Times New Roman" w:hAnsi="Times New Roman"/>
          <w:color w:val="000000"/>
          <w:sz w:val="20"/>
          <w:u w:val="single"/>
        </w:rPr>
        <w:t>Section 5.5</w:t>
      </w:r>
      <w:r>
        <w:rPr>
          <w:rFonts w:ascii="Times New Roman" w:hAnsi="Times New Roman"/>
          <w:color w:val="000000"/>
          <w:sz w:val="20"/>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5.4 </w:t>
      </w:r>
      <w:r>
        <w:rPr>
          <w:rFonts w:ascii="Times New Roman" w:hAnsi="Times New Roman"/>
          <w:color w:val="000000"/>
          <w:sz w:val="20"/>
          <w:u w:val="single"/>
        </w:rPr>
        <w:t>Removal</w:t>
      </w:r>
      <w:r>
        <w:rPr>
          <w:rFonts w:ascii="Times New Roman" w:hAnsi="Times New Roman"/>
          <w:color w:val="000000"/>
          <w:sz w:val="20"/>
        </w:rPr>
        <w:t xml:space="preserve">. Subject to </w:t>
      </w:r>
      <w:r>
        <w:rPr>
          <w:rFonts w:ascii="Times New Roman" w:hAnsi="Times New Roman"/>
          <w:color w:val="000000"/>
          <w:sz w:val="20"/>
          <w:u w:val="single"/>
        </w:rPr>
        <w:t>Section 5.5</w:t>
      </w:r>
      <w:r>
        <w:rPr>
          <w:rFonts w:ascii="Times New Roman" w:hAnsi="Times New Roman"/>
          <w:color w:val="000000"/>
          <w:sz w:val="20"/>
        </w:rPr>
        <w:t xml:space="preserve"> hereof, any or all of the directors may be removed from office at any time, but only for cause and only by the affirmative vote of holders of at least sixty-six and two -thirds percent (66 2/3%) of the voting power of the then outstanding shares of capital stock of the Corporation entitled to vote generally in the election of directors, voting together as a single class.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Section 5.5 </w:t>
      </w:r>
      <w:r>
        <w:rPr>
          <w:rFonts w:ascii="Times New Roman" w:hAnsi="Times New Roman"/>
          <w:color w:val="000000"/>
          <w:sz w:val="20"/>
          <w:u w:val="single"/>
        </w:rPr>
        <w:t>Preferred Stock - Directors</w:t>
      </w:r>
      <w:r>
        <w:rPr>
          <w:rFonts w:ascii="Times New Roman" w:hAnsi="Times New Roman"/>
          <w:color w:val="000000"/>
          <w:sz w:val="20"/>
        </w:rPr>
        <w:t xml:space="preserve">. Notwithstanding any other provision of this </w:t>
      </w:r>
      <w:r>
        <w:rPr>
          <w:rFonts w:ascii="Times New Roman" w:hAnsi="Times New Roman"/>
          <w:i/>
          <w:color w:val="000000"/>
          <w:sz w:val="20"/>
        </w:rPr>
        <w:t>Article V</w:t>
      </w:r>
      <w:r>
        <w:rPr>
          <w:rFonts w:ascii="Times New Roman" w:hAnsi="Times New Roman"/>
          <w:color w:val="000000"/>
          <w:sz w:val="20"/>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 w:hAnsi="Times New Roman"/>
          <w:i/>
          <w:color w:val="000000"/>
          <w:sz w:val="20"/>
        </w:rPr>
        <w:t xml:space="preserve">Article V </w:t>
      </w:r>
      <w:r>
        <w:rPr>
          <w:rFonts w:ascii="Times New Roman" w:hAnsi="Times New Roman"/>
          <w:color w:val="000000"/>
          <w:sz w:val="20"/>
        </w:rPr>
        <w:t>unless expressly provided by such terms.</w:t>
      </w:r>
    </w:p>
    <w:p>
      <w:pPr>
        <w:pStyle w:val="Heading1"/>
        <w:bidi w:val="0"/>
        <w:spacing w:before="229" w:after="283"/>
        <w:jc w:val="center"/>
        <w:rPr>
          <w:rFonts w:ascii="Times New Roman" w:hAnsi="Times New Roman"/>
          <w:color w:val="000000"/>
          <w:sz w:val="20"/>
        </w:rPr>
      </w:pPr>
      <w:r>
        <w:rPr>
          <w:rFonts w:ascii="Times New Roman" w:hAnsi="Times New Roman"/>
          <w:color w:val="000000"/>
          <w:sz w:val="20"/>
        </w:rPr>
        <w:t>ARTICLE VI BYLAWS</w:t>
      </w:r>
    </w:p>
    <w:p>
      <w:pPr>
        <w:pStyle w:val="TextBody"/>
        <w:bidi w:val="0"/>
        <w:spacing w:before="2"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ARTICLE VII</w:t>
      </w:r>
    </w:p>
    <w:p>
      <w:pPr>
        <w:pStyle w:val="TextBody"/>
        <w:bidi w:val="0"/>
        <w:spacing w:before="1" w:after="283"/>
        <w:jc w:val="center"/>
        <w:rPr>
          <w:rFonts w:ascii="Times New Roman" w:hAnsi="Times New Roman"/>
          <w:sz w:val="20"/>
        </w:rPr>
      </w:pPr>
      <w:r>
        <w:rPr>
          <w:rFonts w:ascii="Times New Roman" w:hAnsi="Times New Roman"/>
          <w:b/>
          <w:color w:val="000000"/>
          <w:sz w:val="20"/>
        </w:rPr>
        <w:t>SPECIAL</w:t>
      </w:r>
      <w:r>
        <w:rPr>
          <w:rFonts w:ascii="Times New Roman" w:hAnsi="Times New Roman"/>
          <w:color w:val="000000"/>
          <w:sz w:val="20"/>
        </w:rPr>
        <w:t xml:space="preserve"> </w:t>
      </w:r>
      <w:r>
        <w:rPr>
          <w:rFonts w:ascii="Times New Roman" w:hAnsi="Times New Roman"/>
          <w:b/>
          <w:color w:val="000000"/>
          <w:sz w:val="20"/>
        </w:rPr>
        <w:t>MEETINGS</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STOCKHOLDERS;</w:t>
      </w:r>
      <w:r>
        <w:rPr>
          <w:rFonts w:ascii="Times New Roman" w:hAnsi="Times New Roman"/>
          <w:color w:val="000000"/>
          <w:sz w:val="20"/>
        </w:rPr>
        <w:t xml:space="preserve"> </w:t>
      </w:r>
      <w:r>
        <w:rPr>
          <w:rFonts w:ascii="Times New Roman" w:hAnsi="Times New Roman"/>
          <w:b/>
          <w:color w:val="000000"/>
          <w:sz w:val="20"/>
        </w:rPr>
        <w:t>ADVANCE</w:t>
      </w:r>
      <w:r>
        <w:rPr>
          <w:rFonts w:ascii="Times New Roman" w:hAnsi="Times New Roman"/>
          <w:color w:val="000000"/>
          <w:sz w:val="20"/>
        </w:rPr>
        <w:t xml:space="preserve"> </w:t>
      </w:r>
      <w:r>
        <w:rPr>
          <w:rFonts w:ascii="Times New Roman" w:hAnsi="Times New Roman"/>
          <w:b/>
          <w:color w:val="000000"/>
          <w:sz w:val="20"/>
        </w:rPr>
        <w:t>NOTICE;</w:t>
      </w:r>
      <w:r>
        <w:rPr>
          <w:rFonts w:ascii="Times New Roman" w:hAnsi="Times New Roman"/>
          <w:color w:val="000000"/>
          <w:sz w:val="20"/>
        </w:rPr>
        <w:t xml:space="preserve"> </w:t>
      </w:r>
      <w:r>
        <w:rPr>
          <w:rFonts w:ascii="Times New Roman" w:hAnsi="Times New Roman"/>
          <w:b/>
          <w:color w:val="000000"/>
          <w:sz w:val="20"/>
        </w:rPr>
        <w:t>NO</w:t>
      </w:r>
      <w:r>
        <w:rPr>
          <w:rFonts w:ascii="Times New Roman" w:hAnsi="Times New Roman"/>
          <w:color w:val="000000"/>
          <w:sz w:val="20"/>
        </w:rPr>
        <w:t xml:space="preserve"> </w:t>
      </w:r>
      <w:r>
        <w:rPr>
          <w:rFonts w:ascii="Times New Roman" w:hAnsi="Times New Roman"/>
          <w:b/>
          <w:color w:val="000000"/>
          <w:sz w:val="20"/>
        </w:rPr>
        <w:t>ACTION</w:t>
      </w:r>
      <w:r>
        <w:rPr>
          <w:rFonts w:ascii="Times New Roman" w:hAnsi="Times New Roman"/>
          <w:color w:val="000000"/>
          <w:sz w:val="20"/>
        </w:rPr>
        <w:t xml:space="preserve"> </w:t>
      </w:r>
      <w:r>
        <w:rPr>
          <w:rFonts w:ascii="Times New Roman" w:hAnsi="Times New Roman"/>
          <w:b/>
          <w:color w:val="000000"/>
          <w:sz w:val="20"/>
        </w:rPr>
        <w:t>BY</w:t>
      </w:r>
      <w:r>
        <w:rPr>
          <w:rFonts w:ascii="Times New Roman" w:hAnsi="Times New Roman"/>
          <w:color w:val="000000"/>
          <w:sz w:val="20"/>
        </w:rPr>
        <w:t xml:space="preserve"> </w:t>
      </w:r>
      <w:r>
        <w:rPr>
          <w:rFonts w:ascii="Times New Roman" w:hAnsi="Times New Roman"/>
          <w:b/>
          <w:color w:val="000000"/>
          <w:sz w:val="20"/>
        </w:rPr>
        <w:t>WRITTEN CONSENT</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7.1 </w:t>
      </w:r>
      <w:r>
        <w:rPr>
          <w:rFonts w:ascii="Times New Roman" w:hAnsi="Times New Roman"/>
          <w:color w:val="000000"/>
          <w:sz w:val="20"/>
          <w:u w:val="single"/>
        </w:rPr>
        <w:t>Special Meetings</w:t>
      </w:r>
      <w:r>
        <w:rPr>
          <w:rFonts w:ascii="Times New Roman" w:hAnsi="Times New Roman"/>
          <w:color w:val="000000"/>
          <w:sz w:val="20"/>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7.2 </w:t>
      </w:r>
      <w:r>
        <w:rPr>
          <w:rFonts w:ascii="Times New Roman" w:hAnsi="Times New Roman"/>
          <w:color w:val="000000"/>
          <w:sz w:val="20"/>
          <w:u w:val="single"/>
        </w:rPr>
        <w:t>Advance Notice</w:t>
      </w:r>
      <w:r>
        <w:rPr>
          <w:rFonts w:ascii="Times New Roman" w:hAnsi="Times New Roman"/>
          <w:color w:val="000000"/>
          <w:sz w:val="20"/>
        </w:rPr>
        <w:t>. Advance notice of stockholder nominations for the election of directors and of business to be brought by stockholders before any meeting of the stockholders of the Corporation shall be given in the manner provided in the Bylaws.</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7.3 </w:t>
      </w:r>
      <w:r>
        <w:rPr>
          <w:rFonts w:ascii="Times New Roman" w:hAnsi="Times New Roman"/>
          <w:color w:val="000000"/>
          <w:sz w:val="20"/>
          <w:u w:val="single"/>
        </w:rPr>
        <w:t>No Action by Written Consent</w:t>
      </w:r>
      <w:r>
        <w:rPr>
          <w:rFonts w:ascii="Times New Roman" w:hAnsi="Times New Roman"/>
          <w:color w:val="000000"/>
          <w:sz w:val="20"/>
        </w:rPr>
        <w:t>. Any action required or permitted to be taken by the stockholders of the Corporation must be effected by a duly called annual or special meeting of such stockholders and may not be effected by written consent of the stockholders.</w:t>
      </w:r>
    </w:p>
    <w:p>
      <w:pPr>
        <w:pStyle w:val="TextBody"/>
        <w:bidi w:val="0"/>
        <w:spacing w:before="2" w:after="283"/>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ARTICLE VIII</w:t>
      </w:r>
    </w:p>
    <w:p>
      <w:pPr>
        <w:pStyle w:val="TextBody"/>
        <w:bidi w:val="0"/>
        <w:jc w:val="center"/>
        <w:rPr>
          <w:rFonts w:ascii="Times New Roman" w:hAnsi="Times New Roman"/>
          <w:sz w:val="20"/>
        </w:rPr>
      </w:pPr>
      <w:r>
        <w:rPr>
          <w:rFonts w:ascii="Times New Roman" w:hAnsi="Times New Roman"/>
          <w:b/>
          <w:color w:val="000000"/>
          <w:sz w:val="20"/>
        </w:rPr>
        <w:t>LIMITED</w:t>
      </w:r>
      <w:r>
        <w:rPr>
          <w:rFonts w:ascii="Times New Roman" w:hAnsi="Times New Roman"/>
          <w:color w:val="000000"/>
          <w:sz w:val="20"/>
        </w:rPr>
        <w:t xml:space="preserve"> </w:t>
      </w:r>
      <w:r>
        <w:rPr>
          <w:rFonts w:ascii="Times New Roman" w:hAnsi="Times New Roman"/>
          <w:b/>
          <w:color w:val="000000"/>
          <w:sz w:val="20"/>
        </w:rPr>
        <w:t>LIABILITY;</w:t>
      </w:r>
      <w:r>
        <w:rPr>
          <w:rFonts w:ascii="Times New Roman" w:hAnsi="Times New Roman"/>
          <w:color w:val="000000"/>
          <w:sz w:val="20"/>
        </w:rPr>
        <w:t xml:space="preserve"> </w:t>
      </w:r>
      <w:r>
        <w:rPr>
          <w:rFonts w:ascii="Times New Roman" w:hAnsi="Times New Roman"/>
          <w:b/>
          <w:color w:val="000000"/>
          <w:sz w:val="20"/>
        </w:rPr>
        <w:t>INDEMNIFICATION</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8.1 </w:t>
      </w:r>
      <w:r>
        <w:rPr>
          <w:rFonts w:ascii="Times New Roman" w:hAnsi="Times New Roman"/>
          <w:color w:val="000000"/>
          <w:sz w:val="20"/>
          <w:u w:val="single"/>
        </w:rPr>
        <w:t>Limitation of Director Liability</w:t>
      </w:r>
      <w:r>
        <w:rPr>
          <w:rFonts w:ascii="Times New Roman" w:hAnsi="Times New Roman"/>
          <w:color w:val="000000"/>
          <w:sz w:val="20"/>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they violated their duty of loyalty to the Corporation or its stockholders, acted in bad faith, knowingly or intentionally violated the law, authorized unlawful payments of dividends, unlawful stock purchases or unlawful redemptions, or derived improper personal benefit from their actions as directors. Any amendment, modification or repeal of the foregoing sentence shall not adversely affect any right or protection of a director of the Corporation hereunder in respect of any act or omission occurring prior to the time of such amendment, modification or repeal.</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8.2 </w:t>
      </w:r>
      <w:r>
        <w:rPr>
          <w:rFonts w:ascii="Times New Roman" w:hAnsi="Times New Roman"/>
          <w:color w:val="000000"/>
          <w:sz w:val="20"/>
          <w:u w:val="single"/>
        </w:rPr>
        <w:t>Indemnification and Advancement of Expenses</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80" w:after="283"/>
        <w:jc w:val="left"/>
        <w:rPr/>
      </w:pPr>
      <w:r>
        <w:rPr>
          <w:rFonts w:ascii="Times New Roman" w:hAnsi="Times New Roman"/>
          <w:color w:val="000000"/>
          <w:sz w:val="20"/>
        </w:rPr>
        <w:t>To the fullest extent permitted by applicable law, as the same exists or may hereafter be amended, the Corporation</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indemnify</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hold</w:t>
      </w:r>
      <w:r>
        <w:rPr>
          <w:color w:val="000000"/>
        </w:rPr>
        <w:t xml:space="preserve"> </w:t>
      </w:r>
      <w:r>
        <w:rPr>
          <w:rFonts w:ascii="Times New Roman" w:hAnsi="Times New Roman"/>
          <w:color w:val="000000"/>
          <w:sz w:val="20"/>
        </w:rPr>
        <w:t>harmless</w:t>
      </w:r>
      <w:r>
        <w:rPr>
          <w:color w:val="000000"/>
        </w:rPr>
        <w:t xml:space="preserve"> </w:t>
      </w:r>
      <w:r>
        <w:rPr>
          <w:rFonts w:ascii="Times New Roman" w:hAnsi="Times New Roman"/>
          <w:color w:val="000000"/>
          <w:sz w:val="20"/>
        </w:rPr>
        <w:t>each</w:t>
      </w:r>
      <w:r>
        <w:rPr>
          <w:color w:val="000000"/>
        </w:rPr>
        <w:t xml:space="preserve"> </w:t>
      </w:r>
      <w:r>
        <w:rPr>
          <w:rFonts w:ascii="Times New Roman" w:hAnsi="Times New Roman"/>
          <w:color w:val="000000"/>
          <w:sz w:val="20"/>
        </w:rPr>
        <w:t>person</w:t>
      </w:r>
      <w:r>
        <w:rPr>
          <w:color w:val="000000"/>
        </w:rPr>
        <w:t xml:space="preserve"> </w:t>
      </w:r>
      <w:r>
        <w:rPr>
          <w:rFonts w:ascii="Times New Roman" w:hAnsi="Times New Roman"/>
          <w:color w:val="000000"/>
          <w:sz w:val="20"/>
        </w:rPr>
        <w:t>who</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was</w:t>
      </w:r>
      <w:r>
        <w:rPr>
          <w:color w:val="000000"/>
        </w:rPr>
        <w:t xml:space="preserve"> </w:t>
      </w:r>
      <w:r>
        <w:rPr>
          <w:rFonts w:ascii="Times New Roman" w:hAnsi="Times New Roman"/>
          <w:color w:val="000000"/>
          <w:sz w:val="20"/>
        </w:rPr>
        <w:t>made</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party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threatened</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made</w:t>
      </w:r>
      <w:r>
        <w:rPr>
          <w:color w:val="000000"/>
        </w:rPr>
        <w:t xml:space="preserve"> </w:t>
      </w:r>
      <w:r>
        <w:rPr>
          <w:rFonts w:ascii="Times New Roman" w:hAnsi="Times New Roman"/>
          <w:color w:val="000000"/>
          <w:sz w:val="20"/>
        </w:rPr>
        <w:t>a party to or is otherwise involved in any threatened, pending or completed action, suit or proceeding, whether civil, criminal, administrative or investigative (a “</w:t>
      </w:r>
      <w:r>
        <w:rPr>
          <w:rFonts w:ascii="Times New Roman" w:hAnsi="Times New Roman"/>
          <w:b/>
          <w:i/>
          <w:color w:val="000000"/>
          <w:sz w:val="20"/>
        </w:rPr>
        <w:t>proceeding</w:t>
      </w:r>
      <w:r>
        <w:rPr>
          <w:color w:val="000000"/>
        </w:rPr>
        <w:t>”</w:t>
      </w:r>
      <w:r>
        <w:rPr>
          <w:rFonts w:ascii="Times New Roman" w:hAnsi="Times New Roman"/>
          <w:color w:val="000000"/>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hAnsi="Times New Roman"/>
          <w:b/>
          <w:i/>
          <w:color w:val="000000"/>
          <w:sz w:val="20"/>
        </w:rPr>
        <w:t>indemnitee</w:t>
      </w:r>
      <w:r>
        <w:rPr>
          <w:color w:val="000000"/>
        </w:rPr>
        <w:t>”</w:t>
      </w:r>
      <w:r>
        <w:rPr>
          <w:rFonts w:ascii="Times New Roman" w:hAnsi="Times New Roman"/>
          <w:color w:val="000000"/>
          <w:sz w:val="20"/>
        </w:rPr>
        <w:t>), whether the basis of such proceeding is alleged action in an official capacity as a director, officer, employee or</w:t>
      </w:r>
      <w:r>
        <w:rPr>
          <w:color w:val="000000"/>
        </w:rPr>
        <w:t xml:space="preserve"> </w:t>
      </w:r>
      <w:r>
        <w:rPr>
          <w:rFonts w:ascii="Times New Roman" w:hAnsi="Times New Roman"/>
          <w:color w:val="000000"/>
          <w:sz w:val="20"/>
        </w:rPr>
        <w:t>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w:t>
      </w:r>
      <w:r>
        <w:rPr>
          <w:color w:val="000000"/>
        </w:rPr>
        <w:t xml:space="preserve"> </w:t>
      </w:r>
      <w:r>
        <w:rPr>
          <w:rFonts w:ascii="Times New Roman" w:hAnsi="Times New Roman"/>
          <w:color w:val="000000"/>
          <w:sz w:val="20"/>
        </w:rPr>
        <w:t>its final disposition; provided, however, that, to the extent required by applicable law, such payment of expenses in advance</w:t>
      </w:r>
      <w:r>
        <w:rPr>
          <w:color w:val="000000"/>
        </w:rPr>
        <w:t xml:space="preserve"> </w:t>
      </w:r>
      <w:r>
        <w:rPr>
          <w:rFonts w:ascii="Times New Roman" w:hAnsi="Times New Roman"/>
          <w:color w:val="000000"/>
          <w:sz w:val="20"/>
        </w:rPr>
        <w:t>of the</w:t>
      </w:r>
      <w:r>
        <w:rPr>
          <w:color w:val="000000"/>
        </w:rPr>
        <w:t xml:space="preserve"> </w:t>
      </w:r>
      <w:r>
        <w:rPr>
          <w:rFonts w:ascii="Times New Roman" w:hAnsi="Times New Roman"/>
          <w:color w:val="000000"/>
          <w:sz w:val="20"/>
        </w:rPr>
        <w:t>final</w:t>
      </w:r>
      <w:r>
        <w:rPr>
          <w:color w:val="000000"/>
        </w:rPr>
        <w:t xml:space="preserve"> </w:t>
      </w:r>
      <w:r>
        <w:rPr>
          <w:rFonts w:ascii="Times New Roman" w:hAnsi="Times New Roman"/>
          <w:color w:val="000000"/>
          <w:sz w:val="20"/>
        </w:rPr>
        <w:t>disposition of the</w:t>
      </w:r>
      <w:r>
        <w:rPr>
          <w:color w:val="000000"/>
        </w:rPr>
        <w:t xml:space="preserve"> </w:t>
      </w:r>
      <w:r>
        <w:rPr>
          <w:rFonts w:ascii="Times New Roman" w:hAnsi="Times New Roman"/>
          <w:color w:val="000000"/>
          <w:sz w:val="20"/>
        </w:rPr>
        <w:t>proceeding</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made</w:t>
      </w:r>
      <w:r>
        <w:rPr>
          <w:color w:val="000000"/>
        </w:rPr>
        <w:t xml:space="preserve"> </w:t>
      </w:r>
      <w:r>
        <w:rPr>
          <w:rFonts w:ascii="Times New Roman" w:hAnsi="Times New Roman"/>
          <w:color w:val="000000"/>
          <w:sz w:val="20"/>
        </w:rPr>
        <w:t>only</w:t>
      </w:r>
      <w:r>
        <w:rPr>
          <w:color w:val="000000"/>
        </w:rPr>
        <w:t xml:space="preserve"> </w:t>
      </w:r>
      <w:r>
        <w:rPr>
          <w:rFonts w:ascii="Times New Roman" w:hAnsi="Times New Roman"/>
          <w:color w:val="000000"/>
          <w:sz w:val="20"/>
        </w:rPr>
        <w:t>upon receipt</w:t>
      </w:r>
      <w:r>
        <w:rPr>
          <w:color w:val="000000"/>
        </w:rPr>
        <w:t xml:space="preserve"> </w:t>
      </w:r>
      <w:r>
        <w:rPr>
          <w:rFonts w:ascii="Times New Roman" w:hAnsi="Times New Roman"/>
          <w:color w:val="000000"/>
          <w:sz w:val="20"/>
        </w:rPr>
        <w:t>of an undertaking,</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 xml:space="preserve">on behalf of the indemnitee, to repay all amounts so advanced if it shall ultimately be determined that the indemnitee is not entitled to be indemnified under this </w:t>
      </w:r>
      <w:r>
        <w:rPr>
          <w:rFonts w:ascii="Times New Roman" w:hAnsi="Times New Roman"/>
          <w:color w:val="000000"/>
          <w:sz w:val="20"/>
          <w:u w:val="single"/>
        </w:rPr>
        <w:t>Section 8.2</w:t>
      </w:r>
      <w:r>
        <w:rPr>
          <w:color w:val="000000"/>
        </w:rPr>
        <w:t xml:space="preserve"> </w:t>
      </w:r>
      <w:r>
        <w:rPr>
          <w:rFonts w:ascii="Times New Roman" w:hAnsi="Times New Roman"/>
          <w:color w:val="000000"/>
          <w:sz w:val="20"/>
        </w:rPr>
        <w:t xml:space="preserve">or otherwise. The rights to indemnification and advancement of expenses conferred by this </w:t>
      </w:r>
      <w:r>
        <w:rPr>
          <w:rFonts w:ascii="Times New Roman" w:hAnsi="Times New Roman"/>
          <w:color w:val="000000"/>
          <w:sz w:val="20"/>
          <w:u w:val="single"/>
        </w:rPr>
        <w:t>Section 8.2</w:t>
      </w:r>
      <w:r>
        <w:rPr>
          <w:color w:val="000000"/>
        </w:rPr>
        <w:t xml:space="preserve"> </w:t>
      </w:r>
      <w:r>
        <w:rPr>
          <w:rFonts w:ascii="Times New Roman" w:hAnsi="Times New Roman"/>
          <w:color w:val="000000"/>
          <w:sz w:val="20"/>
        </w:rPr>
        <w:t>shall be contract rights and such rights shall continue as to an indemnitee</w:t>
      </w:r>
      <w:r>
        <w:rPr>
          <w:color w:val="000000"/>
        </w:rPr>
        <w:t xml:space="preserve"> </w:t>
      </w:r>
      <w:r>
        <w:rPr>
          <w:rFonts w:ascii="Times New Roman" w:hAnsi="Times New Roman"/>
          <w:color w:val="000000"/>
          <w:sz w:val="20"/>
        </w:rPr>
        <w:t>who has ceased to be a director, officer, employee or agent and shall inure to the benefit of his or her heirs,</w:t>
      </w:r>
      <w:r>
        <w:rPr>
          <w:color w:val="000000"/>
        </w:rPr>
        <w:t xml:space="preserve"> </w:t>
      </w:r>
      <w:r>
        <w:rPr>
          <w:rFonts w:ascii="Times New Roman" w:hAnsi="Times New Roman"/>
          <w:color w:val="000000"/>
          <w:sz w:val="20"/>
        </w:rPr>
        <w:t xml:space="preserve">executors and administrators. Notwithstanding the foregoing provisions of this </w:t>
      </w:r>
      <w:r>
        <w:rPr>
          <w:rFonts w:ascii="Times New Roman" w:hAnsi="Times New Roman"/>
          <w:color w:val="000000"/>
          <w:sz w:val="20"/>
          <w:u w:val="single"/>
        </w:rPr>
        <w:t>Section 8.2(a)</w:t>
      </w:r>
      <w:r>
        <w:rPr>
          <w:rFonts w:ascii="Times New Roman" w:hAnsi="Times New Roman"/>
          <w:color w:val="000000"/>
          <w:sz w:val="20"/>
        </w:rPr>
        <w:t>, except for</w:t>
      </w:r>
      <w:r>
        <w:rPr>
          <w:color w:val="000000"/>
        </w:rPr>
        <w:t xml:space="preserve"> </w:t>
      </w:r>
      <w:r>
        <w:rPr>
          <w:rFonts w:ascii="Times New Roman" w:hAnsi="Times New Roman"/>
          <w:color w:val="000000"/>
          <w:sz w:val="20"/>
        </w:rPr>
        <w:t>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rPr>
        <w:t>The</w:t>
      </w:r>
      <w:r>
        <w:rPr>
          <w:color w:val="000000"/>
        </w:rPr>
        <w:t xml:space="preserve"> </w:t>
      </w:r>
      <w:r>
        <w:rPr>
          <w:rFonts w:ascii="Times New Roman" w:hAnsi="Times New Roman"/>
          <w:color w:val="000000"/>
          <w:sz w:val="20"/>
        </w:rPr>
        <w:t>rights</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indemnification</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advancement</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expenses</w:t>
      </w:r>
      <w:r>
        <w:rPr>
          <w:color w:val="000000"/>
        </w:rPr>
        <w:t xml:space="preserve"> </w:t>
      </w:r>
      <w:r>
        <w:rPr>
          <w:rFonts w:ascii="Times New Roman" w:hAnsi="Times New Roman"/>
          <w:color w:val="000000"/>
          <w:sz w:val="20"/>
        </w:rPr>
        <w:t>conferred</w:t>
      </w:r>
      <w:r>
        <w:rPr>
          <w:color w:val="000000"/>
        </w:rPr>
        <w:t xml:space="preserve"> </w:t>
      </w:r>
      <w:r>
        <w:rPr>
          <w:rFonts w:ascii="Times New Roman" w:hAnsi="Times New Roman"/>
          <w:color w:val="000000"/>
          <w:sz w:val="20"/>
        </w:rPr>
        <w:t>on</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indemnitee</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u w:val="single"/>
        </w:rPr>
        <w:t>Section</w:t>
      </w:r>
    </w:p>
    <w:p>
      <w:pPr>
        <w:pStyle w:val="TextBody"/>
        <w:bidi w:val="0"/>
        <w:jc w:val="left"/>
        <w:rPr>
          <w:rFonts w:ascii="Times New Roman" w:hAnsi="Times New Roman"/>
          <w:sz w:val="20"/>
        </w:rPr>
      </w:pPr>
      <w:r>
        <w:rPr>
          <w:rFonts w:ascii="Times New Roman" w:hAnsi="Times New Roman"/>
          <w:color w:val="000000"/>
          <w:sz w:val="20"/>
          <w:u w:val="single"/>
        </w:rPr>
        <w:t>8.2</w:t>
      </w:r>
      <w:r>
        <w:rPr>
          <w:rFonts w:ascii="Times New Roman" w:hAnsi="Times New Roman"/>
          <w:color w:val="000000"/>
          <w:sz w:val="20"/>
        </w:rPr>
        <w:t xml:space="preserve"> shall not be exclusive of any other rights that any indemnitee may have or hereafter acquire under law, this Amended and Restated Certificate, the Bylaws, an agreement, vote of stockholders or disinterested directors, or otherwise.</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 xml:space="preserve">Any repeal or amendment of this </w:t>
      </w:r>
      <w:r>
        <w:rPr>
          <w:rFonts w:ascii="Times New Roman" w:hAnsi="Times New Roman"/>
          <w:color w:val="000000"/>
          <w:sz w:val="20"/>
          <w:u w:val="single"/>
        </w:rPr>
        <w:t>Section 8.2</w:t>
      </w:r>
      <w:r>
        <w:rPr>
          <w:color w:val="000000"/>
        </w:rPr>
        <w:t xml:space="preserve"> </w:t>
      </w:r>
      <w:r>
        <w:rPr>
          <w:rFonts w:ascii="Times New Roman" w:hAnsi="Times New Roman"/>
          <w:color w:val="000000"/>
          <w:sz w:val="20"/>
        </w:rPr>
        <w:t xml:space="preserve">by the stockholders of the Corporation or by changes in law, or the adoption of any other provision of this Amended and Restated Certificate inconsistent with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u w:val="single"/>
        </w:rPr>
        <w:t>8.2</w:t>
      </w:r>
      <w:r>
        <w:rPr>
          <w:rFonts w:ascii="Times New Roman" w:hAnsi="Times New Roman"/>
          <w:color w:val="000000"/>
          <w:sz w:val="20"/>
        </w:rPr>
        <w:t>,</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unless</w:t>
      </w:r>
      <w:r>
        <w:rPr>
          <w:color w:val="000000"/>
        </w:rPr>
        <w:t xml:space="preserve"> </w:t>
      </w:r>
      <w:r>
        <w:rPr>
          <w:rFonts w:ascii="Times New Roman" w:hAnsi="Times New Roman"/>
          <w:color w:val="000000"/>
          <w:sz w:val="20"/>
        </w:rPr>
        <w:t>otherwise</w:t>
      </w:r>
      <w:r>
        <w:rPr>
          <w:color w:val="000000"/>
        </w:rPr>
        <w:t xml:space="preserve"> </w:t>
      </w:r>
      <w:r>
        <w:rPr>
          <w:rFonts w:ascii="Times New Roman" w:hAnsi="Times New Roman"/>
          <w:color w:val="000000"/>
          <w:sz w:val="20"/>
        </w:rPr>
        <w:t>required</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law,</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prospective</w:t>
      </w:r>
      <w:r>
        <w:rPr>
          <w:color w:val="000000"/>
        </w:rPr>
        <w:t xml:space="preserve"> </w:t>
      </w:r>
      <w:r>
        <w:rPr>
          <w:rFonts w:ascii="Times New Roman" w:hAnsi="Times New Roman"/>
          <w:color w:val="000000"/>
          <w:sz w:val="20"/>
        </w:rPr>
        <w:t>only</w:t>
      </w:r>
      <w:r>
        <w:rPr>
          <w:color w:val="000000"/>
        </w:rPr>
        <w:t xml:space="preserve"> </w:t>
      </w:r>
      <w:r>
        <w:rPr>
          <w:rFonts w:ascii="Times New Roman" w:hAnsi="Times New Roman"/>
          <w:color w:val="000000"/>
          <w:sz w:val="20"/>
        </w:rPr>
        <w:t>(except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extent</w:t>
      </w:r>
      <w:r>
        <w:rPr>
          <w:color w:val="000000"/>
        </w:rPr>
        <w:t xml:space="preserve"> </w:t>
      </w:r>
      <w:r>
        <w:rPr>
          <w:rFonts w:ascii="Times New Roman" w:hAnsi="Times New Roman"/>
          <w:color w:val="000000"/>
          <w:sz w:val="20"/>
        </w:rPr>
        <w:t>such</w:t>
      </w:r>
      <w:r>
        <w:rPr>
          <w:color w:val="000000"/>
        </w:rPr>
        <w:t xml:space="preserve"> </w:t>
      </w:r>
      <w:r>
        <w:rPr>
          <w:rFonts w:ascii="Times New Roman" w:hAnsi="Times New Roman"/>
          <w:color w:val="000000"/>
          <w:sz w:val="20"/>
        </w:rPr>
        <w:t>amendment</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change</w:t>
      </w:r>
      <w:r>
        <w:rPr>
          <w:color w:val="000000"/>
        </w:rPr>
        <w:t xml:space="preserve"> </w:t>
      </w:r>
      <w:r>
        <w:rPr>
          <w:rFonts w:ascii="Times New Roman" w:hAnsi="Times New Roman"/>
          <w:color w:val="000000"/>
          <w:sz w:val="20"/>
        </w:rPr>
        <w:t>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29" w:after="283"/>
        <w:jc w:val="left"/>
        <w:rPr/>
      </w:pPr>
      <w:r>
        <w:rPr>
          <w:rFonts w:ascii="Times New Roman" w:hAnsi="Times New Roman"/>
          <w:color w:val="000000"/>
          <w:sz w:val="20"/>
        </w:rPr>
        <w:t>This</w:t>
      </w:r>
      <w:r>
        <w:rPr>
          <w:color w:val="000000"/>
        </w:rPr>
        <w:t xml:space="preserve"> </w:t>
      </w:r>
      <w:r>
        <w:rPr>
          <w:rFonts w:ascii="Times New Roman" w:hAnsi="Times New Roman"/>
          <w:color w:val="000000"/>
          <w:sz w:val="20"/>
          <w:u w:val="single"/>
        </w:rPr>
        <w:t>Section</w:t>
      </w:r>
      <w:r>
        <w:rPr>
          <w:color w:val="000000"/>
          <w:u w:val="single"/>
        </w:rPr>
        <w:t xml:space="preserve"> </w:t>
      </w:r>
      <w:r>
        <w:rPr>
          <w:rFonts w:ascii="Times New Roman" w:hAnsi="Times New Roman"/>
          <w:color w:val="000000"/>
          <w:sz w:val="20"/>
          <w:u w:val="single"/>
        </w:rPr>
        <w:t>8.2</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not</w:t>
      </w:r>
      <w:r>
        <w:rPr>
          <w:color w:val="000000"/>
        </w:rPr>
        <w:t xml:space="preserve"> </w:t>
      </w:r>
      <w:r>
        <w:rPr>
          <w:rFonts w:ascii="Times New Roman" w:hAnsi="Times New Roman"/>
          <w:color w:val="000000"/>
          <w:sz w:val="20"/>
        </w:rPr>
        <w:t>limit</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right</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Corporation,</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extent</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manner</w:t>
      </w:r>
      <w:r>
        <w:rPr>
          <w:color w:val="000000"/>
        </w:rPr>
        <w:t xml:space="preserve"> </w:t>
      </w:r>
      <w:r>
        <w:rPr>
          <w:rFonts w:ascii="Times New Roman" w:hAnsi="Times New Roman"/>
          <w:color w:val="000000"/>
          <w:sz w:val="20"/>
        </w:rPr>
        <w:t>authorized or permitted by law, to indemnify and to advance expenses to persons other than indemnitees.</w:t>
      </w:r>
    </w:p>
    <w:p>
      <w:pPr>
        <w:pStyle w:val="TextBody"/>
        <w:bidi w:val="0"/>
        <w:spacing w:before="1" w:after="283"/>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ARTICLE IX</w:t>
      </w:r>
    </w:p>
    <w:p>
      <w:pPr>
        <w:pStyle w:val="TextBody"/>
        <w:bidi w:val="0"/>
        <w:jc w:val="center"/>
        <w:rPr>
          <w:rFonts w:ascii="Times New Roman" w:hAnsi="Times New Roman"/>
          <w:sz w:val="20"/>
        </w:rPr>
      </w:pPr>
      <w:r>
        <w:rPr>
          <w:rFonts w:ascii="Times New Roman" w:hAnsi="Times New Roman"/>
          <w:b/>
          <w:color w:val="000000"/>
          <w:sz w:val="20"/>
        </w:rPr>
        <w:t>AMENDMENT</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AMENDED</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RESTATED</w:t>
      </w:r>
      <w:r>
        <w:rPr>
          <w:rFonts w:ascii="Times New Roman" w:hAnsi="Times New Roman"/>
          <w:color w:val="000000"/>
          <w:sz w:val="20"/>
        </w:rPr>
        <w:t xml:space="preserve"> </w:t>
      </w:r>
      <w:r>
        <w:rPr>
          <w:rFonts w:ascii="Times New Roman" w:hAnsi="Times New Roman"/>
          <w:b/>
          <w:color w:val="000000"/>
          <w:sz w:val="20"/>
        </w:rPr>
        <w:t>CERTIFICATE</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INCORPORATION</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 w:hAnsi="Times New Roman"/>
          <w:i/>
          <w:color w:val="000000"/>
          <w:sz w:val="20"/>
        </w:rPr>
        <w:t>Article VIII</w:t>
      </w:r>
      <w:r>
        <w:rPr>
          <w:rFonts w:ascii="Times New Roman" w:hAnsi="Times New Roman"/>
          <w:color w:val="000000"/>
          <w:sz w:val="20"/>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 w:hAnsi="Times New Roman"/>
          <w:i/>
          <w:color w:val="000000"/>
          <w:sz w:val="20"/>
        </w:rPr>
        <w:t>Article XI</w:t>
      </w:r>
      <w:r>
        <w:rPr>
          <w:rFonts w:ascii="Times New Roman" w:hAnsi="Times New Roman"/>
          <w:color w:val="000000"/>
          <w:sz w:val="20"/>
        </w:rPr>
        <w:t>. Notwithstanding any other provisions of this Amended and Restated Certificate of Incorporation or any provision of applicable law which might otherwise permit a lesser vote, but in addition to any affirmative vote of the holders of any particular class or series of the capital stock of the Corporation required by law or by this Amended and Restated Certificate of Incorporation or any certificate of designation filed with respect to a series of Preferred Stock, the affirmative vote of (i) two-thirds (2/3) of the directors then in office and (ii) the holders of at least sixty -six and two-thirds percent (66 2/3%) of the then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outstanding shares of capital stock of the Corporation entitled to vote generally in the election of directors, voting together as a single class, shall be required to amend, alter, change or repeal </w:t>
      </w:r>
      <w:r>
        <w:rPr>
          <w:rFonts w:ascii="Times New Roman" w:hAnsi="Times New Roman"/>
          <w:i/>
          <w:color w:val="000000"/>
          <w:sz w:val="20"/>
        </w:rPr>
        <w:t xml:space="preserve">Article V </w:t>
      </w:r>
      <w:r>
        <w:rPr>
          <w:rFonts w:ascii="Times New Roman" w:hAnsi="Times New Roman"/>
          <w:color w:val="000000"/>
          <w:sz w:val="20"/>
        </w:rPr>
        <w:t xml:space="preserve">and </w:t>
      </w:r>
      <w:r>
        <w:rPr>
          <w:rFonts w:ascii="Times New Roman" w:hAnsi="Times New Roman"/>
          <w:i/>
          <w:color w:val="000000"/>
          <w:sz w:val="20"/>
        </w:rPr>
        <w:t>Article IX</w:t>
      </w:r>
      <w:r>
        <w:rPr>
          <w:rFonts w:ascii="Times New Roman" w:hAnsi="Times New Roman"/>
          <w:color w:val="000000"/>
          <w:sz w:val="20"/>
        </w:rPr>
        <w:t>.</w:t>
      </w:r>
    </w:p>
    <w:p>
      <w:pPr>
        <w:pStyle w:val="TextBody"/>
        <w:bidi w:val="0"/>
        <w:spacing w:before="8" w:after="283"/>
        <w:jc w:val="left"/>
        <w:rPr/>
      </w:pPr>
      <w:r>
        <w:rPr/>
        <w:t> </w:t>
      </w:r>
    </w:p>
    <w:p>
      <w:pPr>
        <w:pStyle w:val="Heading1"/>
        <w:bidi w:val="0"/>
        <w:spacing w:before="1" w:after="283"/>
        <w:jc w:val="center"/>
        <w:rPr>
          <w:rFonts w:ascii="Times New Roman" w:hAnsi="Times New Roman"/>
          <w:color w:val="000000"/>
          <w:sz w:val="20"/>
        </w:rPr>
      </w:pPr>
      <w:r>
        <w:rPr>
          <w:rFonts w:ascii="Times New Roman" w:hAnsi="Times New Roman"/>
          <w:color w:val="000000"/>
          <w:sz w:val="20"/>
        </w:rPr>
        <w:t>ARTICLE X</w:t>
      </w:r>
    </w:p>
    <w:p>
      <w:pPr>
        <w:pStyle w:val="TextBody"/>
        <w:bidi w:val="0"/>
        <w:jc w:val="center"/>
        <w:rPr>
          <w:rFonts w:ascii="Times New Roman" w:hAnsi="Times New Roman"/>
          <w:sz w:val="20"/>
        </w:rPr>
      </w:pPr>
      <w:r>
        <w:rPr>
          <w:rFonts w:ascii="Times New Roman" w:hAnsi="Times New Roman"/>
          <w:b/>
          <w:color w:val="000000"/>
          <w:sz w:val="20"/>
        </w:rPr>
        <w:t>EXCLUSIVE</w:t>
      </w:r>
      <w:r>
        <w:rPr>
          <w:rFonts w:ascii="Times New Roman" w:hAnsi="Times New Roman"/>
          <w:color w:val="000000"/>
          <w:sz w:val="20"/>
        </w:rPr>
        <w:t xml:space="preserve"> </w:t>
      </w:r>
      <w:r>
        <w:rPr>
          <w:rFonts w:ascii="Times New Roman" w:hAnsi="Times New Roman"/>
          <w:b/>
          <w:color w:val="000000"/>
          <w:sz w:val="20"/>
        </w:rPr>
        <w:t>FORUM</w:t>
      </w:r>
      <w:r>
        <w:rPr>
          <w:rFonts w:ascii="Times New Roman" w:hAnsi="Times New Roman"/>
          <w:color w:val="000000"/>
          <w:sz w:val="20"/>
        </w:rPr>
        <w:t xml:space="preserve"> </w:t>
      </w:r>
      <w:r>
        <w:rPr>
          <w:rFonts w:ascii="Times New Roman" w:hAnsi="Times New Roman"/>
          <w:b/>
          <w:color w:val="000000"/>
          <w:sz w:val="20"/>
        </w:rPr>
        <w:t>FOR</w:t>
      </w:r>
      <w:r>
        <w:rPr>
          <w:rFonts w:ascii="Times New Roman" w:hAnsi="Times New Roman"/>
          <w:color w:val="000000"/>
          <w:sz w:val="20"/>
        </w:rPr>
        <w:t xml:space="preserve"> </w:t>
      </w:r>
      <w:r>
        <w:rPr>
          <w:rFonts w:ascii="Times New Roman" w:hAnsi="Times New Roman"/>
          <w:b/>
          <w:color w:val="000000"/>
          <w:sz w:val="20"/>
        </w:rPr>
        <w:t>CERTAIN</w:t>
      </w:r>
      <w:r>
        <w:rPr>
          <w:rFonts w:ascii="Times New Roman" w:hAnsi="Times New Roman"/>
          <w:color w:val="000000"/>
          <w:sz w:val="20"/>
        </w:rPr>
        <w:t xml:space="preserve"> </w:t>
      </w:r>
      <w:r>
        <w:rPr>
          <w:rFonts w:ascii="Times New Roman" w:hAnsi="Times New Roman"/>
          <w:b/>
          <w:color w:val="000000"/>
          <w:sz w:val="20"/>
        </w:rPr>
        <w:t>LAWSUITS;</w:t>
      </w:r>
      <w:r>
        <w:rPr>
          <w:rFonts w:ascii="Times New Roman" w:hAnsi="Times New Roman"/>
          <w:color w:val="000000"/>
          <w:sz w:val="20"/>
        </w:rPr>
        <w:t xml:space="preserve"> </w:t>
      </w:r>
      <w:r>
        <w:rPr>
          <w:rFonts w:ascii="Times New Roman" w:hAnsi="Times New Roman"/>
          <w:b/>
          <w:color w:val="000000"/>
          <w:sz w:val="20"/>
        </w:rPr>
        <w:t>CONSENT</w:t>
      </w:r>
      <w:r>
        <w:rPr>
          <w:rFonts w:ascii="Times New Roman" w:hAnsi="Times New Roman"/>
          <w:color w:val="000000"/>
          <w:sz w:val="20"/>
        </w:rPr>
        <w:t xml:space="preserve"> </w:t>
      </w:r>
      <w:r>
        <w:rPr>
          <w:rFonts w:ascii="Times New Roman" w:hAnsi="Times New Roman"/>
          <w:b/>
          <w:color w:val="000000"/>
          <w:sz w:val="20"/>
        </w:rPr>
        <w:t>TO</w:t>
      </w:r>
      <w:r>
        <w:rPr>
          <w:rFonts w:ascii="Times New Roman" w:hAnsi="Times New Roman"/>
          <w:color w:val="000000"/>
          <w:sz w:val="20"/>
        </w:rPr>
        <w:t xml:space="preserve"> </w:t>
      </w:r>
      <w:r>
        <w:rPr>
          <w:rFonts w:ascii="Times New Roman" w:hAnsi="Times New Roman"/>
          <w:b/>
          <w:color w:val="000000"/>
          <w:sz w:val="20"/>
        </w:rPr>
        <w:t>JURISDICTION</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10.1 </w:t>
      </w:r>
      <w:r>
        <w:rPr>
          <w:rFonts w:ascii="Times New Roman" w:hAnsi="Times New Roman"/>
          <w:color w:val="000000"/>
          <w:sz w:val="20"/>
          <w:u w:val="single"/>
        </w:rPr>
        <w:t>Forum</w:t>
      </w:r>
      <w:r>
        <w:rPr>
          <w:rFonts w:ascii="Times New Roman" w:hAnsi="Times New Roman"/>
          <w:color w:val="000000"/>
          <w:sz w:val="20"/>
        </w:rPr>
        <w:t>. Subject to the last sentence in this Section 10.1,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Section 10.1 will not apply to suits brought to enforce any liability or duty created by the Securities Exchange Act of 1934, as amended,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10.2 </w:t>
      </w:r>
      <w:r>
        <w:rPr>
          <w:rFonts w:ascii="Times New Roman" w:hAnsi="Times New Roman"/>
          <w:color w:val="000000"/>
          <w:sz w:val="20"/>
          <w:u w:val="single"/>
        </w:rPr>
        <w:t>Consent to Jurisdiction</w:t>
      </w:r>
      <w:r>
        <w:rPr>
          <w:rFonts w:ascii="Times New Roman" w:hAnsi="Times New Roman"/>
          <w:color w:val="000000"/>
          <w:sz w:val="20"/>
        </w:rPr>
        <w:t>. If any action the subject matter of which is within the scope of Section 10.1 immediately above is filed in a court other than a court located within the State of Delaware (a “</w:t>
      </w:r>
      <w:r>
        <w:rPr>
          <w:rFonts w:ascii="Times New Roman" w:hAnsi="Times New Roman"/>
          <w:b/>
          <w:i/>
          <w:color w:val="000000"/>
          <w:sz w:val="20"/>
        </w:rPr>
        <w:t>Foreign Action</w:t>
      </w:r>
      <w:r>
        <w:rPr>
          <w:rFonts w:ascii="Times New Roman" w:hAnsi="Times New Roman"/>
          <w:color w:val="000000"/>
          <w:sz w:val="20"/>
        </w:rPr>
        <w:t>”) in the name of any stockholder, such stockholder shall be deemed to have consented to (i) the personal jurisdiction of the state and federal courts located within the State of Delaware in connection with any action brought in any such court to enforce Section 10.1 immediately above (an “</w:t>
      </w:r>
      <w:r>
        <w:rPr>
          <w:rFonts w:ascii="Times New Roman" w:hAnsi="Times New Roman"/>
          <w:b/>
          <w:i/>
          <w:color w:val="000000"/>
          <w:sz w:val="20"/>
        </w:rPr>
        <w:t>FSC</w:t>
      </w:r>
      <w:r>
        <w:rPr>
          <w:rFonts w:ascii="Times New Roman" w:hAnsi="Times New Roman"/>
          <w:color w:val="000000"/>
          <w:sz w:val="20"/>
        </w:rPr>
        <w:t xml:space="preserve"> </w:t>
      </w:r>
      <w:r>
        <w:rPr>
          <w:rFonts w:ascii="Times New Roman" w:hAnsi="Times New Roman"/>
          <w:b/>
          <w:i/>
          <w:color w:val="000000"/>
          <w:sz w:val="20"/>
        </w:rPr>
        <w:t>Enforcement</w:t>
      </w:r>
      <w:r>
        <w:rPr>
          <w:rFonts w:ascii="Times New Roman" w:hAnsi="Times New Roman"/>
          <w:color w:val="000000"/>
          <w:sz w:val="20"/>
        </w:rPr>
        <w:t xml:space="preserve"> </w:t>
      </w:r>
      <w:r>
        <w:rPr>
          <w:rFonts w:ascii="Times New Roman" w:hAnsi="Times New Roman"/>
          <w:b/>
          <w:i/>
          <w:color w:val="000000"/>
          <w:sz w:val="20"/>
        </w:rPr>
        <w:t>Action</w:t>
      </w:r>
      <w:r>
        <w:rPr>
          <w:rFonts w:ascii="Times New Roman" w:hAnsi="Times New Roman"/>
          <w:color w:val="000000"/>
          <w:sz w:val="20"/>
        </w:rPr>
        <w:t>”) and</w:t>
      </w:r>
    </w:p>
    <w:p>
      <w:pPr>
        <w:pStyle w:val="TextBody"/>
        <w:bidi w:val="0"/>
        <w:jc w:val="left"/>
        <w:rPr>
          <w:rFonts w:ascii="Times New Roman" w:hAnsi="Times New Roman"/>
          <w:color w:val="000000"/>
          <w:sz w:val="20"/>
        </w:rPr>
      </w:pPr>
      <w:r>
        <w:rPr>
          <w:rFonts w:ascii="Times New Roman" w:hAnsi="Times New Roman"/>
          <w:color w:val="000000"/>
          <w:sz w:val="20"/>
        </w:rPr>
        <w:t>(ii) having service of process made upon such stockholder in any such FSC Enforcement Action by service upon such stockholder’s counsel in the Foreign Action as agent for such stockholder.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10.3 </w:t>
      </w:r>
      <w:r>
        <w:rPr>
          <w:rFonts w:ascii="Times New Roman" w:hAnsi="Times New Roman"/>
          <w:color w:val="000000"/>
          <w:sz w:val="20"/>
          <w:u w:val="single"/>
        </w:rPr>
        <w:t>Severability</w:t>
      </w:r>
      <w:r>
        <w:rPr>
          <w:rFonts w:ascii="Times New Roman" w:hAnsi="Times New Roman"/>
          <w:color w:val="000000"/>
          <w:sz w:val="20"/>
        </w:rPr>
        <w:t xml:space="preserve">. If any provision or provisions of this </w:t>
      </w:r>
      <w:r>
        <w:rPr>
          <w:rFonts w:ascii="Times New Roman" w:hAnsi="Times New Roman"/>
          <w:i/>
          <w:color w:val="000000"/>
          <w:sz w:val="20"/>
        </w:rPr>
        <w:t xml:space="preserve">Article X </w:t>
      </w:r>
      <w:r>
        <w:rPr>
          <w:rFonts w:ascii="Times New Roman" w:hAnsi="Times New Roman"/>
          <w:color w:val="000000"/>
          <w:sz w:val="20"/>
        </w:rPr>
        <w:t xml:space="preserve">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hAnsi="Times New Roman"/>
          <w:i/>
          <w:color w:val="000000"/>
          <w:sz w:val="20"/>
        </w:rPr>
        <w:t xml:space="preserve">Article X </w:t>
      </w:r>
      <w:r>
        <w:rPr>
          <w:rFonts w:ascii="Times New Roman" w:hAnsi="Times New Roman"/>
          <w:color w:val="000000"/>
          <w:sz w:val="20"/>
        </w:rPr>
        <w:t xml:space="preserve">(including, without limitation, each portion of any sentence of this </w:t>
      </w:r>
      <w:r>
        <w:rPr>
          <w:rFonts w:ascii="Times New Roman" w:hAnsi="Times New Roman"/>
          <w:i/>
          <w:color w:val="000000"/>
          <w:sz w:val="20"/>
        </w:rPr>
        <w:t>Article X</w:t>
      </w:r>
      <w:r>
        <w:rPr>
          <w:rFonts w:ascii="Times New Roman" w:hAnsi="Times New Roman"/>
          <w:color w:val="000000"/>
          <w:sz w:val="20"/>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 w:hAnsi="Times New Roman"/>
          <w:i/>
          <w:color w:val="000000"/>
          <w:sz w:val="20"/>
        </w:rPr>
        <w:t>Article X</w:t>
      </w:r>
      <w:r>
        <w:rPr>
          <w:rFonts w:ascii="Times New Roman" w:hAnsi="Times New Roman"/>
          <w:color w:val="000000"/>
          <w:sz w:val="20"/>
        </w:rPr>
        <w:t>.</w:t>
      </w:r>
    </w:p>
    <w:p>
      <w:pPr>
        <w:pStyle w:val="TextBody"/>
        <w:bidi w:val="0"/>
        <w:spacing w:before="230" w:after="283"/>
        <w:jc w:val="left"/>
        <w:rPr>
          <w:rFonts w:ascii="Times New Roman" w:hAnsi="Times New Roman"/>
          <w:sz w:val="20"/>
        </w:rPr>
      </w:pPr>
      <w:r>
        <w:rPr>
          <w:rFonts w:ascii="Times New Roman" w:hAnsi="Times New Roman"/>
          <w:color w:val="000000"/>
          <w:sz w:val="20"/>
        </w:rPr>
        <w:t xml:space="preserve">Section 10.4 </w:t>
      </w:r>
      <w:r>
        <w:rPr>
          <w:rFonts w:ascii="Times New Roman" w:hAnsi="Times New Roman"/>
          <w:color w:val="000000"/>
          <w:sz w:val="20"/>
          <w:u w:val="single"/>
        </w:rPr>
        <w:t>Deemed Notice</w:t>
      </w:r>
      <w:r>
        <w:rPr>
          <w:rFonts w:ascii="Times New Roman" w:hAnsi="Times New Roman"/>
          <w:color w:val="000000"/>
          <w:sz w:val="20"/>
        </w:rPr>
        <w:t xml:space="preserve">. Any person or entity purchasing or otherwise acquiring or holding any interest in any security of the Corporation shall be deemed to have notice of and consented to this </w:t>
      </w:r>
      <w:r>
        <w:rPr>
          <w:rFonts w:ascii="Times New Roman" w:hAnsi="Times New Roman"/>
          <w:i/>
          <w:color w:val="000000"/>
          <w:sz w:val="20"/>
        </w:rPr>
        <w:t>Article X</w:t>
      </w:r>
      <w:r>
        <w:rPr>
          <w:rFonts w:ascii="Times New Roman" w:hAnsi="Times New Roman"/>
          <w:color w:val="000000"/>
          <w:sz w:val="20"/>
        </w:rPr>
        <w:t>.</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IN WITNESS WHEREOF, Alpha Healthcare Acquisition Corp. has caused this Amended and Restated Certificate to be duly executed and acknowledged in its name and on its behalf by an authorized officer as of the date first set forth above.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jc w:val="left"/>
        <w:rPr/>
      </w:pPr>
      <w:r>
        <w:rPr/>
        <w:t> </w:t>
      </w:r>
    </w:p>
    <w:tbl>
      <w:tblPr>
        <w:tblW w:w="4323" w:type="dxa"/>
        <w:jc w:val="left"/>
        <w:tblInd w:w="0" w:type="dxa"/>
        <w:tblLayout w:type="fixed"/>
        <w:tblCellMar>
          <w:top w:w="28" w:type="dxa"/>
          <w:left w:w="28" w:type="dxa"/>
          <w:bottom w:w="28" w:type="dxa"/>
          <w:right w:w="28" w:type="dxa"/>
        </w:tblCellMar>
      </w:tblPr>
      <w:tblGrid>
        <w:gridCol w:w="1180"/>
        <w:gridCol w:w="3143"/>
      </w:tblGrid>
      <w:tr>
        <w:trPr/>
        <w:tc>
          <w:tcPr>
            <w:tcW w:w="1180"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ind w:left="0" w:right="0" w:firstLine="83"/>
              <w:jc w:val="left"/>
              <w:rPr>
                <w:sz w:val="4"/>
                <w:szCs w:val="4"/>
              </w:rPr>
            </w:pPr>
            <w:r>
              <w:rPr>
                <w:sz w:val="4"/>
                <w:szCs w:val="4"/>
              </w:rPr>
            </w:r>
          </w:p>
        </w:tc>
      </w:tr>
      <w:tr>
        <w:trPr/>
        <w:tc>
          <w:tcPr>
            <w:tcW w:w="4323" w:type="dxa"/>
            <w:gridSpan w:val="2"/>
            <w:tcBorders/>
            <w:tcMar>
              <w:top w:w="0" w:type="dxa"/>
              <w:left w:w="0" w:type="dxa"/>
              <w:bottom w:w="0" w:type="dxa"/>
              <w:right w:w="0" w:type="dxa"/>
            </w:tcMar>
            <w:vAlign w:val="center"/>
          </w:tcPr>
          <w:p>
            <w:pPr>
              <w:pStyle w:val="TableContents"/>
              <w:bidi w:val="0"/>
              <w:spacing w:before="0" w:after="283"/>
              <w:ind w:left="0" w:right="0" w:firstLine="78"/>
              <w:jc w:val="left"/>
              <w:rPr>
                <w:rFonts w:ascii="Times New Roman" w:hAnsi="Times New Roman"/>
                <w:sz w:val="20"/>
              </w:rPr>
            </w:pPr>
            <w:r>
              <w:rPr>
                <w:rFonts w:ascii="Times New Roman" w:hAnsi="Times New Roman"/>
                <w:b/>
                <w:color w:val="000000"/>
                <w:sz w:val="20"/>
              </w:rPr>
              <w:t>ALPHA</w:t>
            </w:r>
            <w:r>
              <w:rPr>
                <w:rFonts w:ascii="Times New Roman" w:hAnsi="Times New Roman"/>
                <w:color w:val="000000"/>
                <w:sz w:val="20"/>
              </w:rPr>
              <w:t xml:space="preserve"> </w:t>
            </w:r>
            <w:r>
              <w:rPr>
                <w:rFonts w:ascii="Times New Roman" w:hAnsi="Times New Roman"/>
                <w:b/>
                <w:color w:val="000000"/>
                <w:sz w:val="20"/>
              </w:rPr>
              <w:t>HEALTHCARE</w:t>
            </w:r>
            <w:r>
              <w:rPr>
                <w:rFonts w:ascii="Times New Roman" w:hAnsi="Times New Roman"/>
                <w:color w:val="000000"/>
                <w:sz w:val="20"/>
              </w:rPr>
              <w:t xml:space="preserve"> </w:t>
            </w:r>
            <w:r>
              <w:rPr>
                <w:rFonts w:ascii="Times New Roman" w:hAnsi="Times New Roman"/>
                <w:b/>
                <w:color w:val="000000"/>
                <w:sz w:val="20"/>
              </w:rPr>
              <w:t>ACQUISITION</w:t>
            </w:r>
            <w:r>
              <w:rPr>
                <w:rFonts w:ascii="Times New Roman" w:hAnsi="Times New Roman"/>
                <w:color w:val="000000"/>
                <w:sz w:val="20"/>
              </w:rPr>
              <w:t xml:space="preserve"> </w:t>
            </w:r>
            <w:r>
              <w:rPr>
                <w:rFonts w:ascii="Times New Roman" w:hAnsi="Times New Roman"/>
                <w:b/>
                <w:color w:val="000000"/>
                <w:sz w:val="20"/>
              </w:rPr>
              <w:t>CORP</w:t>
            </w:r>
            <w:r>
              <w:rPr>
                <w:rFonts w:ascii="Times New Roman" w:hAnsi="Times New Roman"/>
                <w:color w:val="000000"/>
                <w:sz w:val="20"/>
              </w:rPr>
              <w:t>.</w:t>
            </w:r>
          </w:p>
        </w:tc>
      </w:tr>
      <w:tr>
        <w:trPr/>
        <w:tc>
          <w:tcPr>
            <w:tcW w:w="1180" w:type="dxa"/>
            <w:tcBorders/>
            <w:tcMar>
              <w:top w:w="0" w:type="dxa"/>
              <w:left w:w="0" w:type="dxa"/>
              <w:bottom w:w="0" w:type="dxa"/>
              <w:right w:w="0" w:type="dxa"/>
            </w:tcMar>
            <w:vAlign w:val="center"/>
          </w:tcPr>
          <w:p>
            <w:pPr>
              <w:pStyle w:val="TableContents"/>
              <w:bidi w:val="0"/>
              <w:spacing w:before="0" w:after="283"/>
              <w:ind w:left="0" w:right="0" w:firstLine="1"/>
              <w:jc w:val="left"/>
              <w:rPr>
                <w:rFonts w:ascii="Times New Roman" w:hAnsi="Times New Roman"/>
                <w:color w:val="000000"/>
                <w:sz w:val="20"/>
              </w:rPr>
            </w:pPr>
            <w:r>
              <w:rPr>
                <w:rFonts w:ascii="Times New Roman" w:hAnsi="Times New Roman"/>
                <w:color w:val="000000"/>
                <w:sz w:val="20"/>
              </w:rPr>
              <w:t>By:</w:t>
            </w:r>
          </w:p>
        </w:tc>
        <w:tc>
          <w:tcPr>
            <w:tcW w:w="314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0"/>
                <w:u w:val="single"/>
              </w:rPr>
            </w:pPr>
            <w:r>
              <w:rPr>
                <w:rFonts w:ascii="Times New Roman" w:hAnsi="Times New Roman"/>
                <w:color w:val="000000"/>
                <w:sz w:val="20"/>
                <w:u w:val="single"/>
              </w:rPr>
              <w:t>/s/ Rajiv Shukla</w:t>
            </w:r>
          </w:p>
        </w:tc>
      </w:tr>
      <w:tr>
        <w:trPr/>
        <w:tc>
          <w:tcPr>
            <w:tcW w:w="1180" w:type="dxa"/>
            <w:tcBorders/>
            <w:tcMar>
              <w:top w:w="0" w:type="dxa"/>
              <w:left w:w="0" w:type="dxa"/>
              <w:bottom w:w="0" w:type="dxa"/>
              <w:right w:w="0" w:type="dxa"/>
            </w:tcMar>
            <w:vAlign w:val="center"/>
          </w:tcPr>
          <w:p>
            <w:pPr>
              <w:pStyle w:val="TableContents"/>
              <w:bidi w:val="0"/>
              <w:spacing w:before="10" w:after="283"/>
              <w:ind w:left="0" w:right="0" w:firstLine="1"/>
              <w:jc w:val="left"/>
              <w:rPr>
                <w:rFonts w:ascii="Times New Roman" w:hAnsi="Times New Roman"/>
                <w:color w:val="000000"/>
                <w:sz w:val="20"/>
              </w:rPr>
            </w:pPr>
            <w:r>
              <w:rPr>
                <w:rFonts w:ascii="Times New Roman" w:hAnsi="Times New Roman"/>
                <w:color w:val="000000"/>
                <w:sz w:val="20"/>
              </w:rPr>
              <w:t>Name:</w:t>
            </w:r>
          </w:p>
        </w:tc>
        <w:tc>
          <w:tcPr>
            <w:tcW w:w="3143" w:type="dxa"/>
            <w:tcBorders/>
            <w:tcMar>
              <w:top w:w="0" w:type="dxa"/>
              <w:left w:w="0" w:type="dxa"/>
              <w:bottom w:w="0" w:type="dxa"/>
              <w:right w:w="0" w:type="dxa"/>
            </w:tcMar>
            <w:vAlign w:val="center"/>
          </w:tcPr>
          <w:p>
            <w:pPr>
              <w:pStyle w:val="TableContents"/>
              <w:bidi w:val="0"/>
              <w:spacing w:before="10" w:after="283"/>
              <w:ind w:left="0" w:right="0" w:firstLine="54"/>
              <w:jc w:val="left"/>
              <w:rPr>
                <w:rFonts w:ascii="Times New Roman" w:hAnsi="Times New Roman"/>
                <w:color w:val="000000"/>
                <w:sz w:val="20"/>
              </w:rPr>
            </w:pPr>
            <w:r>
              <w:rPr>
                <w:rFonts w:ascii="Times New Roman" w:hAnsi="Times New Roman"/>
                <w:color w:val="000000"/>
                <w:sz w:val="20"/>
              </w:rPr>
              <w:t>Rajiv Shukla</w:t>
            </w:r>
          </w:p>
        </w:tc>
      </w:tr>
      <w:tr>
        <w:trPr/>
        <w:tc>
          <w:tcPr>
            <w:tcW w:w="1180" w:type="dxa"/>
            <w:tcBorders/>
            <w:tcMar>
              <w:top w:w="0" w:type="dxa"/>
              <w:left w:w="0" w:type="dxa"/>
              <w:bottom w:w="0" w:type="dxa"/>
              <w:right w:w="0" w:type="dxa"/>
            </w:tcMar>
            <w:vAlign w:val="center"/>
          </w:tcPr>
          <w:p>
            <w:pPr>
              <w:pStyle w:val="TableContents"/>
              <w:bidi w:val="0"/>
              <w:spacing w:before="0" w:after="283"/>
              <w:ind w:left="0" w:right="0" w:firstLine="34"/>
              <w:jc w:val="left"/>
              <w:rPr>
                <w:rFonts w:ascii="Times New Roman" w:hAnsi="Times New Roman"/>
                <w:color w:val="000000"/>
                <w:sz w:val="20"/>
              </w:rPr>
            </w:pPr>
            <w:r>
              <w:rPr>
                <w:rFonts w:ascii="Times New Roman" w:hAnsi="Times New Roman"/>
                <w:color w:val="000000"/>
                <w:sz w:val="20"/>
              </w:rPr>
              <w:t>Title:C</w:t>
            </w:r>
          </w:p>
        </w:tc>
        <w:tc>
          <w:tcPr>
            <w:tcW w:w="3143" w:type="dxa"/>
            <w:tcBorders/>
            <w:tcMar>
              <w:top w:w="0" w:type="dxa"/>
              <w:left w:w="0" w:type="dxa"/>
              <w:bottom w:w="0" w:type="dxa"/>
              <w:right w:w="0" w:type="dxa"/>
            </w:tcMar>
            <w:vAlign w:val="center"/>
          </w:tcPr>
          <w:p>
            <w:pPr>
              <w:pStyle w:val="TableContents"/>
              <w:bidi w:val="0"/>
              <w:spacing w:before="0" w:after="283"/>
              <w:ind w:left="0" w:right="0" w:firstLine="34"/>
              <w:jc w:val="left"/>
              <w:rPr>
                <w:rFonts w:ascii="Times New Roman" w:hAnsi="Times New Roman"/>
                <w:color w:val="000000"/>
                <w:sz w:val="20"/>
              </w:rPr>
            </w:pPr>
            <w:r>
              <w:rPr>
                <w:rFonts w:ascii="Times New Roman" w:hAnsi="Times New Roman"/>
                <w:color w:val="000000"/>
                <w:sz w:val="20"/>
              </w:rPr>
              <w:t>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79" w:after="283"/>
        <w:ind w:left="3027" w:right="3028" w:hanging="0"/>
        <w:jc w:val="center"/>
        <w:rPr>
          <w:rFonts w:ascii="Times New Roman" w:hAnsi="Times New Roman"/>
          <w:sz w:val="20"/>
        </w:rPr>
      </w:pPr>
      <w:r>
        <w:rPr>
          <w:rFonts w:ascii="Times New Roman" w:hAnsi="Times New Roman"/>
          <w:b/>
          <w:color w:val="000000"/>
          <w:sz w:val="24"/>
        </w:rPr>
        <w:t>CERTIFICATE</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AMENDMENT TO THE</w:t>
      </w:r>
    </w:p>
    <w:p>
      <w:pPr>
        <w:pStyle w:val="TextBody"/>
        <w:bidi w:val="0"/>
        <w:ind w:left="2803" w:right="2800" w:hanging="0"/>
        <w:jc w:val="center"/>
        <w:rPr>
          <w:rFonts w:ascii="Times New Roman" w:hAnsi="Times New Roman"/>
          <w:sz w:val="20"/>
        </w:rPr>
      </w:pPr>
      <w:r>
        <w:rPr>
          <w:rFonts w:ascii="Times New Roman" w:hAnsi="Times New Roman"/>
          <w:b/>
          <w:color w:val="000000"/>
          <w:sz w:val="24"/>
        </w:rPr>
        <w:t>SECOND</w:t>
      </w:r>
      <w:r>
        <w:rPr>
          <w:rFonts w:ascii="Times New Roman" w:hAnsi="Times New Roman"/>
          <w:color w:val="000000"/>
          <w:sz w:val="20"/>
        </w:rPr>
        <w:t xml:space="preserve"> </w:t>
      </w:r>
      <w:r>
        <w:rPr>
          <w:rFonts w:ascii="Times New Roman" w:hAnsi="Times New Roman"/>
          <w:b/>
          <w:color w:val="000000"/>
          <w:sz w:val="24"/>
        </w:rPr>
        <w:t>AMENDED</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RESTATED CERTIFICATE</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INCORPORATION OF</w:t>
      </w:r>
    </w:p>
    <w:p>
      <w:pPr>
        <w:pStyle w:val="TextBody"/>
        <w:bidi w:val="0"/>
        <w:ind w:left="293" w:right="297" w:hanging="0"/>
        <w:jc w:val="center"/>
        <w:rPr>
          <w:rFonts w:ascii="Times New Roman" w:hAnsi="Times New Roman"/>
          <w:sz w:val="20"/>
        </w:rPr>
      </w:pPr>
      <w:r>
        <w:rPr>
          <w:rFonts w:ascii="Times New Roman" w:hAnsi="Times New Roman"/>
          <w:b/>
          <w:color w:val="000000"/>
          <w:sz w:val="24"/>
        </w:rPr>
        <w:t>HUMACYTE,</w:t>
      </w:r>
      <w:r>
        <w:rPr>
          <w:rFonts w:ascii="Times New Roman" w:hAnsi="Times New Roman"/>
          <w:color w:val="000000"/>
          <w:sz w:val="20"/>
        </w:rPr>
        <w:t xml:space="preserve"> </w:t>
      </w:r>
      <w:r>
        <w:rPr>
          <w:rFonts w:ascii="Times New Roman" w:hAnsi="Times New Roman"/>
          <w:b/>
          <w:color w:val="000000"/>
          <w:sz w:val="24"/>
        </w:rPr>
        <w:t>INC.</w:t>
      </w:r>
    </w:p>
    <w:p>
      <w:pPr>
        <w:pStyle w:val="TextBody"/>
        <w:bidi w:val="0"/>
        <w:spacing w:before="240" w:after="283"/>
        <w:ind w:left="360" w:right="356" w:firstLine="720"/>
        <w:jc w:val="both"/>
        <w:rPr>
          <w:rFonts w:ascii="Times New Roman" w:hAnsi="Times New Roman"/>
          <w:sz w:val="20"/>
        </w:rPr>
      </w:pPr>
      <w:r>
        <w:rPr>
          <w:rFonts w:ascii="Times New Roman" w:hAnsi="Times New Roman"/>
          <w:color w:val="000000"/>
          <w:sz w:val="24"/>
        </w:rPr>
        <w:t>Humacyte, Inc. (the “</w:t>
      </w:r>
      <w:r>
        <w:rPr>
          <w:rFonts w:ascii="Times New Roman" w:hAnsi="Times New Roman"/>
          <w:b/>
          <w:i/>
          <w:color w:val="000000"/>
          <w:sz w:val="24"/>
        </w:rPr>
        <w:t>Corporation</w:t>
      </w:r>
      <w:r>
        <w:rPr>
          <w:rFonts w:ascii="Times New Roman" w:hAnsi="Times New Roman"/>
          <w:color w:val="000000"/>
          <w:sz w:val="20"/>
        </w:rPr>
        <w:t>”</w:t>
      </w:r>
      <w:r>
        <w:rPr>
          <w:rFonts w:ascii="Times New Roman" w:hAnsi="Times New Roman"/>
          <w:color w:val="000000"/>
          <w:sz w:val="24"/>
        </w:rPr>
        <w:t>), a corporation duly organized and existing under the General Corporation Law of the State of Delaware (the “</w:t>
      </w:r>
      <w:r>
        <w:rPr>
          <w:rFonts w:ascii="Times New Roman" w:hAnsi="Times New Roman"/>
          <w:b/>
          <w:i/>
          <w:color w:val="000000"/>
          <w:sz w:val="24"/>
        </w:rPr>
        <w:t>DGCL</w:t>
      </w:r>
      <w:r>
        <w:rPr>
          <w:rFonts w:ascii="Times New Roman" w:hAnsi="Times New Roman"/>
          <w:color w:val="000000"/>
          <w:sz w:val="20"/>
        </w:rPr>
        <w:t>”</w:t>
      </w:r>
      <w:r>
        <w:rPr>
          <w:rFonts w:ascii="Times New Roman" w:hAnsi="Times New Roman"/>
          <w:color w:val="000000"/>
          <w:sz w:val="24"/>
        </w:rPr>
        <w:t>), does hereby certify that:</w:t>
      </w:r>
    </w:p>
    <w:p>
      <w:pPr>
        <w:pStyle w:val="TextBody"/>
        <w:bidi w:val="0"/>
        <w:spacing w:before="240" w:after="283"/>
        <w:ind w:left="360" w:right="356" w:firstLine="720"/>
        <w:jc w:val="both"/>
        <w:rPr>
          <w:rFonts w:ascii="Times New Roman" w:hAnsi="Times New Roman"/>
          <w:sz w:val="20"/>
        </w:rPr>
      </w:pPr>
      <w:r>
        <w:rPr>
          <w:rFonts w:ascii="Times New Roman" w:hAnsi="Times New Roman"/>
          <w:color w:val="000000"/>
          <w:sz w:val="24"/>
        </w:rPr>
        <w:t>FIRST: The original certificate of incorporation of the Corporation was filed with the Secretary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Delaware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July</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2020.</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filed</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 restated certificate of incorporation with the Secretary of State of the State of Delaware on September 17, 2020. The Corporation filed a second amended and restated certificate of incorporation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Secretary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Delaware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August</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2021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i/>
          <w:color w:val="000000"/>
          <w:sz w:val="24"/>
        </w:rPr>
        <w:t>Second Amended and Restated Certificate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59" w:right="357" w:firstLine="720"/>
        <w:jc w:val="both"/>
        <w:rPr>
          <w:rFonts w:ascii="Times New Roman" w:hAnsi="Times New Roman"/>
          <w:color w:val="000000"/>
          <w:sz w:val="24"/>
        </w:rPr>
      </w:pPr>
      <w:r>
        <w:rPr>
          <w:rFonts w:ascii="Times New Roman" w:hAnsi="Times New Roman"/>
          <w:color w:val="000000"/>
          <w:sz w:val="24"/>
        </w:rPr>
        <w:t>SECOND: The amendment to the Second Amended and Restated Certificate set forth below was duly adopted by the board of directors and the stockholders of the Corporation in accordance with Sections 228 and 242 of the DGCL.</w:t>
      </w:r>
    </w:p>
    <w:p>
      <w:pPr>
        <w:pStyle w:val="TextBody"/>
        <w:bidi w:val="0"/>
        <w:spacing w:before="240" w:after="283"/>
        <w:ind w:left="359" w:right="360" w:firstLine="720"/>
        <w:jc w:val="both"/>
        <w:rPr>
          <w:rFonts w:ascii="Times New Roman" w:hAnsi="Times New Roman"/>
          <w:color w:val="000000"/>
          <w:sz w:val="24"/>
        </w:rPr>
      </w:pPr>
      <w:r>
        <w:rPr>
          <w:rFonts w:ascii="Times New Roman" w:hAnsi="Times New Roman"/>
          <w:color w:val="000000"/>
          <w:sz w:val="24"/>
        </w:rPr>
        <w:t>THIRD: Section 4.1 of Article IV of the Second Amended and Restated Certificate is hereby amended and restated in its entirety to read as follows:</w:t>
      </w:r>
    </w:p>
    <w:p>
      <w:pPr>
        <w:pStyle w:val="TextBody"/>
        <w:bidi w:val="0"/>
        <w:spacing w:before="240" w:after="283"/>
        <w:ind w:left="360" w:right="357" w:hanging="0"/>
        <w:jc w:val="both"/>
        <w:rPr/>
      </w:pPr>
      <w:r>
        <w:rPr>
          <w:color w:val="000000"/>
        </w:rPr>
        <w:t>“</w:t>
      </w:r>
      <w:r>
        <w:rPr>
          <w:rFonts w:ascii="Times New Roman" w:hAnsi="Times New Roman"/>
          <w:color w:val="000000"/>
          <w:sz w:val="24"/>
        </w:rPr>
        <w:t xml:space="preserve">Section 4.1 </w:t>
      </w:r>
      <w:r>
        <w:rPr>
          <w:rFonts w:ascii="Times New Roman" w:hAnsi="Times New Roman"/>
          <w:color w:val="000000"/>
          <w:sz w:val="24"/>
          <w:u w:val="single"/>
        </w:rPr>
        <w:t>Authorized Capital Stock</w:t>
      </w:r>
      <w:r>
        <w:rPr>
          <w:rFonts w:ascii="Times New Roman" w:hAnsi="Times New Roman"/>
          <w:color w:val="000000"/>
          <w:sz w:val="24"/>
        </w:rPr>
        <w:t>. The total number of shares of all classes of capital stock, each with a par value of $0.0001 per share, which the Corporation is authorized to issue is 370,000,000</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consisting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350,000,000</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i/>
          <w:color w:val="000000"/>
          <w:sz w:val="24"/>
        </w:rPr>
        <w:t>Common</w:t>
      </w:r>
      <w:r>
        <w:rPr>
          <w:rFonts w:ascii="Times New Roman" w:hAnsi="Times New Roman"/>
          <w:color w:val="000000"/>
          <w:sz w:val="20"/>
        </w:rPr>
        <w:t xml:space="preserve"> </w:t>
      </w:r>
      <w:r>
        <w:rPr>
          <w:rFonts w:ascii="Times New Roman" w:hAnsi="Times New Roman"/>
          <w:b/>
          <w:i/>
          <w:color w:val="000000"/>
          <w:sz w:val="24"/>
        </w:rPr>
        <w:t>Stock</w:t>
      </w:r>
      <w:r>
        <w:rPr>
          <w:rFonts w:ascii="Times New Roman" w:hAnsi="Times New Roman"/>
          <w:color w:val="000000"/>
          <w:sz w:val="20"/>
        </w:rPr>
        <w:t>”</w:t>
      </w:r>
      <w:r>
        <w:rPr>
          <w:rFonts w:ascii="Times New Roman" w:hAnsi="Times New Roman"/>
          <w:color w:val="000000"/>
          <w:sz w:val="24"/>
        </w:rPr>
        <w:t>) and (b) 20,000,000 shares of preferred stock (the “</w:t>
      </w:r>
      <w:r>
        <w:rPr>
          <w:rFonts w:ascii="Times New Roman" w:hAnsi="Times New Roman"/>
          <w:b/>
          <w:i/>
          <w:color w:val="000000"/>
          <w:sz w:val="24"/>
        </w:rPr>
        <w:t>Preferred Stock</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59" w:right="357" w:firstLine="720"/>
        <w:jc w:val="both"/>
        <w:rPr>
          <w:rFonts w:ascii="Times New Roman" w:hAnsi="Times New Roman"/>
          <w:sz w:val="20"/>
        </w:rPr>
      </w:pPr>
      <w:r>
        <w:rPr>
          <w:rFonts w:ascii="Times New Roman" w:hAnsi="Times New Roman"/>
          <w:color w:val="000000"/>
          <w:sz w:val="24"/>
        </w:rPr>
        <w:t>FOURTH: This Certificate of Amendment to the Second Amended and Restated Certificate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filing</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Secretary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 Delaware.</w:t>
      </w:r>
      <w:r>
        <w:rPr>
          <w:rFonts w:ascii="Times New Roman" w:hAnsi="Times New Roman"/>
          <w:color w:val="000000"/>
          <w:sz w:val="20"/>
        </w:rPr>
        <w:t xml:space="preserve"> </w:t>
      </w:r>
      <w:r>
        <w:rPr>
          <w:rFonts w:ascii="Times New Roman" w:hAnsi="Times New Roman"/>
          <w:color w:val="000000"/>
          <w:sz w:val="24"/>
        </w:rPr>
        <w:t>Except as herein amended, all other provisions of the Second Amended and Restated Certificate remain in full force and effect.</w:t>
      </w:r>
    </w:p>
    <w:p>
      <w:pPr>
        <w:pStyle w:val="TextBody"/>
        <w:bidi w:val="0"/>
        <w:jc w:val="left"/>
        <w:rPr/>
      </w:pPr>
      <w:r>
        <w:rPr/>
        <w:t> </w:t>
      </w:r>
    </w:p>
    <w:p>
      <w:pPr>
        <w:pStyle w:val="TextBody"/>
        <w:bidi w:val="0"/>
        <w:spacing w:before="204" w:after="283"/>
        <w:jc w:val="left"/>
        <w:rPr/>
      </w:pPr>
      <w:r>
        <w:rPr/>
        <w:t> </w:t>
      </w:r>
    </w:p>
    <w:p>
      <w:pPr>
        <w:pStyle w:val="TextBody"/>
        <w:bidi w:val="0"/>
        <w:spacing w:before="1" w:after="283"/>
        <w:ind w:left="3183" w:right="3183" w:hanging="0"/>
        <w:jc w:val="center"/>
        <w:rPr>
          <w:rFonts w:ascii="Times New Roman" w:hAnsi="Times New Roman"/>
          <w:color w:val="000000"/>
          <w:sz w:val="24"/>
        </w:rPr>
      </w:pPr>
      <w:r>
        <w:rPr>
          <w:rFonts w:ascii="Times New Roman" w:hAnsi="Times New Roman"/>
          <w:color w:val="000000"/>
          <w:sz w:val="24"/>
        </w:rPr>
        <w:t>* * * *</w:t>
      </w:r>
    </w:p>
    <w:p>
      <w:pPr>
        <w:pStyle w:val="TextBody"/>
        <w:bidi w:val="0"/>
        <w:spacing w:before="216" w:after="283"/>
        <w:jc w:val="left"/>
        <w:rPr/>
      </w:pPr>
      <w:r>
        <w:rPr/>
        <w:t> </w:t>
      </w:r>
    </w:p>
    <w:p>
      <w:pPr>
        <w:pStyle w:val="TextBody"/>
        <w:bidi w:val="0"/>
        <w:jc w:val="left"/>
        <w:rPr/>
      </w:pPr>
      <w:r>
        <w:rPr/>
        <w:t> </w:t>
      </w:r>
    </w:p>
    <w:p>
      <w:pPr>
        <w:pStyle w:val="TextBody"/>
        <w:bidi w:val="0"/>
        <w:spacing w:before="13" w:after="283"/>
        <w:jc w:val="left"/>
        <w:rPr/>
      </w:pPr>
      <w:r>
        <w:rPr/>
        <w:t> </w:t>
      </w:r>
    </w:p>
    <w:p>
      <w:pPr>
        <w:pStyle w:val="TextBody"/>
        <w:bidi w:val="0"/>
        <w:ind w:left="360" w:right="475" w:firstLine="720"/>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Amendment to be executed by the undersigned authorized officer as of the 10th day of June,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 w:after="1"/>
        <w:jc w:val="left"/>
        <w:rPr/>
      </w:pPr>
      <w:r>
        <w:rPr/>
        <w:t> </w:t>
      </w:r>
    </w:p>
    <w:tbl>
      <w:tblPr>
        <w:tblW w:w="6669" w:type="dxa"/>
        <w:jc w:val="left"/>
        <w:tblInd w:w="0" w:type="dxa"/>
        <w:tblLayout w:type="fixed"/>
        <w:tblCellMar>
          <w:top w:w="28" w:type="dxa"/>
          <w:left w:w="28" w:type="dxa"/>
          <w:bottom w:w="28" w:type="dxa"/>
          <w:right w:w="28" w:type="dxa"/>
        </w:tblCellMar>
      </w:tblPr>
      <w:tblGrid>
        <w:gridCol w:w="492"/>
        <w:gridCol w:w="6177"/>
      </w:tblGrid>
      <w:tr>
        <w:trPr/>
        <w:tc>
          <w:tcPr>
            <w:tcW w:w="492" w:type="dxa"/>
            <w:tcBorders/>
            <w:vAlign w:val="center"/>
          </w:tcPr>
          <w:p>
            <w:pPr>
              <w:pStyle w:val="TableContents"/>
              <w:bidi w:val="0"/>
              <w:spacing w:before="0" w:after="283"/>
              <w:jc w:val="left"/>
              <w:rPr>
                <w:sz w:val="4"/>
                <w:szCs w:val="4"/>
              </w:rPr>
            </w:pPr>
            <w:r>
              <w:rPr>
                <w:sz w:val="4"/>
                <w:szCs w:val="4"/>
              </w:rPr>
            </w:r>
          </w:p>
        </w:tc>
        <w:tc>
          <w:tcPr>
            <w:tcW w:w="6177"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92" w:type="dxa"/>
            <w:tcBorders/>
            <w:tcMar>
              <w:top w:w="0" w:type="dxa"/>
              <w:left w:w="0" w:type="dxa"/>
              <w:bottom w:w="0" w:type="dxa"/>
              <w:right w:w="0" w:type="dxa"/>
            </w:tcMar>
            <w:vAlign w:val="center"/>
          </w:tcPr>
          <w:p>
            <w:pPr>
              <w:pStyle w:val="TableContents"/>
              <w:bidi w:val="0"/>
              <w:spacing w:before="0" w:after="283"/>
              <w:ind w:left="0" w:right="0" w:firstLine="26"/>
              <w:jc w:val="left"/>
              <w:rPr>
                <w:rFonts w:ascii="Times New Roman" w:hAnsi="Times New Roman"/>
                <w:color w:val="000000"/>
                <w:sz w:val="24"/>
              </w:rPr>
            </w:pPr>
            <w:r>
              <w:rPr>
                <w:rFonts w:ascii="Times New Roman" w:hAnsi="Times New Roman"/>
                <w:color w:val="000000"/>
                <w:sz w:val="24"/>
              </w:rPr>
              <w:t>By:</w:t>
            </w:r>
          </w:p>
        </w:tc>
        <w:tc>
          <w:tcPr>
            <w:tcW w:w="6177" w:type="dxa"/>
            <w:tcBorders>
              <w:bottom w:val="single" w:sz="8" w:space="0" w:color="000000"/>
            </w:tcBorders>
            <w:tcMar>
              <w:top w:w="0" w:type="dxa"/>
              <w:left w:w="0" w:type="dxa"/>
              <w:right w:w="0" w:type="dxa"/>
            </w:tcMar>
            <w:vAlign w:val="center"/>
          </w:tcPr>
          <w:p>
            <w:pPr>
              <w:pStyle w:val="TableContents"/>
              <w:bidi w:val="0"/>
              <w:spacing w:before="0" w:after="283"/>
              <w:ind w:left="0" w:right="0" w:firstLine="26"/>
              <w:jc w:val="left"/>
              <w:rPr>
                <w:rFonts w:ascii="Times New Roman" w:hAnsi="Times New Roman"/>
                <w:color w:val="000000"/>
                <w:sz w:val="24"/>
              </w:rPr>
            </w:pPr>
            <w:r>
              <w:rPr>
                <w:rFonts w:ascii="Times New Roman" w:hAnsi="Times New Roman"/>
                <w:color w:val="000000"/>
                <w:sz w:val="24"/>
              </w:rPr>
              <w:t>/s/ Dale Sander</w:t>
            </w:r>
          </w:p>
        </w:tc>
      </w:tr>
      <w:tr>
        <w:trPr/>
        <w:tc>
          <w:tcPr>
            <w:tcW w:w="492" w:type="dxa"/>
            <w:tcBorders/>
            <w:tcMar>
              <w:top w:w="0" w:type="dxa"/>
              <w:left w:w="0" w:type="dxa"/>
              <w:bottom w:w="0" w:type="dxa"/>
              <w:right w:w="0" w:type="dxa"/>
            </w:tcMar>
            <w:vAlign w:val="center"/>
          </w:tcPr>
          <w:p>
            <w:pPr>
              <w:pStyle w:val="TableContents"/>
              <w:bidi w:val="0"/>
              <w:spacing w:before="0" w:after="283"/>
              <w:ind w:left="0" w:right="0" w:firstLine="26"/>
              <w:jc w:val="left"/>
              <w:rPr/>
            </w:pPr>
            <w:r>
              <w:rPr/>
              <w:t> </w:t>
            </w:r>
          </w:p>
        </w:tc>
        <w:tc>
          <w:tcPr>
            <w:tcW w:w="6177" w:type="dxa"/>
            <w:tcBorders/>
            <w:tcMar>
              <w:top w:w="0" w:type="dxa"/>
              <w:left w:w="0" w:type="dxa"/>
              <w:bottom w:w="0" w:type="dxa"/>
              <w:right w:w="0" w:type="dxa"/>
            </w:tcMar>
            <w:vAlign w:val="center"/>
          </w:tcPr>
          <w:p>
            <w:pPr>
              <w:pStyle w:val="TableContents"/>
              <w:bidi w:val="0"/>
              <w:spacing w:before="30" w:after="283"/>
              <w:ind w:left="0" w:right="0" w:firstLine="26"/>
              <w:jc w:val="left"/>
              <w:rPr>
                <w:rFonts w:ascii="Times New Roman" w:hAnsi="Times New Roman"/>
                <w:color w:val="000000"/>
                <w:sz w:val="24"/>
              </w:rPr>
            </w:pPr>
            <w:r>
              <w:rPr>
                <w:rFonts w:ascii="Times New Roman" w:hAnsi="Times New Roman"/>
                <w:color w:val="000000"/>
                <w:sz w:val="24"/>
              </w:rPr>
              <w:t>Dale Sander</w:t>
            </w:r>
          </w:p>
        </w:tc>
      </w:tr>
      <w:tr>
        <w:trPr/>
        <w:tc>
          <w:tcPr>
            <w:tcW w:w="492" w:type="dxa"/>
            <w:tcBorders/>
            <w:tcMar>
              <w:top w:w="0" w:type="dxa"/>
              <w:left w:w="0" w:type="dxa"/>
              <w:bottom w:w="0" w:type="dxa"/>
              <w:right w:w="0" w:type="dxa"/>
            </w:tcMar>
            <w:vAlign w:val="center"/>
          </w:tcPr>
          <w:p>
            <w:pPr>
              <w:pStyle w:val="TableContents"/>
              <w:bidi w:val="0"/>
              <w:spacing w:before="0" w:after="283"/>
              <w:ind w:left="0" w:right="0" w:firstLine="26"/>
              <w:jc w:val="left"/>
              <w:rPr/>
            </w:pPr>
            <w:r>
              <w:rPr/>
              <w:t> </w:t>
            </w:r>
          </w:p>
        </w:tc>
        <w:tc>
          <w:tcPr>
            <w:tcW w:w="6177" w:type="dxa"/>
            <w:tcBorders/>
            <w:tcMar>
              <w:top w:w="0" w:type="dxa"/>
              <w:left w:w="0" w:type="dxa"/>
              <w:bottom w:w="0" w:type="dxa"/>
              <w:right w:w="0" w:type="dxa"/>
            </w:tcMar>
            <w:vAlign w:val="center"/>
          </w:tcPr>
          <w:p>
            <w:pPr>
              <w:pStyle w:val="TableContents"/>
              <w:bidi w:val="0"/>
              <w:spacing w:before="25" w:after="283"/>
              <w:ind w:left="0" w:right="0" w:firstLine="26"/>
              <w:jc w:val="left"/>
              <w:rPr>
                <w:rFonts w:ascii="Times New Roman" w:hAnsi="Times New Roman"/>
                <w:color w:val="000000"/>
                <w:sz w:val="24"/>
              </w:rPr>
            </w:pPr>
            <w:r>
              <w:rPr>
                <w:rFonts w:ascii="Times New Roman" w:hAnsi="Times New Roman"/>
                <w:color w:val="000000"/>
                <w:sz w:val="24"/>
              </w:rPr>
              <w:t>Chief Financial Officer, Chief Corporate Officer, and Treasurer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4" w:after="283"/>
        <w:jc w:val="left"/>
        <w:rPr/>
      </w:pPr>
      <w:r>
        <w:rPr/>
        <w:t> </w:t>
      </w:r>
    </w:p>
    <w:p>
      <w:pPr>
        <w:pStyle w:val="TextBody"/>
        <w:bidi w:val="0"/>
        <w:jc w:val="center"/>
        <w:rPr>
          <w:rFonts w:ascii="Times New Roman" w:hAnsi="Times New Roman"/>
          <w:sz w:val="20"/>
        </w:rPr>
      </w:pPr>
      <w:r>
        <w:rPr>
          <w:rFonts w:ascii="Times New Roman" w:hAnsi="Times New Roman"/>
          <w:i/>
          <w:color w:val="000000"/>
          <w:sz w:val="22"/>
        </w:rPr>
        <w:t>[Signature</w:t>
      </w:r>
      <w:r>
        <w:rPr>
          <w:rFonts w:ascii="Times New Roman" w:hAnsi="Times New Roman"/>
          <w:color w:val="000000"/>
          <w:sz w:val="20"/>
        </w:rPr>
        <w:t xml:space="preserve"> </w:t>
      </w:r>
      <w:r>
        <w:rPr>
          <w:rFonts w:ascii="Times New Roman" w:hAnsi="Times New Roman"/>
          <w:i/>
          <w:color w:val="000000"/>
          <w:sz w:val="22"/>
        </w:rPr>
        <w:t>Page</w:t>
      </w:r>
      <w:r>
        <w:rPr>
          <w:rFonts w:ascii="Times New Roman" w:hAnsi="Times New Roman"/>
          <w:color w:val="000000"/>
          <w:sz w:val="20"/>
        </w:rPr>
        <w:t xml:space="preserve"> </w:t>
      </w:r>
      <w:r>
        <w:rPr>
          <w:rFonts w:ascii="Times New Roman" w:hAnsi="Times New Roman"/>
          <w:i/>
          <w:color w:val="000000"/>
          <w:sz w:val="22"/>
        </w:rPr>
        <w:t>to</w:t>
      </w:r>
      <w:r>
        <w:rPr>
          <w:rFonts w:ascii="Times New Roman" w:hAnsi="Times New Roman"/>
          <w:color w:val="000000"/>
          <w:sz w:val="20"/>
        </w:rPr>
        <w:t xml:space="preserve"> </w:t>
      </w:r>
      <w:r>
        <w:rPr>
          <w:rFonts w:ascii="Times New Roman" w:hAnsi="Times New Roman"/>
          <w:i/>
          <w:color w:val="000000"/>
          <w:sz w:val="22"/>
        </w:rPr>
        <w:t>the</w:t>
      </w:r>
      <w:r>
        <w:rPr>
          <w:rFonts w:ascii="Times New Roman" w:hAnsi="Times New Roman"/>
          <w:color w:val="000000"/>
          <w:sz w:val="20"/>
        </w:rPr>
        <w:t xml:space="preserve"> </w:t>
      </w:r>
      <w:r>
        <w:rPr>
          <w:rFonts w:ascii="Times New Roman" w:hAnsi="Times New Roman"/>
          <w:i/>
          <w:color w:val="000000"/>
          <w:sz w:val="22"/>
        </w:rPr>
        <w:t>Certificate</w:t>
      </w:r>
      <w:r>
        <w:rPr>
          <w:rFonts w:ascii="Times New Roman" w:hAnsi="Times New Roman"/>
          <w:color w:val="000000"/>
          <w:sz w:val="20"/>
        </w:rPr>
        <w:t xml:space="preserve"> </w:t>
      </w:r>
      <w:r>
        <w:rPr>
          <w:rFonts w:ascii="Times New Roman" w:hAnsi="Times New Roman"/>
          <w:i/>
          <w:color w:val="000000"/>
          <w:sz w:val="22"/>
        </w:rPr>
        <w:t>of</w:t>
      </w:r>
      <w:r>
        <w:rPr>
          <w:rFonts w:ascii="Times New Roman" w:hAnsi="Times New Roman"/>
          <w:color w:val="000000"/>
          <w:sz w:val="20"/>
        </w:rPr>
        <w:t xml:space="preserve"> </w:t>
      </w:r>
      <w:r>
        <w:rPr>
          <w:rFonts w:ascii="Times New Roman" w:hAnsi="Times New Roman"/>
          <w:i/>
          <w:color w:val="000000"/>
          <w:sz w:val="22"/>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20"/>
        </w:rPr>
        <w:t>CERTIFICATE</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AMENDMENT TO THE</w:t>
      </w:r>
    </w:p>
    <w:p>
      <w:pPr>
        <w:pStyle w:val="TextBody"/>
        <w:bidi w:val="0"/>
        <w:jc w:val="center"/>
        <w:rPr>
          <w:rFonts w:ascii="Times New Roman" w:hAnsi="Times New Roman"/>
          <w:sz w:val="20"/>
        </w:rPr>
      </w:pPr>
      <w:r>
        <w:rPr>
          <w:rFonts w:ascii="Times New Roman" w:hAnsi="Times New Roman"/>
          <w:b/>
          <w:color w:val="000000"/>
          <w:sz w:val="20"/>
        </w:rPr>
        <w:t>SECOND</w:t>
      </w:r>
      <w:r>
        <w:rPr>
          <w:rFonts w:ascii="Times New Roman" w:hAnsi="Times New Roman"/>
          <w:color w:val="000000"/>
          <w:sz w:val="20"/>
        </w:rPr>
        <w:t xml:space="preserve"> </w:t>
      </w:r>
      <w:r>
        <w:rPr>
          <w:rFonts w:ascii="Times New Roman" w:hAnsi="Times New Roman"/>
          <w:b/>
          <w:color w:val="000000"/>
          <w:sz w:val="20"/>
        </w:rPr>
        <w:t>AMENDED</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RESTATED CERTIFICATE</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INCORPORATION OF</w:t>
      </w:r>
    </w:p>
    <w:p>
      <w:pPr>
        <w:pStyle w:val="TextBody"/>
        <w:bidi w:val="0"/>
        <w:spacing w:before="1" w:after="283"/>
        <w:jc w:val="center"/>
        <w:rPr>
          <w:rFonts w:ascii="Times New Roman" w:hAnsi="Times New Roman"/>
          <w:sz w:val="20"/>
        </w:rPr>
      </w:pPr>
      <w:r>
        <w:rPr>
          <w:rFonts w:ascii="Times New Roman" w:hAnsi="Times New Roman"/>
          <w:b/>
          <w:color w:val="000000"/>
          <w:sz w:val="20"/>
        </w:rPr>
        <w:t>HUMACYTE,</w:t>
      </w:r>
      <w:r>
        <w:rPr>
          <w:rFonts w:ascii="Times New Roman" w:hAnsi="Times New Roman"/>
          <w:color w:val="000000"/>
          <w:sz w:val="20"/>
        </w:rPr>
        <w:t xml:space="preserve"> </w:t>
      </w:r>
      <w:r>
        <w:rPr>
          <w:rFonts w:ascii="Times New Roman" w:hAnsi="Times New Roman"/>
          <w:b/>
          <w:color w:val="000000"/>
          <w:sz w:val="20"/>
        </w:rPr>
        <w:t>INC.</w:t>
      </w:r>
    </w:p>
    <w:p>
      <w:pPr>
        <w:pStyle w:val="TextBody"/>
        <w:bidi w:val="0"/>
        <w:spacing w:before="92"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Humacyte, Inc. (the “</w:t>
      </w:r>
      <w:r>
        <w:rPr>
          <w:rFonts w:ascii="Times New Roman" w:hAnsi="Times New Roman"/>
          <w:b/>
          <w:i/>
          <w:color w:val="000000"/>
          <w:sz w:val="20"/>
        </w:rPr>
        <w:t>Corporation</w:t>
      </w:r>
      <w:r>
        <w:rPr>
          <w:rFonts w:ascii="Times New Roman" w:hAnsi="Times New Roman"/>
          <w:color w:val="000000"/>
          <w:sz w:val="20"/>
        </w:rPr>
        <w:t>”), a corporation duly organized and existing under the General Corporation Law of the State of Delaware (the “</w:t>
      </w:r>
      <w:r>
        <w:rPr>
          <w:rFonts w:ascii="Times New Roman" w:hAnsi="Times New Roman"/>
          <w:b/>
          <w:i/>
          <w:color w:val="000000"/>
          <w:sz w:val="20"/>
        </w:rPr>
        <w:t>DGCL</w:t>
      </w:r>
      <w:r>
        <w:rPr>
          <w:rFonts w:ascii="Times New Roman" w:hAnsi="Times New Roman"/>
          <w:color w:val="000000"/>
          <w:sz w:val="20"/>
        </w:rPr>
        <w:t>”), does hereby certify that:</w:t>
      </w:r>
    </w:p>
    <w:p>
      <w:pPr>
        <w:pStyle w:val="TextBody"/>
        <w:bidi w:val="0"/>
        <w:spacing w:before="4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FIRST: The original certificate of incorporation of the Corporation was filed with the Secretary of State of the State of Delaware on July 1, 2020. The Corporation filed an amended and restated certificate of incorporation with the Secretary of State of the State of Delaware on September 17, 2020. The Corporation filed a second amended and restated certificate of incorporation with the Secretary of State of the State of Delaware on August 26, 2021, and filed a certificate of amendment to the second amended and restated certificate of incorporation with the Secretary of State of the State of Delaware on June 10, 2025 (as so amended, the “</w:t>
      </w:r>
      <w:r>
        <w:rPr>
          <w:rFonts w:ascii="Times New Roman" w:hAnsi="Times New Roman"/>
          <w:b/>
          <w:i/>
          <w:color w:val="000000"/>
          <w:sz w:val="20"/>
        </w:rPr>
        <w:t>Second Amended and Restated Certificate</w:t>
      </w:r>
      <w:r>
        <w:rPr>
          <w:rFonts w:ascii="Times New Roman" w:hAnsi="Times New Roman"/>
          <w:color w:val="000000"/>
          <w:sz w:val="20"/>
        </w:rPr>
        <w:t>”).</w:t>
      </w:r>
    </w:p>
    <w:p>
      <w:pPr>
        <w:pStyle w:val="TextBody"/>
        <w:bidi w:val="0"/>
        <w:spacing w:before="4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SECOND: The amendment to the Second Amended and Restated Certificate set forth below was duly adopted by the board of directors and the stockholders of the Corporation in accordance with Sections 228 and 242 of the DGCL.</w:t>
      </w:r>
    </w:p>
    <w:p>
      <w:pPr>
        <w:pStyle w:val="TextBody"/>
        <w:bidi w:val="0"/>
        <w:spacing w:before="46"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THIRD: Section 4.1 of Article IV of the Second Amended and Restated Certificate is hereby amended and restated in its entirety to read as follows:</w:t>
      </w:r>
    </w:p>
    <w:p>
      <w:pPr>
        <w:pStyle w:val="TextBody"/>
        <w:bidi w:val="0"/>
        <w:spacing w:before="46" w:after="283"/>
        <w:jc w:val="left"/>
        <w:rPr/>
      </w:pPr>
      <w:r>
        <w:rPr/>
        <w:t> </w:t>
      </w:r>
    </w:p>
    <w:p>
      <w:pPr>
        <w:pStyle w:val="TextBody"/>
        <w:bidi w:val="0"/>
        <w:jc w:val="left"/>
        <w:rPr/>
      </w:pPr>
      <w:r>
        <w:rPr>
          <w:color w:val="000000"/>
        </w:rPr>
        <w:t>“</w:t>
      </w:r>
      <w:r>
        <w:rPr>
          <w:rFonts w:ascii="Times New Roman" w:hAnsi="Times New Roman"/>
          <w:color w:val="000000"/>
          <w:sz w:val="20"/>
        </w:rPr>
        <w:t xml:space="preserve">Section 4.1 </w:t>
      </w:r>
      <w:r>
        <w:rPr>
          <w:rFonts w:ascii="Times New Roman" w:hAnsi="Times New Roman"/>
          <w:color w:val="000000"/>
          <w:sz w:val="20"/>
          <w:u w:val="single"/>
        </w:rPr>
        <w:t>Authorized Capital Stock</w:t>
      </w:r>
      <w:r>
        <w:rPr>
          <w:rFonts w:ascii="Times New Roman" w:hAnsi="Times New Roman"/>
          <w:color w:val="000000"/>
          <w:sz w:val="20"/>
        </w:rPr>
        <w:t>. The total number of shares of all classes of capital stock, each with a par value of $0.0001 per share, which the Corporation is authorized to issue is 570,000,000 shares, consisting of (a) 550,000,000 shares of common stock (the “</w:t>
      </w:r>
      <w:r>
        <w:rPr>
          <w:rFonts w:ascii="Times New Roman" w:hAnsi="Times New Roman"/>
          <w:b/>
          <w:i/>
          <w:color w:val="000000"/>
          <w:sz w:val="20"/>
        </w:rPr>
        <w:t>Common</w:t>
      </w:r>
      <w:r>
        <w:rPr>
          <w:rFonts w:ascii="Times New Roman" w:hAnsi="Times New Roman"/>
          <w:color w:val="000000"/>
          <w:sz w:val="20"/>
        </w:rPr>
        <w:t xml:space="preserve"> </w:t>
      </w:r>
      <w:r>
        <w:rPr>
          <w:rFonts w:ascii="Times New Roman" w:hAnsi="Times New Roman"/>
          <w:b/>
          <w:i/>
          <w:color w:val="000000"/>
          <w:sz w:val="20"/>
        </w:rPr>
        <w:t>Stock</w:t>
      </w:r>
      <w:r>
        <w:rPr>
          <w:rFonts w:ascii="Times New Roman" w:hAnsi="Times New Roman"/>
          <w:color w:val="000000"/>
          <w:sz w:val="20"/>
        </w:rPr>
        <w:t>”) and (b) 20,000,000 shares of preferred stock (the “</w:t>
      </w:r>
      <w:r>
        <w:rPr>
          <w:rFonts w:ascii="Times New Roman" w:hAnsi="Times New Roman"/>
          <w:b/>
          <w:i/>
          <w:color w:val="000000"/>
          <w:sz w:val="20"/>
        </w:rPr>
        <w:t>Preferred Stock</w:t>
      </w:r>
      <w:r>
        <w:rPr>
          <w:rFonts w:ascii="Times New Roman" w:hAnsi="Times New Roman"/>
          <w:color w:val="000000"/>
          <w:sz w:val="20"/>
        </w:rPr>
        <w:t>”).”</w:t>
      </w:r>
    </w:p>
    <w:p>
      <w:pPr>
        <w:pStyle w:val="TextBody"/>
        <w:bidi w:val="0"/>
        <w:spacing w:before="44"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FOURTH: This Certificate of Amendment to the Second Amended and Restated Certificate shall be effective upon filing with the Secretary of State of the State of Delaware. Except as herein amended, all other provisions of the Second Amended and Restated Certificate remain in full force and effect.</w:t>
      </w:r>
    </w:p>
    <w:p>
      <w:pPr>
        <w:pStyle w:val="TextBody"/>
        <w:bidi w:val="0"/>
        <w:spacing w:before="45" w:after="283"/>
        <w:jc w:val="left"/>
        <w:rPr/>
      </w:pPr>
      <w:r>
        <w:rPr/>
        <w:t> </w:t>
      </w:r>
    </w:p>
    <w:p>
      <w:pPr>
        <w:pStyle w:val="TextBody"/>
        <w:bidi w:val="0"/>
        <w:spacing w:before="1" w:after="283"/>
        <w:jc w:val="center"/>
        <w:rPr>
          <w:rFonts w:ascii="Times New Roman" w:hAnsi="Times New Roman"/>
          <w:sz w:val="20"/>
        </w:rPr>
      </w:pPr>
      <w:r>
        <w:rPr>
          <w:rFonts w:ascii="Arial" w:hAnsi="Arial"/>
          <w:color w:val="000000"/>
          <w:sz w:val="22"/>
        </w:rPr>
        <w:t>*</w:t>
      </w:r>
      <w:r>
        <w:rPr>
          <w:rFonts w:ascii="Times New Roman" w:hAnsi="Times New Roman"/>
          <w:color w:val="000000"/>
          <w:sz w:val="20"/>
        </w:rPr>
        <w:t xml:space="preserve"> </w:t>
      </w:r>
      <w:r>
        <w:rPr>
          <w:rFonts w:ascii="Arial" w:hAnsi="Arial"/>
          <w:color w:val="000000"/>
          <w:sz w:val="22"/>
        </w:rPr>
        <w:t>*</w:t>
      </w:r>
      <w:r>
        <w:rPr>
          <w:rFonts w:ascii="Times New Roman" w:hAnsi="Times New Roman"/>
          <w:color w:val="000000"/>
          <w:sz w:val="20"/>
        </w:rPr>
        <w:t xml:space="preserve"> </w:t>
      </w:r>
      <w:r>
        <w:rPr>
          <w:rFonts w:ascii="Arial" w:hAnsi="Arial"/>
          <w:color w:val="000000"/>
          <w:sz w:val="22"/>
        </w:rPr>
        <w:t>*</w:t>
      </w:r>
      <w:r>
        <w:rPr>
          <w:rFonts w:ascii="Times New Roman" w:hAnsi="Times New Roman"/>
          <w:color w:val="000000"/>
          <w:sz w:val="20"/>
        </w:rPr>
        <w:t xml:space="preserve"> </w:t>
      </w:r>
      <w:r>
        <w:rPr>
          <w:rFonts w:ascii="Arial" w:hAnsi="Arial"/>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IN</w:t>
      </w:r>
      <w:r>
        <w:rPr>
          <w:rFonts w:ascii="Times New Roman" w:hAnsi="Times New Roman"/>
          <w:color w:val="000000"/>
          <w:sz w:val="20"/>
        </w:rPr>
        <w:t xml:space="preserve"> </w:t>
      </w:r>
      <w:r>
        <w:rPr>
          <w:rFonts w:ascii="Times New Roman" w:hAnsi="Times New Roman"/>
          <w:b/>
          <w:color w:val="000000"/>
          <w:sz w:val="20"/>
        </w:rPr>
        <w:t>WITNESS</w:t>
      </w:r>
      <w:r>
        <w:rPr>
          <w:rFonts w:ascii="Times New Roman" w:hAnsi="Times New Roman"/>
          <w:color w:val="000000"/>
          <w:sz w:val="20"/>
        </w:rPr>
        <w:t xml:space="preserve"> </w:t>
      </w:r>
      <w:r>
        <w:rPr>
          <w:rFonts w:ascii="Times New Roman" w:hAnsi="Times New Roman"/>
          <w:b/>
          <w:color w:val="000000"/>
          <w:sz w:val="20"/>
        </w:rPr>
        <w:t>WHEREOF</w:t>
      </w:r>
      <w:r>
        <w:rPr>
          <w:rFonts w:ascii="Times New Roman" w:hAnsi="Times New Roman"/>
          <w:color w:val="000000"/>
          <w:sz w:val="20"/>
        </w:rPr>
        <w:t>, the Corporation has caused this Certificate of Amendment to be executed by the undersigned authorized officer as of the 9th day of June,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Dale A. Sander </w:t>
      </w:r>
    </w:p>
    <w:p>
      <w:pPr>
        <w:pStyle w:val="TextBody"/>
        <w:bidi w:val="0"/>
        <w:jc w:val="left"/>
        <w:rPr>
          <w:rFonts w:ascii="Times New Roman" w:hAnsi="Times New Roman"/>
          <w:color w:val="000000"/>
          <w:sz w:val="20"/>
        </w:rPr>
      </w:pPr>
      <w:r>
        <w:rPr>
          <w:rFonts w:ascii="Times New Roman" w:hAnsi="Times New Roman"/>
          <w:color w:val="000000"/>
          <w:sz w:val="20"/>
        </w:rPr>
        <w:t>Dale A. Sander</w:t>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Chief Financial Officer, Chief Corporate Development Officer, and Treasurer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40" w:name="huma-ex4_1.htm"/>
      <w:bookmarkStart w:id="41" w:name="kshumaex4_1"/>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112" w:after="283"/>
        <w:jc w:val="left"/>
        <w:rPr/>
      </w:pPr>
      <w:r>
        <w:rPr/>
        <w:t> </w:t>
      </w:r>
    </w:p>
    <w:p>
      <w:pPr>
        <w:pStyle w:val="TextBody"/>
        <w:bidi w:val="0"/>
        <w:ind w:left="720" w:right="733" w:hanging="0"/>
        <w:jc w:val="left"/>
        <w:rPr>
          <w:rFonts w:ascii="Times New Roman" w:hAnsi="Times New Roman"/>
          <w:color w:val="000000"/>
          <w:sz w:val="20"/>
        </w:rPr>
      </w:pPr>
      <w:r>
        <w:rPr>
          <w:rFonts w:ascii="Times New Roman" w:hAnsi="Times New Roman"/>
          <w:color w:val="000000"/>
          <w:sz w:val="20"/>
        </w:rPr>
        <w:t>THIS WARRANT AND THE SHARES ISSUABLE HEREUNDER HAVE NOT BEEN REGISTERED UNDER THE SECURITIES ACT OF 1933, AS AMENDED, OR THE SECURITIES LAWS OF ANY STATE AND, EXCEPT AS SET FORTH IN SECTION 4(a) AND SECTION 5(c) BELOW, MAY NOT BE OFFERED, SOLD, PLEDGED OR OTHERWISE TRANSFERRED UNLESS AND UNTIL REGISTERED UNDER SAID ACT AND LAWS OR SUCH OFFER, SALE, PLEDGE OR OTHER TRANSFER IS EXEMPT FROM SUCH REGISTRATION.</w:t>
      </w:r>
    </w:p>
    <w:p>
      <w:pPr>
        <w:pStyle w:val="TextBody"/>
        <w:bidi w:val="0"/>
        <w:spacing w:before="8" w:after="283"/>
        <w:jc w:val="left"/>
        <w:rPr/>
      </w:pPr>
      <w:r>
        <w:rPr/>
        <w:t> </w:t>
      </w:r>
    </w:p>
    <w:p>
      <w:pPr>
        <w:pStyle w:val="Heading1"/>
        <w:bidi w:val="0"/>
        <w:spacing w:before="1" w:after="283"/>
        <w:ind w:left="2829" w:right="2821" w:hanging="0"/>
        <w:jc w:val="center"/>
        <w:rPr>
          <w:rFonts w:ascii="Times New Roman" w:hAnsi="Times New Roman"/>
          <w:color w:val="000000"/>
          <w:sz w:val="20"/>
        </w:rPr>
      </w:pPr>
      <w:r>
        <w:rPr>
          <w:rFonts w:ascii="Times New Roman" w:hAnsi="Times New Roman"/>
          <w:color w:val="000000"/>
          <w:sz w:val="20"/>
        </w:rPr>
        <w:t>COMMON STOCK PURCHASE WARRANT HUMACYTE, INC.</w:t>
      </w:r>
    </w:p>
    <w:p>
      <w:pPr>
        <w:pStyle w:val="TextBody"/>
        <w:bidi w:val="0"/>
        <w:spacing w:before="228" w:after="283"/>
        <w:ind w:left="52" w:right="0" w:hanging="0"/>
        <w:jc w:val="center"/>
        <w:rPr>
          <w:rFonts w:ascii="Times New Roman" w:hAnsi="Times New Roman"/>
          <w:sz w:val="20"/>
        </w:rPr>
      </w:pPr>
      <w:r>
        <w:rPr>
          <w:rFonts w:ascii="Times New Roman" w:hAnsi="Times New Roman"/>
          <w:color w:val="000000"/>
          <w:sz w:val="20"/>
        </w:rPr>
        <w:t xml:space="preserve">Warrant Shares: </w:t>
      </w:r>
      <w:r>
        <w:rPr>
          <w:rFonts w:ascii="Times New Roman" w:hAnsi="Times New Roman"/>
          <w:color w:val="000000"/>
          <w:sz w:val="20"/>
          <w:u w:val="single"/>
        </w:rPr>
        <w:t xml:space="preserve">240,000 </w:t>
      </w:r>
      <w:r>
        <w:rPr>
          <w:rFonts w:ascii="Times New Roman" w:hAnsi="Times New Roman"/>
          <w:color w:val="000000"/>
          <w:sz w:val="20"/>
        </w:rPr>
        <w:t xml:space="preserve">Issue Date: </w:t>
      </w:r>
      <w:r>
        <w:rPr>
          <w:rFonts w:ascii="Times New Roman" w:hAnsi="Times New Roman"/>
          <w:color w:val="000000"/>
          <w:sz w:val="20"/>
          <w:u w:val="single"/>
        </w:rPr>
        <w:t xml:space="preserve">May 27, 2026 </w:t>
      </w:r>
    </w:p>
    <w:p>
      <w:pPr>
        <w:pStyle w:val="TextBody"/>
        <w:bidi w:val="0"/>
        <w:jc w:val="left"/>
        <w:rPr/>
      </w:pPr>
      <w:r>
        <w:rPr/>
        <w:t> </w:t>
      </w:r>
    </w:p>
    <w:p>
      <w:pPr>
        <w:pStyle w:val="TextBody"/>
        <w:bidi w:val="0"/>
        <w:jc w:val="left"/>
        <w:rPr/>
      </w:pPr>
      <w:r>
        <w:rPr/>
        <w:t> </w:t>
      </w:r>
    </w:p>
    <w:p>
      <w:pPr>
        <w:pStyle w:val="TextBody"/>
        <w:bidi w:val="0"/>
        <w:spacing w:before="21" w:after="283"/>
        <w:jc w:val="left"/>
        <w:rPr/>
      </w:pPr>
      <w:r>
        <w:rPr/>
        <w:t> </w:t>
      </w:r>
    </w:p>
    <w:p>
      <w:pPr>
        <w:pStyle w:val="TextBody"/>
        <w:bidi w:val="0"/>
        <w:ind w:left="720" w:right="733" w:firstLine="720"/>
        <w:jc w:val="left"/>
        <w:rPr>
          <w:rFonts w:ascii="Times New Roman" w:hAnsi="Times New Roman"/>
          <w:sz w:val="20"/>
        </w:rPr>
      </w:pPr>
      <w:r>
        <w:rPr>
          <w:rFonts w:ascii="Times New Roman" w:hAnsi="Times New Roman"/>
          <w:color w:val="000000"/>
          <w:sz w:val="20"/>
        </w:rPr>
        <w:t>THIS COMMON STOCK PURCHASE WARRANT (this “</w:t>
      </w:r>
      <w:r>
        <w:rPr>
          <w:rFonts w:ascii="Times New Roman" w:hAnsi="Times New Roman"/>
          <w:color w:val="000000"/>
          <w:sz w:val="20"/>
          <w:u w:val="single"/>
        </w:rPr>
        <w:t>Warrant</w:t>
      </w:r>
      <w:r>
        <w:rPr>
          <w:rFonts w:ascii="Times New Roman" w:hAnsi="Times New Roman"/>
          <w:color w:val="000000"/>
          <w:sz w:val="20"/>
        </w:rPr>
        <w:t>”) certifies that, for value received, Mayo Clinic, a Minnesota not-for-profit corporation, or its permitted assigns (the “</w:t>
      </w:r>
      <w:r>
        <w:rPr>
          <w:rFonts w:ascii="Times New Roman" w:hAnsi="Times New Roman"/>
          <w:color w:val="000000"/>
          <w:sz w:val="20"/>
          <w:u w:val="single"/>
        </w:rPr>
        <w:t>Holder</w:t>
      </w:r>
      <w:r>
        <w:rPr>
          <w:rFonts w:ascii="Times New Roman" w:hAnsi="Times New Roman"/>
          <w:color w:val="000000"/>
          <w:sz w:val="20"/>
        </w:rPr>
        <w:t>”), is entitled, upon the terms and subject to the limitations on exercise and the conditions hereinafter set forth, to subscribe for and purchase from Humacyte, Inc., a Delaware corporation (the “</w:t>
      </w:r>
      <w:r>
        <w:rPr>
          <w:rFonts w:ascii="Times New Roman" w:hAnsi="Times New Roman"/>
          <w:color w:val="000000"/>
          <w:sz w:val="20"/>
          <w:u w:val="single"/>
        </w:rPr>
        <w:t>Company</w:t>
      </w:r>
      <w:r>
        <w:rPr>
          <w:rFonts w:ascii="Times New Roman" w:hAnsi="Times New Roman"/>
          <w:color w:val="000000"/>
          <w:sz w:val="20"/>
        </w:rPr>
        <w:t>”), up to an aggregate of 240,000 shares (as subject to adjustment hereunder, the “</w:t>
      </w:r>
      <w:r>
        <w:rPr>
          <w:rFonts w:ascii="Times New Roman" w:hAnsi="Times New Roman"/>
          <w:color w:val="000000"/>
          <w:sz w:val="20"/>
          <w:u w:val="single"/>
        </w:rPr>
        <w:t>Warrant Shares</w:t>
      </w:r>
      <w:r>
        <w:rPr>
          <w:rFonts w:ascii="Times New Roman" w:hAnsi="Times New Roman"/>
          <w:color w:val="000000"/>
          <w:sz w:val="20"/>
        </w:rPr>
        <w:t>”) of Common Stock, as defined in Section 1. The purchase price of one share of Common Stock under this Warrant shall be equal to the Exercise Price, as defined in Section 2(c).</w:t>
      </w:r>
    </w:p>
    <w:p>
      <w:pPr>
        <w:pStyle w:val="TextBody"/>
        <w:bidi w:val="0"/>
        <w:spacing w:before="8" w:after="283"/>
        <w:jc w:val="left"/>
        <w:rPr/>
      </w:pPr>
      <w:r>
        <w:rPr/>
        <w:t> </w:t>
      </w:r>
    </w:p>
    <w:p>
      <w:pPr>
        <w:pStyle w:val="TextBody"/>
        <w:bidi w:val="0"/>
        <w:spacing w:before="1" w:after="283"/>
        <w:ind w:left="720" w:right="733" w:firstLine="720"/>
        <w:jc w:val="left"/>
        <w:rPr>
          <w:rFonts w:ascii="Times New Roman" w:hAnsi="Times New Roman"/>
          <w:sz w:val="20"/>
        </w:rPr>
      </w:pPr>
      <w:bookmarkStart w:id="42" w:name="section_1___definitions___in_addition_to"/>
      <w:bookmarkEnd w:id="42"/>
      <w:r>
        <w:rPr>
          <w:rFonts w:ascii="Times New Roman" w:hAnsi="Times New Roman"/>
          <w:color w:val="000000"/>
          <w:sz w:val="20"/>
        </w:rPr>
        <w:t xml:space="preserve">Section 1. </w:t>
      </w:r>
      <w:r>
        <w:rPr>
          <w:rFonts w:ascii="Times New Roman" w:hAnsi="Times New Roman"/>
          <w:color w:val="000000"/>
          <w:sz w:val="20"/>
          <w:u w:val="single"/>
        </w:rPr>
        <w:t>Definitions</w:t>
      </w:r>
      <w:r>
        <w:rPr>
          <w:rFonts w:ascii="Times New Roman" w:hAnsi="Times New Roman"/>
          <w:color w:val="000000"/>
          <w:sz w:val="20"/>
        </w:rPr>
        <w:t>. In addition to the terms defined elsewhere in this Warrant, for all purposes of this Warrant, the following terms have the meanings set forth in this Section 1:</w:t>
      </w:r>
    </w:p>
    <w:p>
      <w:pPr>
        <w:pStyle w:val="TextBody"/>
        <w:bidi w:val="0"/>
        <w:spacing w:before="11" w:after="283"/>
        <w:jc w:val="left"/>
        <w:rPr/>
      </w:pPr>
      <w:r>
        <w:rPr/>
        <w:t> </w:t>
      </w:r>
    </w:p>
    <w:p>
      <w:pPr>
        <w:pStyle w:val="TextBody"/>
        <w:bidi w:val="0"/>
        <w:ind w:left="720" w:right="733" w:firstLine="720"/>
        <w:jc w:val="left"/>
        <w:rPr/>
      </w:pPr>
      <w:r>
        <w:rPr>
          <w:color w:val="000000"/>
        </w:rPr>
        <w:t>“</w:t>
      </w:r>
      <w:r>
        <w:rPr>
          <w:rFonts w:ascii="Times New Roman" w:hAnsi="Times New Roman"/>
          <w:color w:val="000000"/>
          <w:sz w:val="20"/>
          <w:u w:val="single"/>
        </w:rPr>
        <w:t>Affiliate</w:t>
      </w:r>
      <w:r>
        <w:rPr>
          <w:rFonts w:ascii="Times New Roman" w:hAnsi="Times New Roman"/>
          <w:color w:val="000000"/>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11" w:after="283"/>
        <w:jc w:val="left"/>
        <w:rPr/>
      </w:pPr>
      <w:r>
        <w:rPr/>
        <w:t> </w:t>
      </w:r>
    </w:p>
    <w:p>
      <w:pPr>
        <w:pStyle w:val="TextBody"/>
        <w:bidi w:val="0"/>
        <w:ind w:left="720" w:right="733" w:firstLine="720"/>
        <w:jc w:val="left"/>
        <w:rPr/>
      </w:pPr>
      <w:r>
        <w:rPr>
          <w:color w:val="000000"/>
        </w:rPr>
        <w:t>“</w:t>
      </w:r>
      <w:r>
        <w:rPr>
          <w:rFonts w:ascii="Times New Roman" w:hAnsi="Times New Roman"/>
          <w:color w:val="000000"/>
          <w:sz w:val="20"/>
          <w:u w:val="single"/>
        </w:rPr>
        <w:t>Business Day</w:t>
      </w:r>
      <w:r>
        <w:rPr>
          <w:rFonts w:ascii="Times New Roman" w:hAnsi="Times New Roman"/>
          <w:color w:val="000000"/>
          <w:sz w:val="20"/>
        </w:rPr>
        <w:t xml:space="preserve">” means any day other than Saturday, Sunday or other day on which commercial banks in The City of New York are authorized or required by law to remain closed;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8" w:after="283"/>
        <w:jc w:val="left"/>
        <w:rPr/>
      </w:pPr>
      <w:r>
        <w:rPr/>
        <w:t> </w:t>
      </w:r>
    </w:p>
    <w:p>
      <w:pPr>
        <w:pStyle w:val="TextBody"/>
        <w:bidi w:val="0"/>
        <w:spacing w:before="1" w:after="283"/>
        <w:ind w:left="1441" w:right="0" w:hanging="0"/>
        <w:jc w:val="left"/>
        <w:rPr/>
      </w:pPr>
      <w:r>
        <w:rPr>
          <w:color w:val="000000"/>
        </w:rPr>
        <w:t>“</w:t>
      </w:r>
      <w:r>
        <w:rPr>
          <w:rFonts w:ascii="Times New Roman" w:hAnsi="Times New Roman"/>
          <w:color w:val="000000"/>
          <w:sz w:val="20"/>
          <w:u w:val="single"/>
        </w:rPr>
        <w:t>Commission</w:t>
      </w:r>
      <w:r>
        <w:rPr>
          <w:rFonts w:ascii="Times New Roman" w:hAnsi="Times New Roman"/>
          <w:color w:val="000000"/>
          <w:sz w:val="20"/>
        </w:rPr>
        <w:t>” means the United States Securities and Exchange Commission.</w:t>
      </w:r>
    </w:p>
    <w:p>
      <w:pPr>
        <w:pStyle w:val="TextBody"/>
        <w:bidi w:val="0"/>
        <w:spacing w:before="10" w:after="283"/>
        <w:jc w:val="left"/>
        <w:rPr/>
      </w:pPr>
      <w:r>
        <w:rPr/>
        <w:t> </w:t>
      </w:r>
    </w:p>
    <w:p>
      <w:pPr>
        <w:pStyle w:val="TextBody"/>
        <w:bidi w:val="0"/>
        <w:spacing w:before="1" w:after="283"/>
        <w:ind w:left="720" w:right="733" w:firstLine="720"/>
        <w:jc w:val="left"/>
        <w:rPr/>
      </w:pPr>
      <w:r>
        <w:rPr>
          <w:color w:val="000000"/>
        </w:rPr>
        <w:t>“</w:t>
      </w:r>
      <w:r>
        <w:rPr>
          <w:rFonts w:ascii="Times New Roman" w:hAnsi="Times New Roman"/>
          <w:color w:val="000000"/>
          <w:sz w:val="20"/>
          <w:u w:val="single"/>
        </w:rPr>
        <w:t>Common Stock</w:t>
      </w:r>
      <w:r>
        <w:rPr>
          <w:rFonts w:ascii="Times New Roman" w:hAnsi="Times New Roman"/>
          <w:color w:val="000000"/>
          <w:sz w:val="20"/>
        </w:rPr>
        <w:t>” means the common stock of the Company, par value $0.0001 per share, and any other class of securities into which such securities may hereafter be reclassified or changed.</w:t>
      </w:r>
    </w:p>
    <w:p>
      <w:pPr>
        <w:pStyle w:val="TextBody"/>
        <w:bidi w:val="0"/>
        <w:spacing w:before="10" w:after="283"/>
        <w:jc w:val="left"/>
        <w:rPr/>
      </w:pPr>
      <w:r>
        <w:rPr/>
        <w:t> </w:t>
      </w:r>
    </w:p>
    <w:p>
      <w:pPr>
        <w:pStyle w:val="TextBody"/>
        <w:bidi w:val="0"/>
        <w:ind w:left="720" w:right="733" w:firstLine="720"/>
        <w:jc w:val="left"/>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 and the rules and regulations promulgated thereunder.</w:t>
      </w:r>
    </w:p>
    <w:p>
      <w:pPr>
        <w:pStyle w:val="TextBody"/>
        <w:bidi w:val="0"/>
        <w:spacing w:before="11" w:after="283"/>
        <w:jc w:val="left"/>
        <w:rPr/>
      </w:pPr>
      <w:r>
        <w:rPr/>
        <w:t> </w:t>
      </w:r>
    </w:p>
    <w:p>
      <w:pPr>
        <w:pStyle w:val="TextBody"/>
        <w:bidi w:val="0"/>
        <w:ind w:left="720" w:right="733" w:firstLine="720"/>
        <w:jc w:val="left"/>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12" w:after="283"/>
        <w:jc w:val="left"/>
        <w:rPr/>
      </w:pPr>
      <w:r>
        <w:rPr/>
        <w:t> </w:t>
      </w:r>
    </w:p>
    <w:p>
      <w:pPr>
        <w:pStyle w:val="TextBody"/>
        <w:bidi w:val="0"/>
        <w:ind w:left="720" w:right="733" w:firstLine="720"/>
        <w:jc w:val="left"/>
        <w:rPr/>
      </w:pPr>
      <w:r>
        <w:rPr>
          <w:color w:val="000000"/>
        </w:rPr>
        <w:t>“</w:t>
      </w:r>
      <w:r>
        <w:rPr>
          <w:rFonts w:ascii="Times New Roman" w:hAnsi="Times New Roman"/>
          <w:color w:val="000000"/>
          <w:sz w:val="20"/>
          <w:u w:val="single"/>
        </w:rPr>
        <w:t>Rule 144</w:t>
      </w:r>
      <w:r>
        <w:rPr>
          <w:rFonts w:ascii="Times New Roman" w:hAnsi="Times New Roman"/>
          <w:color w:val="000000"/>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720" w:right="733" w:firstLine="720"/>
        <w:jc w:val="left"/>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 as amended, and the rules and regulations promulgated thereunder.</w:t>
      </w:r>
    </w:p>
    <w:p>
      <w:pPr>
        <w:pStyle w:val="TextBody"/>
        <w:bidi w:val="0"/>
        <w:spacing w:before="11" w:after="283"/>
        <w:jc w:val="left"/>
        <w:rPr/>
      </w:pPr>
      <w:r>
        <w:rPr/>
        <w:t> </w:t>
      </w:r>
    </w:p>
    <w:p>
      <w:pPr>
        <w:pStyle w:val="TextBody"/>
        <w:bidi w:val="0"/>
        <w:ind w:left="720" w:right="733" w:firstLine="720"/>
        <w:jc w:val="left"/>
        <w:rPr/>
      </w:pPr>
      <w:r>
        <w:rPr>
          <w:color w:val="000000"/>
        </w:rPr>
        <w:t>“</w:t>
      </w:r>
      <w:r>
        <w:rPr>
          <w:rFonts w:ascii="Times New Roman" w:hAnsi="Times New Roman"/>
          <w:color w:val="000000"/>
          <w:sz w:val="20"/>
          <w:u w:val="single"/>
        </w:rPr>
        <w:t>Services Agreement</w:t>
      </w:r>
      <w:r>
        <w:rPr>
          <w:rFonts w:ascii="Times New Roman" w:hAnsi="Times New Roman"/>
          <w:color w:val="000000"/>
          <w:sz w:val="20"/>
        </w:rPr>
        <w:t>” means that certain Intercompany Services Agreement dated April 1, 2026, by and among the Company and Mayo Foundation for Medical Education and Research, as amended, restated or otherwise modified from time to time.</w:t>
      </w:r>
    </w:p>
    <w:p>
      <w:pPr>
        <w:pStyle w:val="TextBody"/>
        <w:bidi w:val="0"/>
        <w:spacing w:before="12" w:after="283"/>
        <w:jc w:val="left"/>
        <w:rPr/>
      </w:pPr>
      <w:r>
        <w:rPr/>
        <w:t> </w:t>
      </w:r>
    </w:p>
    <w:p>
      <w:pPr>
        <w:pStyle w:val="TextBody"/>
        <w:bidi w:val="0"/>
        <w:ind w:left="1441" w:right="0" w:hanging="0"/>
        <w:jc w:val="left"/>
        <w:rPr/>
      </w:pPr>
      <w:r>
        <w:rPr>
          <w:color w:val="000000"/>
        </w:rPr>
        <w:t>“</w:t>
      </w:r>
      <w:r>
        <w:rPr>
          <w:rFonts w:ascii="Times New Roman" w:hAnsi="Times New Roman"/>
          <w:color w:val="000000"/>
          <w:sz w:val="20"/>
          <w:u w:val="single"/>
        </w:rPr>
        <w:t>Trading Day</w:t>
      </w:r>
      <w:r>
        <w:rPr>
          <w:rFonts w:ascii="Times New Roman" w:hAnsi="Times New Roman"/>
          <w:color w:val="000000"/>
          <w:sz w:val="20"/>
        </w:rPr>
        <w:t>” means a day on which the principal Trading Market is open for trading.</w:t>
      </w:r>
    </w:p>
    <w:p>
      <w:pPr>
        <w:pStyle w:val="TextBody"/>
        <w:bidi w:val="0"/>
        <w:spacing w:before="5" w:after="283"/>
        <w:jc w:val="left"/>
        <w:rPr/>
      </w:pPr>
      <w:r>
        <w:rPr/>
        <w:t> </w:t>
      </w:r>
    </w:p>
    <w:p>
      <w:pPr>
        <w:pStyle w:val="TextBody"/>
        <w:bidi w:val="0"/>
        <w:spacing w:before="1" w:after="283"/>
        <w:ind w:left="720" w:right="835" w:firstLine="720"/>
        <w:jc w:val="both"/>
        <w:rPr/>
      </w:pPr>
      <w:r>
        <w:rPr>
          <w:color w:val="000000"/>
        </w:rPr>
        <w:t>“</w:t>
      </w:r>
      <w:r>
        <w:rPr>
          <w:rFonts w:ascii="Times New Roman" w:hAnsi="Times New Roman"/>
          <w:color w:val="000000"/>
          <w:sz w:val="20"/>
          <w:u w:val="single"/>
        </w:rPr>
        <w:t>Trading Market</w:t>
      </w:r>
      <w:r>
        <w:rPr>
          <w:rFonts w:ascii="Times New Roman" w:hAnsi="Times New Roman"/>
          <w:color w:val="000000"/>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12" w:after="283"/>
        <w:jc w:val="left"/>
        <w:rPr/>
      </w:pPr>
      <w:r>
        <w:rPr/>
        <w:t> </w:t>
      </w:r>
    </w:p>
    <w:p>
      <w:pPr>
        <w:pStyle w:val="TextBody"/>
        <w:bidi w:val="0"/>
        <w:ind w:left="720" w:right="1047" w:firstLine="720"/>
        <w:jc w:val="both"/>
        <w:rPr/>
      </w:pPr>
      <w:r>
        <w:rPr>
          <w:color w:val="000000"/>
        </w:rPr>
        <w:t>“</w:t>
      </w:r>
      <w:r>
        <w:rPr>
          <w:rFonts w:ascii="Times New Roman" w:hAnsi="Times New Roman"/>
          <w:color w:val="000000"/>
          <w:sz w:val="20"/>
          <w:u w:val="single"/>
        </w:rPr>
        <w:t>Transfer Agent</w:t>
      </w:r>
      <w:r>
        <w:rPr>
          <w:rFonts w:ascii="Times New Roman" w:hAnsi="Times New Roman"/>
          <w:color w:val="000000"/>
          <w:sz w:val="20"/>
        </w:rPr>
        <w:t>” means Continental Stock Transfer &amp; Trust Company, the current transfer agent of the Company, with a mailing address of 1 State Street, 30th Floor, New York, NY 10004, and any successor transfer agent of the Company.</w:t>
      </w:r>
    </w:p>
    <w:p>
      <w:pPr>
        <w:pStyle w:val="TextBody"/>
        <w:bidi w:val="0"/>
        <w:spacing w:before="11" w:after="283"/>
        <w:jc w:val="left"/>
        <w:rPr/>
      </w:pPr>
      <w:r>
        <w:rPr/>
        <w:t> </w:t>
      </w:r>
    </w:p>
    <w:p>
      <w:pPr>
        <w:pStyle w:val="TextBody"/>
        <w:bidi w:val="0"/>
        <w:spacing w:before="1" w:after="283"/>
        <w:ind w:left="1441" w:right="0" w:hanging="0"/>
        <w:jc w:val="left"/>
        <w:rPr>
          <w:rFonts w:ascii="Times New Roman" w:hAnsi="Times New Roman"/>
          <w:sz w:val="20"/>
        </w:rPr>
      </w:pPr>
      <w:bookmarkStart w:id="43" w:name="section_2___exercise_"/>
      <w:bookmarkEnd w:id="43"/>
      <w:r>
        <w:rPr>
          <w:rFonts w:ascii="Times New Roman" w:hAnsi="Times New Roman"/>
          <w:color w:val="000000"/>
          <w:sz w:val="20"/>
        </w:rPr>
        <w:t xml:space="preserve">Section 2. </w:t>
      </w:r>
      <w:r>
        <w:rPr>
          <w:rFonts w:ascii="Times New Roman" w:hAnsi="Times New Roman"/>
          <w:color w:val="000000"/>
          <w:sz w:val="20"/>
          <w:u w:val="single"/>
        </w:rPr>
        <w:t>Exercise</w:t>
      </w:r>
      <w:r>
        <w:rPr>
          <w:rFonts w:ascii="Times New Roman" w:hAnsi="Times New Roman"/>
          <w:color w:val="000000"/>
          <w:sz w:val="20"/>
        </w:rPr>
        <w:t>.</w:t>
      </w:r>
    </w:p>
    <w:p>
      <w:pPr>
        <w:pStyle w:val="TextBody"/>
        <w:bidi w:val="0"/>
        <w:spacing w:before="10" w:after="283"/>
        <w:jc w:val="left"/>
        <w:rPr/>
      </w:pPr>
      <w:r>
        <w:rPr/>
        <w:t> </w:t>
      </w:r>
    </w:p>
    <w:p>
      <w:pPr>
        <w:pStyle w:val="TextBody"/>
        <w:bidi w:val="0"/>
        <w:ind w:left="720" w:right="792" w:firstLine="1440"/>
        <w:jc w:val="left"/>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Term; Vesting</w:t>
      </w:r>
      <w:r>
        <w:rPr>
          <w:rFonts w:ascii="Times New Roman" w:hAnsi="Times New Roman"/>
          <w:color w:val="000000"/>
          <w:sz w:val="20"/>
        </w:rPr>
        <w:t>. This</w:t>
      </w:r>
      <w:r>
        <w:rPr>
          <w:color w:val="000000"/>
        </w:rPr>
        <w:t xml:space="preserve"> </w:t>
      </w:r>
      <w:r>
        <w:rPr>
          <w:rFonts w:ascii="Times New Roman" w:hAnsi="Times New Roman"/>
          <w:color w:val="000000"/>
          <w:sz w:val="20"/>
        </w:rPr>
        <w:t>Warrant shall be exercisable in three equal tranches</w:t>
      </w:r>
      <w:r>
        <w:rPr>
          <w:color w:val="000000"/>
        </w:rPr>
        <w:t xml:space="preserve"> </w:t>
      </w:r>
      <w:r>
        <w:rPr>
          <w:rFonts w:ascii="Times New Roman" w:hAnsi="Times New Roman"/>
          <w:color w:val="000000"/>
          <w:sz w:val="20"/>
        </w:rPr>
        <w:t>each consisting of 80,000</w:t>
      </w:r>
      <w:r>
        <w:rPr>
          <w:color w:val="000000"/>
        </w:rPr>
        <w:t xml:space="preserve"> </w:t>
      </w:r>
      <w:r>
        <w:rPr>
          <w:rFonts w:ascii="Times New Roman" w:hAnsi="Times New Roman"/>
          <w:color w:val="000000"/>
          <w:sz w:val="20"/>
        </w:rPr>
        <w:t>Warrant Shares, with the aggregate number of Warrant Shares issuable under this</w:t>
      </w:r>
      <w:r>
        <w:rPr>
          <w:color w:val="000000"/>
        </w:rPr>
        <w:t xml:space="preserve"> </w:t>
      </w:r>
      <w:r>
        <w:rPr>
          <w:rFonts w:ascii="Times New Roman" w:hAnsi="Times New Roman"/>
          <w:color w:val="000000"/>
          <w:sz w:val="20"/>
        </w:rPr>
        <w:t>Warrant not to exceed 240,000 (subject to</w:t>
      </w:r>
      <w:r>
        <w:rPr>
          <w:color w:val="000000"/>
        </w:rPr>
        <w:t xml:space="preserve"> </w:t>
      </w:r>
      <w:r>
        <w:rPr>
          <w:rFonts w:ascii="Times New Roman" w:hAnsi="Times New Roman"/>
          <w:color w:val="000000"/>
          <w:sz w:val="20"/>
        </w:rPr>
        <w:t>adjustment as</w:t>
      </w:r>
      <w:r>
        <w:rPr>
          <w:color w:val="000000"/>
        </w:rPr>
        <w:t xml:space="preserve"> </w:t>
      </w:r>
      <w:r>
        <w:rPr>
          <w:rFonts w:ascii="Times New Roman" w:hAnsi="Times New Roman"/>
          <w:color w:val="000000"/>
          <w:sz w:val="20"/>
        </w:rPr>
        <w:t>provided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The (i)</w:t>
      </w:r>
      <w:r>
        <w:rPr>
          <w:color w:val="000000"/>
        </w:rPr>
        <w:t xml:space="preserve"> </w:t>
      </w:r>
      <w:r>
        <w:rPr>
          <w:rFonts w:ascii="Times New Roman" w:hAnsi="Times New Roman"/>
          <w:color w:val="000000"/>
          <w:sz w:val="20"/>
        </w:rPr>
        <w:t>first tranche of</w:t>
      </w:r>
      <w:r>
        <w:rPr>
          <w:color w:val="000000"/>
        </w:rPr>
        <w:t xml:space="preserve"> </w:t>
      </w:r>
      <w:r>
        <w:rPr>
          <w:rFonts w:ascii="Times New Roman" w:hAnsi="Times New Roman"/>
          <w:color w:val="000000"/>
          <w:sz w:val="20"/>
        </w:rPr>
        <w:t>80,000</w:t>
      </w:r>
      <w:r>
        <w:rPr>
          <w:color w:val="000000"/>
        </w:rPr>
        <w:t xml:space="preserve"> </w:t>
      </w:r>
      <w:r>
        <w:rPr>
          <w:rFonts w:ascii="Times New Roman" w:hAnsi="Times New Roman"/>
          <w:color w:val="000000"/>
          <w:sz w:val="20"/>
        </w:rPr>
        <w:t>Warrant Shares shall be exercisable commencing on March 31, 2027, (ii) second tranche of 80,000 Warrant Shares shall be exercisable commencing</w:t>
      </w:r>
      <w:r>
        <w:rPr>
          <w:color w:val="000000"/>
        </w:rPr>
        <w:t xml:space="preserve"> </w:t>
      </w:r>
      <w:r>
        <w:rPr>
          <w:rFonts w:ascii="Times New Roman" w:hAnsi="Times New Roman"/>
          <w:color w:val="000000"/>
          <w:sz w:val="20"/>
        </w:rPr>
        <w:t>on March 31, 2028, and</w:t>
      </w:r>
      <w:r>
        <w:rPr>
          <w:color w:val="000000"/>
        </w:rPr>
        <w:t xml:space="preserve"> </w:t>
      </w:r>
      <w:r>
        <w:rPr>
          <w:rFonts w:ascii="Times New Roman" w:hAnsi="Times New Roman"/>
          <w:color w:val="000000"/>
          <w:sz w:val="20"/>
        </w:rPr>
        <w:t>(iii)</w:t>
      </w:r>
      <w:r>
        <w:rPr>
          <w:color w:val="000000"/>
        </w:rPr>
        <w:t xml:space="preserve"> </w:t>
      </w:r>
      <w:r>
        <w:rPr>
          <w:rFonts w:ascii="Times New Roman" w:hAnsi="Times New Roman"/>
          <w:color w:val="000000"/>
          <w:sz w:val="20"/>
        </w:rPr>
        <w:t>third</w:t>
      </w:r>
      <w:r>
        <w:rPr>
          <w:color w:val="000000"/>
        </w:rPr>
        <w:t xml:space="preserve"> </w:t>
      </w:r>
      <w:r>
        <w:rPr>
          <w:rFonts w:ascii="Times New Roman" w:hAnsi="Times New Roman"/>
          <w:color w:val="000000"/>
          <w:sz w:val="20"/>
        </w:rPr>
        <w:t>tranche of</w:t>
      </w:r>
      <w:r>
        <w:rPr>
          <w:color w:val="000000"/>
        </w:rPr>
        <w:t xml:space="preserve"> </w:t>
      </w:r>
      <w:r>
        <w:rPr>
          <w:rFonts w:ascii="Times New Roman" w:hAnsi="Times New Roman"/>
          <w:color w:val="000000"/>
          <w:sz w:val="20"/>
        </w:rPr>
        <w:t>80,000</w:t>
      </w:r>
      <w:r>
        <w:rPr>
          <w:color w:val="000000"/>
        </w:rPr>
        <w:t xml:space="preserve"> </w:t>
      </w:r>
      <w:r>
        <w:rPr>
          <w:rFonts w:ascii="Times New Roman" w:hAnsi="Times New Roman"/>
          <w:color w:val="000000"/>
          <w:sz w:val="20"/>
        </w:rPr>
        <w:t>Warrant Shares shall be exercisable commencing on March 31, 2029 (each such date, an “</w:t>
      </w:r>
      <w:r>
        <w:rPr>
          <w:rFonts w:ascii="Times New Roman" w:hAnsi="Times New Roman"/>
          <w:color w:val="000000"/>
          <w:sz w:val="20"/>
          <w:u w:val="single"/>
        </w:rPr>
        <w:t>Exercise Date</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each tranche of Warrant Shares shall not become</w:t>
      </w:r>
      <w:r>
        <w:rPr>
          <w:color w:val="000000"/>
        </w:rPr>
        <w:t xml:space="preserve"> </w:t>
      </w:r>
      <w:r>
        <w:rPr>
          <w:rFonts w:ascii="Times New Roman" w:hAnsi="Times New Roman"/>
          <w:color w:val="000000"/>
          <w:sz w:val="20"/>
        </w:rPr>
        <w:t>exercisable on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applicable</w:t>
      </w:r>
      <w:r>
        <w:rPr>
          <w:color w:val="000000"/>
        </w:rPr>
        <w:t xml:space="preserve"> </w:t>
      </w:r>
      <w:r>
        <w:rPr>
          <w:rFonts w:ascii="Times New Roman" w:hAnsi="Times New Roman"/>
          <w:color w:val="000000"/>
          <w:sz w:val="20"/>
        </w:rPr>
        <w:t>Exercise</w:t>
      </w:r>
      <w:r>
        <w:rPr>
          <w:color w:val="000000"/>
        </w:rPr>
        <w:t xml:space="preserve"> </w:t>
      </w:r>
      <w:r>
        <w:rPr>
          <w:rFonts w:ascii="Times New Roman" w:hAnsi="Times New Roman"/>
          <w:color w:val="000000"/>
          <w:sz w:val="20"/>
        </w:rPr>
        <w:t>Date</w:t>
      </w:r>
      <w:r>
        <w:rPr>
          <w:color w:val="000000"/>
        </w:rPr>
        <w:t xml:space="preserve"> </w:t>
      </w:r>
      <w:r>
        <w:rPr>
          <w:rFonts w:ascii="Times New Roman" w:hAnsi="Times New Roman"/>
          <w:color w:val="000000"/>
          <w:sz w:val="20"/>
        </w:rPr>
        <w:t>if, on such</w:t>
      </w:r>
      <w:r>
        <w:rPr>
          <w:color w:val="000000"/>
        </w:rPr>
        <w:t xml:space="preserve"> </w:t>
      </w:r>
      <w:r>
        <w:rPr>
          <w:rFonts w:ascii="Times New Roman" w:hAnsi="Times New Roman"/>
          <w:color w:val="000000"/>
          <w:sz w:val="20"/>
        </w:rPr>
        <w:t>Exercise</w:t>
      </w:r>
      <w:r>
        <w:rPr>
          <w:color w:val="000000"/>
        </w:rPr>
        <w:t xml:space="preserve"> </w:t>
      </w:r>
      <w:r>
        <w:rPr>
          <w:rFonts w:ascii="Times New Roman" w:hAnsi="Times New Roman"/>
          <w:color w:val="000000"/>
          <w:sz w:val="20"/>
        </w:rPr>
        <w:t>Date, the</w:t>
      </w:r>
      <w:r>
        <w:rPr>
          <w:color w:val="000000"/>
        </w:rPr>
        <w:t xml:space="preserve"> </w:t>
      </w:r>
      <w:r>
        <w:rPr>
          <w:rFonts w:ascii="Times New Roman" w:hAnsi="Times New Roman"/>
          <w:color w:val="000000"/>
          <w:sz w:val="20"/>
        </w:rPr>
        <w:t>Services Agreement (or any successor agreement thereto) shall have been terminated, shall have expired or shall otherwise no longer be in full force and effect.</w:t>
      </w:r>
      <w:r>
        <w:rPr>
          <w:color w:val="000000"/>
        </w:rPr>
        <w:t xml:space="preserve"> </w:t>
      </w:r>
      <w:r>
        <w:rPr>
          <w:rFonts w:ascii="Times New Roman" w:hAnsi="Times New Roman"/>
          <w:color w:val="000000"/>
          <w:sz w:val="20"/>
        </w:rPr>
        <w:t>This Warrant shall expire and no Warrant Shares, whether vested or unvested, shall be exercisable on</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27,</w:t>
      </w:r>
      <w:r>
        <w:rPr>
          <w:color w:val="000000"/>
        </w:rPr>
        <w:t xml:space="preserve"> </w:t>
      </w:r>
      <w:r>
        <w:rPr>
          <w:rFonts w:ascii="Times New Roman" w:hAnsi="Times New Roman"/>
          <w:color w:val="000000"/>
          <w:sz w:val="20"/>
        </w:rPr>
        <w:t>2031 (the</w:t>
      </w:r>
      <w:r>
        <w:rPr>
          <w:color w:val="000000"/>
        </w:rPr>
        <w:t xml:space="preserve"> “</w:t>
      </w:r>
      <w:r>
        <w:rPr>
          <w:rFonts w:ascii="Times New Roman" w:hAnsi="Times New Roman"/>
          <w:color w:val="000000"/>
          <w:sz w:val="20"/>
          <w:u w:val="single"/>
        </w:rPr>
        <w:t>Termination</w:t>
      </w:r>
      <w:r>
        <w:rPr>
          <w:color w:val="000000"/>
          <w:u w:val="single"/>
        </w:rPr>
        <w:t xml:space="preserve"> </w:t>
      </w:r>
      <w:r>
        <w:rPr>
          <w:rFonts w:ascii="Times New Roman" w:hAnsi="Times New Roman"/>
          <w:color w:val="000000"/>
          <w:sz w:val="20"/>
          <w:u w:val="single"/>
        </w:rPr>
        <w:t>Date</w:t>
      </w:r>
      <w:r>
        <w:rPr>
          <w:color w:val="000000"/>
        </w:rPr>
        <w:t>”</w:t>
      </w:r>
      <w:r>
        <w:rPr>
          <w:rFonts w:ascii="Times New Roman" w:hAnsi="Times New Roman"/>
          <w:color w:val="000000"/>
          <w:sz w:val="20"/>
        </w:rPr>
        <w:t>).</w:t>
      </w:r>
      <w:r>
        <w:rPr>
          <w:color w:val="000000"/>
        </w:rPr>
        <w:t xml:space="preserve"> </w:t>
      </w:r>
      <w:r>
        <w:rPr>
          <w:rFonts w:ascii="Times New Roman" w:hAnsi="Times New Roman"/>
          <w:color w:val="000000"/>
          <w:sz w:val="20"/>
        </w:rPr>
        <w:t>Following</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Termination</w:t>
      </w:r>
      <w:r>
        <w:rPr>
          <w:color w:val="000000"/>
        </w:rPr>
        <w:t xml:space="preserve"> </w:t>
      </w:r>
      <w:r>
        <w:rPr>
          <w:rFonts w:ascii="Times New Roman" w:hAnsi="Times New Roman"/>
          <w:color w:val="000000"/>
          <w:sz w:val="20"/>
        </w:rPr>
        <w:t>Date, 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void in all respects.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ind w:left="720" w:right="720" w:firstLine="1440"/>
        <w:jc w:val="left"/>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Exercise of Warrant</w:t>
      </w:r>
      <w:r>
        <w:rPr>
          <w:rFonts w:ascii="Times New Roman" w:hAnsi="Times New Roman"/>
          <w:color w:val="000000"/>
          <w:sz w:val="20"/>
        </w:rPr>
        <w:t>.</w:t>
      </w:r>
      <w:r>
        <w:rPr>
          <w:color w:val="000000"/>
        </w:rPr>
        <w:t xml:space="preserve"> </w:t>
      </w:r>
      <w:r>
        <w:rPr>
          <w:rFonts w:ascii="Times New Roman" w:hAnsi="Times New Roman"/>
          <w:color w:val="000000"/>
          <w:sz w:val="20"/>
        </w:rPr>
        <w:t>Any portion of this Warrant that has become exercisable pursuant to Section</w:t>
      </w:r>
      <w:r>
        <w:rPr>
          <w:color w:val="000000"/>
        </w:rPr>
        <w:t xml:space="preserve"> </w:t>
      </w:r>
      <w:r>
        <w:rPr>
          <w:rFonts w:ascii="Times New Roman" w:hAnsi="Times New Roman"/>
          <w:color w:val="000000"/>
          <w:sz w:val="20"/>
        </w:rPr>
        <w:t>2(a)</w:t>
      </w:r>
      <w:r>
        <w:rPr>
          <w:color w:val="000000"/>
        </w:rPr>
        <w:t xml:space="preserve"> </w:t>
      </w:r>
      <w:r>
        <w:rPr>
          <w:rFonts w:ascii="Times New Roman" w:hAnsi="Times New Roman"/>
          <w:color w:val="000000"/>
          <w:sz w:val="20"/>
        </w:rPr>
        <w:t>may be</w:t>
      </w:r>
      <w:r>
        <w:rPr>
          <w:color w:val="000000"/>
        </w:rPr>
        <w:t xml:space="preserve"> </w:t>
      </w:r>
      <w:r>
        <w:rPr>
          <w:rFonts w:ascii="Times New Roman" w:hAnsi="Times New Roman"/>
          <w:color w:val="000000"/>
          <w:sz w:val="20"/>
        </w:rPr>
        <w:t>exercised, in</w:t>
      </w:r>
      <w:r>
        <w:rPr>
          <w:color w:val="000000"/>
        </w:rPr>
        <w:t xml:space="preserve"> </w:t>
      </w:r>
      <w:r>
        <w:rPr>
          <w:rFonts w:ascii="Times New Roman" w:hAnsi="Times New Roman"/>
          <w:color w:val="000000"/>
          <w:sz w:val="20"/>
        </w:rPr>
        <w:t>whole or</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part, at</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time or</w:t>
      </w:r>
      <w:r>
        <w:rPr>
          <w:color w:val="000000"/>
        </w:rPr>
        <w:t xml:space="preserve"> </w:t>
      </w:r>
      <w:r>
        <w:rPr>
          <w:rFonts w:ascii="Times New Roman" w:hAnsi="Times New Roman"/>
          <w:color w:val="000000"/>
          <w:sz w:val="20"/>
        </w:rPr>
        <w:t>times on or</w:t>
      </w:r>
      <w:r>
        <w:rPr>
          <w:color w:val="000000"/>
        </w:rPr>
        <w:t xml:space="preserve"> </w:t>
      </w:r>
      <w:r>
        <w:rPr>
          <w:rFonts w:ascii="Times New Roman" w:hAnsi="Times New Roman"/>
          <w:color w:val="000000"/>
          <w:sz w:val="20"/>
        </w:rPr>
        <w:t>after</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Exercise Date applicable</w:t>
      </w:r>
      <w:r>
        <w:rPr>
          <w:color w:val="000000"/>
        </w:rPr>
        <w:t xml:space="preserve"> </w:t>
      </w:r>
      <w:r>
        <w:rPr>
          <w:rFonts w:ascii="Times New Roman" w:hAnsi="Times New Roman"/>
          <w:color w:val="000000"/>
          <w:sz w:val="20"/>
        </w:rPr>
        <w:t>to such tranche of Warrant Shares and on or before the Termination Date by delivery to the Company of</w:t>
      </w:r>
      <w:r>
        <w:rPr>
          <w:color w:val="000000"/>
        </w:rPr>
        <w:t xml:space="preserve"> </w:t>
      </w:r>
      <w:r>
        <w:rPr>
          <w:rFonts w:ascii="Times New Roman" w:hAnsi="Times New Roman"/>
          <w:color w:val="000000"/>
          <w:sz w:val="20"/>
        </w:rPr>
        <w:t>a duly executed copy submitted by email (or email attachment) of the Notice of Exercise in the form annexed hereto (the “</w:t>
      </w:r>
      <w:r>
        <w:rPr>
          <w:rFonts w:ascii="Times New Roman" w:hAnsi="Times New Roman"/>
          <w:color w:val="000000"/>
          <w:sz w:val="20"/>
          <w:u w:val="single"/>
        </w:rPr>
        <w:t>Notice</w:t>
      </w:r>
      <w:r>
        <w:rPr>
          <w:color w:val="000000"/>
          <w:u w:val="single"/>
        </w:rPr>
        <w:t xml:space="preserve"> </w:t>
      </w:r>
      <w:r>
        <w:rPr>
          <w:rFonts w:ascii="Times New Roman" w:hAnsi="Times New Roman"/>
          <w:color w:val="000000"/>
          <w:sz w:val="20"/>
          <w:u w:val="single"/>
        </w:rPr>
        <w:t>of</w:t>
      </w:r>
      <w:r>
        <w:rPr>
          <w:color w:val="000000"/>
          <w:u w:val="single"/>
        </w:rPr>
        <w:t xml:space="preserve"> </w:t>
      </w:r>
      <w:r>
        <w:rPr>
          <w:rFonts w:ascii="Times New Roman" w:hAnsi="Times New Roman"/>
          <w:color w:val="000000"/>
          <w:sz w:val="20"/>
          <w:u w:val="single"/>
        </w:rPr>
        <w:t>Exercise</w:t>
      </w:r>
      <w:r>
        <w:rPr>
          <w:color w:val="000000"/>
        </w:rPr>
        <w:t>”</w:t>
      </w:r>
      <w:r>
        <w:rPr>
          <w:rFonts w:ascii="Times New Roman" w:hAnsi="Times New Roman"/>
          <w:color w:val="000000"/>
          <w:sz w:val="20"/>
        </w:rPr>
        <w:t>).</w:t>
      </w:r>
      <w:r>
        <w:rPr>
          <w:color w:val="000000"/>
        </w:rPr>
        <w:t xml:space="preserve"> </w:t>
      </w:r>
      <w:r>
        <w:rPr>
          <w:rFonts w:ascii="Times New Roman" w:hAnsi="Times New Roman"/>
          <w:color w:val="000000"/>
          <w:sz w:val="20"/>
        </w:rPr>
        <w:t>Within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earlier of:</w:t>
      </w:r>
      <w:r>
        <w:rPr>
          <w:color w:val="000000"/>
        </w:rPr>
        <w:t xml:space="preserve"> </w:t>
      </w:r>
      <w:r>
        <w:rPr>
          <w:rFonts w:ascii="Times New Roman" w:hAnsi="Times New Roman"/>
          <w:color w:val="000000"/>
          <w:sz w:val="20"/>
        </w:rPr>
        <w:t>(i)</w:t>
      </w:r>
      <w:r>
        <w:rPr>
          <w:color w:val="000000"/>
        </w:rPr>
        <w:t xml:space="preserve"> </w:t>
      </w:r>
      <w:r>
        <w:rPr>
          <w:rFonts w:ascii="Times New Roman" w:hAnsi="Times New Roman"/>
          <w:color w:val="000000"/>
          <w:sz w:val="20"/>
        </w:rPr>
        <w:t>one</w:t>
      </w:r>
      <w:r>
        <w:rPr>
          <w:color w:val="000000"/>
        </w:rPr>
        <w:t xml:space="preserve"> </w:t>
      </w:r>
      <w:r>
        <w:rPr>
          <w:rFonts w:ascii="Times New Roman" w:hAnsi="Times New Roman"/>
          <w:color w:val="000000"/>
          <w:sz w:val="20"/>
        </w:rPr>
        <w:t>Trading</w:t>
      </w:r>
      <w:r>
        <w:rPr>
          <w:color w:val="000000"/>
        </w:rPr>
        <w:t xml:space="preserve"> </w:t>
      </w:r>
      <w:r>
        <w:rPr>
          <w:rFonts w:ascii="Times New Roman" w:hAnsi="Times New Roman"/>
          <w:color w:val="000000"/>
          <w:sz w:val="20"/>
        </w:rPr>
        <w:t>Day</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(ii)</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number of</w:t>
      </w:r>
      <w:r>
        <w:rPr>
          <w:color w:val="000000"/>
        </w:rPr>
        <w:t xml:space="preserve"> </w:t>
      </w:r>
      <w:r>
        <w:rPr>
          <w:rFonts w:ascii="Times New Roman" w:hAnsi="Times New Roman"/>
          <w:color w:val="000000"/>
          <w:sz w:val="20"/>
        </w:rPr>
        <w:t>Trading</w:t>
      </w:r>
      <w:r>
        <w:rPr>
          <w:color w:val="000000"/>
        </w:rPr>
        <w:t xml:space="preserve"> </w:t>
      </w:r>
      <w:r>
        <w:rPr>
          <w:rFonts w:ascii="Times New Roman" w:hAnsi="Times New Roman"/>
          <w:color w:val="000000"/>
          <w:sz w:val="20"/>
        </w:rPr>
        <w:t>Days comprising</w:t>
      </w:r>
      <w:r>
        <w:rPr>
          <w:color w:val="000000"/>
        </w:rPr>
        <w:t xml:space="preserve"> </w:t>
      </w:r>
      <w:r>
        <w:rPr>
          <w:rFonts w:ascii="Times New Roman" w:hAnsi="Times New Roman"/>
          <w:color w:val="000000"/>
          <w:sz w:val="20"/>
        </w:rPr>
        <w:t>the Standard Settlement Period (as defined below), in</w:t>
      </w:r>
      <w:r>
        <w:rPr>
          <w:color w:val="000000"/>
        </w:rPr>
        <w:t xml:space="preserve"> </w:t>
      </w:r>
      <w:r>
        <w:rPr>
          <w:rFonts w:ascii="Times New Roman" w:hAnsi="Times New Roman"/>
          <w:color w:val="000000"/>
          <w:sz w:val="20"/>
        </w:rPr>
        <w:t>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2(e) below is specified in the applicable Notice of Exercise.</w:t>
      </w:r>
      <w:r>
        <w:rPr>
          <w:color w:val="000000"/>
        </w:rPr>
        <w:t xml:space="preserve"> </w:t>
      </w:r>
      <w:r>
        <w:rPr>
          <w:rFonts w:ascii="Times New Roman" w:hAnsi="Times New Roman"/>
          <w:color w:val="000000"/>
          <w:sz w:val="20"/>
        </w:rPr>
        <w:t>No ink-original Notice of Exercise shall be required, nor shall any</w:t>
      </w:r>
      <w:r>
        <w:rPr>
          <w:color w:val="000000"/>
        </w:rPr>
        <w:t xml:space="preserve"> </w:t>
      </w:r>
      <w:r>
        <w:rPr>
          <w:rFonts w:ascii="Times New Roman" w:hAnsi="Times New Roman"/>
          <w:color w:val="000000"/>
          <w:sz w:val="20"/>
        </w:rPr>
        <w:t>medallion</w:t>
      </w:r>
      <w:r>
        <w:rPr>
          <w:color w:val="000000"/>
        </w:rPr>
        <w:t xml:space="preserve"> </w:t>
      </w:r>
      <w:r>
        <w:rPr>
          <w:rFonts w:ascii="Times New Roman" w:hAnsi="Times New Roman"/>
          <w:color w:val="000000"/>
          <w:sz w:val="20"/>
        </w:rPr>
        <w:t>guarantee (or other</w:t>
      </w:r>
      <w:r>
        <w:rPr>
          <w:color w:val="000000"/>
        </w:rPr>
        <w:t xml:space="preserve"> </w:t>
      </w:r>
      <w:r>
        <w:rPr>
          <w:rFonts w:ascii="Times New Roman" w:hAnsi="Times New Roman"/>
          <w:color w:val="000000"/>
          <w:sz w:val="20"/>
        </w:rPr>
        <w:t>type of</w:t>
      </w:r>
      <w:r>
        <w:rPr>
          <w:color w:val="000000"/>
        </w:rPr>
        <w:t xml:space="preserve"> </w:t>
      </w:r>
      <w:r>
        <w:rPr>
          <w:rFonts w:ascii="Times New Roman" w:hAnsi="Times New Roman"/>
          <w:color w:val="000000"/>
          <w:sz w:val="20"/>
        </w:rPr>
        <w:t>guarantee or</w:t>
      </w:r>
      <w:r>
        <w:rPr>
          <w:color w:val="000000"/>
        </w:rPr>
        <w:t xml:space="preserve"> </w:t>
      </w:r>
      <w:r>
        <w:rPr>
          <w:rFonts w:ascii="Times New Roman" w:hAnsi="Times New Roman"/>
          <w:color w:val="000000"/>
          <w:sz w:val="20"/>
        </w:rPr>
        <w:t>notarization) of</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Notice of</w:t>
      </w:r>
      <w:r>
        <w:rPr>
          <w:color w:val="000000"/>
        </w:rPr>
        <w:t xml:space="preserve"> </w:t>
      </w:r>
      <w:r>
        <w:rPr>
          <w:rFonts w:ascii="Times New Roman" w:hAnsi="Times New Roman"/>
          <w:color w:val="000000"/>
          <w:sz w:val="20"/>
        </w:rPr>
        <w:t>Exercise be required.</w:t>
      </w:r>
      <w:r>
        <w:rPr>
          <w:color w:val="000000"/>
        </w:rPr>
        <w:t xml:space="preserve"> </w:t>
      </w:r>
      <w:r>
        <w:rPr>
          <w:rFonts w:ascii="Times New Roman" w:hAnsi="Times New Roman"/>
          <w:color w:val="000000"/>
          <w:sz w:val="20"/>
        </w:rPr>
        <w:t>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Trading Days of the date on which the final Notice of Exercise is delivered to the Company. Partial</w:t>
      </w:r>
      <w:r>
        <w:rPr>
          <w:color w:val="000000"/>
        </w:rPr>
        <w:t xml:space="preserve"> </w:t>
      </w:r>
      <w:r>
        <w:rPr>
          <w:rFonts w:ascii="Times New Roman" w:hAnsi="Times New Roman"/>
          <w:color w:val="000000"/>
          <w:sz w:val="20"/>
        </w:rPr>
        <w:t>exercises of</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 resulting</w:t>
      </w:r>
      <w:r>
        <w:rPr>
          <w:color w:val="000000"/>
        </w:rPr>
        <w:t xml:space="preserve"> </w:t>
      </w:r>
      <w:r>
        <w:rPr>
          <w:rFonts w:ascii="Times New Roman" w:hAnsi="Times New Roman"/>
          <w:color w:val="000000"/>
          <w:sz w:val="20"/>
        </w:rPr>
        <w:t>in purchases of</w:t>
      </w:r>
      <w:r>
        <w:rPr>
          <w:color w:val="000000"/>
        </w:rPr>
        <w:t xml:space="preserve"> </w:t>
      </w:r>
      <w:r>
        <w:rPr>
          <w:rFonts w:ascii="Times New Roman" w:hAnsi="Times New Roman"/>
          <w:color w:val="000000"/>
          <w:sz w:val="20"/>
        </w:rPr>
        <w:t>a portion</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 total number</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Warrant Shares available hereunder shall have the effect of lowering the outstanding number of Warrant Shares purchasable hereunder in an amount equal to the applicable number of</w:t>
      </w:r>
      <w:r>
        <w:rPr>
          <w:color w:val="000000"/>
        </w:rPr>
        <w:t xml:space="preserve"> </w:t>
      </w:r>
      <w:r>
        <w:rPr>
          <w:rFonts w:ascii="Times New Roman" w:hAnsi="Times New Roman"/>
          <w:color w:val="000000"/>
          <w:sz w:val="20"/>
        </w:rPr>
        <w:t>Warrant Shares so purchased.</w:t>
      </w:r>
      <w:r>
        <w:rPr>
          <w:color w:val="000000"/>
        </w:rPr>
        <w:t xml:space="preserve"> </w:t>
      </w:r>
      <w:r>
        <w:rPr>
          <w:rFonts w:ascii="Times New Roman" w:hAnsi="Times New Roman"/>
          <w:color w:val="000000"/>
          <w:sz w:val="20"/>
        </w:rPr>
        <w:t>The Holder and the Company shall maintain records showing the number of Warrant Shares purchased and the date of such purchases. The Company shall</w:t>
      </w:r>
      <w:r>
        <w:rPr>
          <w:color w:val="000000"/>
        </w:rPr>
        <w:t xml:space="preserve"> </w:t>
      </w:r>
      <w:r>
        <w:rPr>
          <w:rFonts w:ascii="Times New Roman" w:hAnsi="Times New Roman"/>
          <w:color w:val="000000"/>
          <w:sz w:val="20"/>
        </w:rPr>
        <w:t>deliver any objection to any Notice of Exercise within one Trading Day of receipt</w:t>
      </w:r>
      <w:r>
        <w:rPr>
          <w:color w:val="000000"/>
        </w:rPr>
        <w:t xml:space="preserve"> </w:t>
      </w:r>
      <w:r>
        <w:rPr>
          <w:rFonts w:ascii="Times New Roman" w:hAnsi="Times New Roman"/>
          <w:color w:val="000000"/>
          <w:sz w:val="20"/>
        </w:rPr>
        <w:t>of such notice.</w:t>
      </w:r>
      <w:r>
        <w:rPr>
          <w:color w:val="000000"/>
        </w:rPr>
        <w:t xml:space="preserve"> </w:t>
      </w:r>
      <w:r>
        <w:rPr>
          <w:rFonts w:ascii="Times New Roman" w:hAnsi="Times New Roman"/>
          <w:b/>
          <w:color w:val="000000"/>
          <w:sz w:val="20"/>
        </w:rPr>
        <w:t>The Holder and any assignee, by acceptance of this Warrant, acknowledge and agree that, by reason of the provisions</w:t>
      </w:r>
      <w:r>
        <w:rPr>
          <w:color w:val="000000"/>
        </w:rPr>
        <w:t xml:space="preserve"> </w:t>
      </w:r>
      <w:r>
        <w:rPr>
          <w:rFonts w:ascii="Times New Roman" w:hAnsi="Times New Roman"/>
          <w:b/>
          <w:color w:val="000000"/>
          <w:sz w:val="20"/>
        </w:rPr>
        <w:t>of</w:t>
      </w:r>
      <w:r>
        <w:rPr>
          <w:color w:val="000000"/>
        </w:rPr>
        <w:t xml:space="preserve"> </w:t>
      </w:r>
      <w:r>
        <w:rPr>
          <w:rFonts w:ascii="Times New Roman" w:hAnsi="Times New Roman"/>
          <w:b/>
          <w:color w:val="000000"/>
          <w:sz w:val="20"/>
        </w:rPr>
        <w:t>this paragraph, following</w:t>
      </w:r>
      <w:r>
        <w:rPr>
          <w:color w:val="000000"/>
        </w:rPr>
        <w:t xml:space="preserve"> </w:t>
      </w:r>
      <w:r>
        <w:rPr>
          <w:rFonts w:ascii="Times New Roman" w:hAnsi="Times New Roman"/>
          <w:b/>
          <w:color w:val="000000"/>
          <w:sz w:val="20"/>
        </w:rPr>
        <w:t>the purchase of</w:t>
      </w:r>
      <w:r>
        <w:rPr>
          <w:color w:val="000000"/>
        </w:rPr>
        <w:t xml:space="preserve"> </w:t>
      </w:r>
      <w:r>
        <w:rPr>
          <w:rFonts w:ascii="Times New Roman" w:hAnsi="Times New Roman"/>
          <w:b/>
          <w:color w:val="000000"/>
          <w:sz w:val="20"/>
        </w:rPr>
        <w:t>a</w:t>
      </w:r>
      <w:r>
        <w:rPr>
          <w:color w:val="000000"/>
        </w:rPr>
        <w:t xml:space="preserve"> </w:t>
      </w:r>
      <w:r>
        <w:rPr>
          <w:rFonts w:ascii="Times New Roman" w:hAnsi="Times New Roman"/>
          <w:b/>
          <w:color w:val="000000"/>
          <w:sz w:val="20"/>
        </w:rPr>
        <w:t>portion</w:t>
      </w:r>
      <w:r>
        <w:rPr>
          <w:color w:val="000000"/>
        </w:rPr>
        <w:t xml:space="preserve"> </w:t>
      </w:r>
      <w:r>
        <w:rPr>
          <w:rFonts w:ascii="Times New Roman" w:hAnsi="Times New Roman"/>
          <w:b/>
          <w:color w:val="000000"/>
          <w:sz w:val="20"/>
        </w:rPr>
        <w:t>of the Warrant</w:t>
      </w:r>
      <w:r>
        <w:rPr>
          <w:color w:val="000000"/>
        </w:rPr>
        <w:t xml:space="preserve"> </w:t>
      </w:r>
      <w:r>
        <w:rPr>
          <w:rFonts w:ascii="Times New Roman" w:hAnsi="Times New Roman"/>
          <w:b/>
          <w:color w:val="000000"/>
          <w:sz w:val="20"/>
        </w:rPr>
        <w:t>Shares</w:t>
      </w:r>
      <w:r>
        <w:rPr>
          <w:color w:val="000000"/>
        </w:rPr>
        <w:t xml:space="preserve"> </w:t>
      </w:r>
      <w:r>
        <w:rPr>
          <w:rFonts w:ascii="Times New Roman" w:hAnsi="Times New Roman"/>
          <w:b/>
          <w:color w:val="000000"/>
          <w:sz w:val="20"/>
        </w:rPr>
        <w:t>hereunder, the number of Warrant Shares available for purchase hereunder at any given time may be less than the amount stated on the face 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720" w:right="878" w:firstLine="1440"/>
        <w:jc w:val="left"/>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Exercise Price</w:t>
      </w:r>
      <w:r>
        <w:rPr>
          <w:rFonts w:ascii="Times New Roman" w:hAnsi="Times New Roman"/>
          <w:color w:val="000000"/>
          <w:sz w:val="20"/>
        </w:rPr>
        <w:t>.</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exercise price</w:t>
      </w:r>
      <w:r>
        <w:rPr>
          <w:color w:val="000000"/>
        </w:rPr>
        <w:t xml:space="preserve"> </w:t>
      </w:r>
      <w:r>
        <w:rPr>
          <w:rFonts w:ascii="Times New Roman" w:hAnsi="Times New Roman"/>
          <w:color w:val="000000"/>
          <w:sz w:val="20"/>
        </w:rPr>
        <w:t>per</w:t>
      </w:r>
      <w:r>
        <w:rPr>
          <w:color w:val="000000"/>
        </w:rPr>
        <w:t xml:space="preserve"> </w:t>
      </w:r>
      <w:r>
        <w:rPr>
          <w:rFonts w:ascii="Times New Roman" w:hAnsi="Times New Roman"/>
          <w:color w:val="000000"/>
          <w:sz w:val="20"/>
        </w:rPr>
        <w:t>share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Common</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under</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shall be $1.11, subject to adjustment hereunder (the “</w:t>
      </w:r>
      <w:r>
        <w:rPr>
          <w:rFonts w:ascii="Times New Roman" w:hAnsi="Times New Roman"/>
          <w:color w:val="000000"/>
          <w:sz w:val="20"/>
          <w:u w:val="single"/>
        </w:rPr>
        <w:t>Exercise Price</w:t>
      </w:r>
      <w:r>
        <w:rPr>
          <w:color w:val="000000"/>
        </w:rPr>
        <w:t>”</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ind w:left="2160" w:right="0" w:hanging="0"/>
        <w:jc w:val="left"/>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Mechanics</w:t>
      </w:r>
      <w:r>
        <w:rPr>
          <w:color w:val="000000"/>
          <w:u w:val="single"/>
        </w:rPr>
        <w:t xml:space="preserve"> </w:t>
      </w:r>
      <w:r>
        <w:rPr>
          <w:rFonts w:ascii="Times New Roman" w:hAnsi="Times New Roman"/>
          <w:color w:val="000000"/>
          <w:sz w:val="20"/>
          <w:u w:val="single"/>
        </w:rPr>
        <w:t>of</w:t>
      </w:r>
      <w:r>
        <w:rPr>
          <w:color w:val="000000"/>
          <w:u w:val="single"/>
        </w:rPr>
        <w:t xml:space="preserve"> </w:t>
      </w:r>
      <w:r>
        <w:rPr>
          <w:rFonts w:ascii="Times New Roman" w:hAnsi="Times New Roman"/>
          <w:color w:val="000000"/>
          <w:sz w:val="20"/>
          <w:u w:val="single"/>
        </w:rPr>
        <w:t>Exercise</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ind w:left="2160" w:right="720" w:firstLine="720"/>
        <w:jc w:val="left"/>
        <w:rPr>
          <w:rFonts w:ascii="Times New Roman" w:hAnsi="Times New Roman"/>
          <w:color w:val="000000"/>
          <w:sz w:val="20"/>
        </w:rPr>
      </w:pPr>
      <w:r>
        <w:rPr>
          <w:rFonts w:ascii="Times New Roman" w:hAnsi="Times New Roman"/>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Delivery of Warrant Shares Upon Exercise</w:t>
      </w:r>
      <w:r>
        <w:rPr>
          <w:rFonts w:ascii="Times New Roman" w:hAnsi="Times New Roman"/>
          <w:color w:val="000000"/>
          <w:sz w:val="20"/>
        </w:rPr>
        <w:t>.</w:t>
      </w:r>
      <w:r>
        <w:rPr>
          <w:color w:val="000000"/>
        </w:rPr>
        <w:t xml:space="preserve"> </w:t>
      </w:r>
      <w:r>
        <w:rPr>
          <w:rFonts w:ascii="Times New Roman" w:hAnsi="Times New Roman"/>
          <w:color w:val="000000"/>
          <w:sz w:val="20"/>
        </w:rPr>
        <w:t>The Company shall cause the Warrant Shares issued in connection with an exercise of the Warrant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0"/>
          <w:u w:val="single"/>
        </w:rPr>
        <w:t>DWAC</w:t>
      </w:r>
      <w:r>
        <w:rPr>
          <w:color w:val="000000"/>
        </w:rPr>
        <w:t>”</w:t>
      </w:r>
      <w:r>
        <w:rPr>
          <w:rFonts w:ascii="Times New Roman" w:hAnsi="Times New Roman"/>
          <w:color w:val="000000"/>
          <w:sz w:val="20"/>
        </w:rPr>
        <w:t>), if the Company is then a participant in such system, or otherwise by physical delivery of</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certificate, registered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Company’s share register</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name 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its designee, for the number of Warrant Shares to which the Holder is entitled pursuant to such exercise to the address specified by the Holder in the Notice of Exercise by the date that is the earliest of (A) one Trading Day after the delivery to the Company of the Notice of Exercise, (B) the number of Trading Days comprising the Standard Settlement Period after the delivery to the Company of the Notice of Exercise and (C) one Trading Day after delivery of the aggregate Exercise Price (other than in the case of a cashless exercise pursuant to Section 2(e)) to the Company (such date, the “</w:t>
      </w:r>
      <w:r>
        <w:rPr>
          <w:rFonts w:ascii="Times New Roman" w:hAnsi="Times New Roman"/>
          <w:color w:val="000000"/>
          <w:sz w:val="20"/>
          <w:u w:val="single"/>
        </w:rPr>
        <w:t>Warrant Share Delivery Date</w:t>
      </w:r>
      <w:r>
        <w:rPr>
          <w:color w:val="000000"/>
        </w:rPr>
        <w:t>”</w:t>
      </w:r>
      <w:r>
        <w:rPr>
          <w:rFonts w:ascii="Times New Roman" w:hAnsi="Times New Roman"/>
          <w:color w:val="000000"/>
          <w:sz w:val="20"/>
        </w:rPr>
        <w:t>).</w:t>
      </w:r>
      <w:r>
        <w:rPr>
          <w:color w:val="000000"/>
        </w:rPr>
        <w:t xml:space="preserve"> </w:t>
      </w:r>
      <w:r>
        <w:rPr>
          <w:rFonts w:ascii="Times New Roman" w:hAnsi="Times New Roman"/>
          <w:color w:val="000000"/>
          <w:sz w:val="20"/>
        </w:rPr>
        <w:t>Upon delivery of the Notice of Exercise, the Holder shall be deemed for all corporate purposes to have become the holder of record 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Shares with</w:t>
      </w:r>
      <w:r>
        <w:rPr>
          <w:color w:val="000000"/>
        </w:rPr>
        <w:t xml:space="preserve"> </w:t>
      </w:r>
      <w:r>
        <w:rPr>
          <w:rFonts w:ascii="Times New Roman" w:hAnsi="Times New Roman"/>
          <w:color w:val="000000"/>
          <w:sz w:val="20"/>
        </w:rPr>
        <w:t>respect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which</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has</w:t>
      </w:r>
      <w:r>
        <w:rPr>
          <w:color w:val="000000"/>
        </w:rPr>
        <w:t xml:space="preserve"> </w:t>
      </w:r>
      <w:r>
        <w:rPr>
          <w:rFonts w:ascii="Times New Roman" w:hAnsi="Times New Roman"/>
          <w:color w:val="000000"/>
          <w:sz w:val="20"/>
        </w:rPr>
        <w:t>been</w:t>
      </w:r>
      <w:r>
        <w:rPr>
          <w:color w:val="000000"/>
        </w:rPr>
        <w:t xml:space="preserve"> </w:t>
      </w:r>
      <w:r>
        <w:rPr>
          <w:rFonts w:ascii="Times New Roman" w:hAnsi="Times New Roman"/>
          <w:color w:val="000000"/>
          <w:sz w:val="20"/>
        </w:rPr>
        <w:t>exercised,</w:t>
      </w:r>
      <w:r>
        <w:rPr>
          <w:color w:val="000000"/>
        </w:rPr>
        <w:t xml:space="preserve"> </w:t>
      </w:r>
      <w:r>
        <w:rPr>
          <w:rFonts w:ascii="Times New Roman" w:hAnsi="Times New Roman"/>
          <w:color w:val="000000"/>
          <w:sz w:val="20"/>
        </w:rPr>
        <w:t>irrespective</w:t>
      </w:r>
      <w:r>
        <w:rPr>
          <w:color w:val="000000"/>
        </w:rPr>
        <w:t xml:space="preserve"> </w:t>
      </w:r>
      <w:r>
        <w:rPr>
          <w:rFonts w:ascii="Times New Roman" w:hAnsi="Times New Roman"/>
          <w:color w:val="000000"/>
          <w:sz w:val="20"/>
        </w:rPr>
        <w:t>of the date of delivery of the Warrant Shares, provided that</w:t>
      </w:r>
      <w:r>
        <w:rPr>
          <w:color w:val="000000"/>
        </w:rPr>
        <w:t xml:space="preserve"> </w:t>
      </w:r>
      <w:r>
        <w:rPr>
          <w:rFonts w:ascii="Times New Roman" w:hAnsi="Times New Roman"/>
          <w:color w:val="000000"/>
          <w:sz w:val="20"/>
        </w:rPr>
        <w:t>payment of the aggregate Exercise Price is received by</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Warrant Share Delivery</w:t>
      </w:r>
      <w:r>
        <w:rPr>
          <w:color w:val="000000"/>
        </w:rPr>
        <w:t xml:space="preserve"> </w:t>
      </w:r>
      <w:r>
        <w:rPr>
          <w:rFonts w:ascii="Times New Roman" w:hAnsi="Times New Roman"/>
          <w:color w:val="000000"/>
          <w:sz w:val="20"/>
        </w:rPr>
        <w:t>Date.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 agrees</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maintain</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transfer</w:t>
      </w:r>
      <w:r>
        <w:rPr>
          <w:color w:val="000000"/>
        </w:rPr>
        <w:t xml:space="preserve"> </w:t>
      </w:r>
      <w:r>
        <w:rPr>
          <w:rFonts w:ascii="Times New Roman" w:hAnsi="Times New Roman"/>
          <w:color w:val="000000"/>
          <w:sz w:val="20"/>
        </w:rPr>
        <w:t>agent that is a participant in the Fast Automated Securities Transfer Program so long as this Warrant remains outstanding and exercisable. As used herein, “</w:t>
      </w:r>
      <w:r>
        <w:rPr>
          <w:rFonts w:ascii="Times New Roman" w:hAnsi="Times New Roman"/>
          <w:color w:val="000000"/>
          <w:sz w:val="20"/>
          <w:u w:val="single"/>
        </w:rPr>
        <w:t>Standard Settlement Period</w:t>
      </w:r>
      <w:r>
        <w:rPr>
          <w:color w:val="000000"/>
        </w:rPr>
        <w:t xml:space="preserve">” </w:t>
      </w:r>
      <w:r>
        <w:rPr>
          <w:rFonts w:ascii="Times New Roman" w:hAnsi="Times New Roman"/>
          <w:color w:val="000000"/>
          <w:sz w:val="20"/>
        </w:rPr>
        <w:t>means the standard settlement period, expressed in a number of Trading Days, on the Company’s primary Trading Market with respect to the Common Stock as in effect on the</w:t>
      </w:r>
      <w:r>
        <w:rPr>
          <w:color w:val="000000"/>
        </w:rPr>
        <w:t xml:space="preserve"> </w:t>
      </w:r>
      <w:r>
        <w:rPr>
          <w:rFonts w:ascii="Times New Roman" w:hAnsi="Times New Roman"/>
          <w:color w:val="000000"/>
          <w:sz w:val="20"/>
        </w:rPr>
        <w:t>date of delivery of the Notice of Exercise.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ind w:left="2160" w:right="734" w:firstLine="720"/>
        <w:jc w:val="left"/>
        <w:rPr>
          <w:rFonts w:ascii="Times New Roman" w:hAnsi="Times New Roman"/>
          <w:color w:val="000000"/>
          <w:sz w:val="20"/>
        </w:rPr>
      </w:pPr>
      <w:r>
        <w:rPr>
          <w:rFonts w:ascii="Times New Roman" w:hAnsi="Times New Roman"/>
          <w:color w:val="000000"/>
          <w:sz w:val="20"/>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Delivery of New Warrants Upon Exercise</w:t>
      </w:r>
      <w:r>
        <w:rPr>
          <w:rFonts w:ascii="Times New Roman" w:hAnsi="Times New Roman"/>
          <w:color w:val="000000"/>
          <w:sz w:val="20"/>
        </w:rPr>
        <w:t>.</w:t>
      </w:r>
      <w:r>
        <w:rPr>
          <w:color w:val="000000"/>
        </w:rPr>
        <w:t xml:space="preserve"> </w:t>
      </w:r>
      <w:r>
        <w:rPr>
          <w:rFonts w:ascii="Times New Roman" w:hAnsi="Times New Roman"/>
          <w:color w:val="000000"/>
          <w:sz w:val="20"/>
        </w:rPr>
        <w:t>If this Warrant shall have been exercised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part,</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 shall,</w:t>
      </w:r>
      <w:r>
        <w:rPr>
          <w:color w:val="000000"/>
        </w:rPr>
        <w:t xml:space="preserve"> </w:t>
      </w:r>
      <w:r>
        <w:rPr>
          <w:rFonts w:ascii="Times New Roman" w:hAnsi="Times New Roman"/>
          <w:color w:val="000000"/>
          <w:sz w:val="20"/>
        </w:rPr>
        <w:t>at</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request of</w:t>
      </w:r>
      <w:r>
        <w:rPr>
          <w:color w:val="000000"/>
        </w:rPr>
        <w:t xml:space="preserve"> </w:t>
      </w:r>
      <w:r>
        <w:rPr>
          <w:rFonts w:ascii="Times New Roman" w:hAnsi="Times New Roman"/>
          <w:color w:val="000000"/>
          <w:sz w:val="20"/>
        </w:rPr>
        <w:t>a Holder</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upon</w:t>
      </w:r>
      <w:r>
        <w:rPr>
          <w:color w:val="000000"/>
        </w:rPr>
        <w:t xml:space="preserve"> </w:t>
      </w:r>
      <w:r>
        <w:rPr>
          <w:rFonts w:ascii="Times New Roman" w:hAnsi="Times New Roman"/>
          <w:color w:val="000000"/>
          <w:sz w:val="20"/>
        </w:rPr>
        <w:t>surrender of</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ind w:left="2160" w:right="792" w:firstLine="720"/>
        <w:jc w:val="both"/>
        <w:rPr>
          <w:rFonts w:ascii="Times New Roman" w:hAnsi="Times New Roman"/>
          <w:color w:val="000000"/>
          <w:sz w:val="20"/>
        </w:rPr>
      </w:pPr>
      <w:r>
        <w:rPr>
          <w:rFonts w:ascii="Times New Roman" w:hAnsi="Times New Roman"/>
          <w:color w:val="000000"/>
          <w:sz w:val="20"/>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0"/>
          <w:u w:val="single"/>
        </w:rPr>
        <w:t>Rescission</w:t>
      </w:r>
      <w:r>
        <w:rPr>
          <w:color w:val="000000"/>
          <w:u w:val="single"/>
        </w:rPr>
        <w:t xml:space="preserve"> </w:t>
      </w:r>
      <w:r>
        <w:rPr>
          <w:rFonts w:ascii="Times New Roman" w:hAnsi="Times New Roman"/>
          <w:color w:val="000000"/>
          <w:sz w:val="20"/>
          <w:u w:val="single"/>
        </w:rPr>
        <w:t>Rights</w:t>
      </w:r>
      <w:r>
        <w:rPr>
          <w:rFonts w:ascii="Times New Roman" w:hAnsi="Times New Roman"/>
          <w:color w:val="000000"/>
          <w:sz w:val="20"/>
        </w:rPr>
        <w:t>.</w:t>
      </w:r>
      <w:r>
        <w:rPr>
          <w:color w:val="000000"/>
        </w:rPr>
        <w:t xml:space="preserve"> </w:t>
      </w:r>
      <w:r>
        <w:rPr>
          <w:rFonts w:ascii="Times New Roman" w:hAnsi="Times New Roman"/>
          <w:color w:val="000000"/>
          <w:sz w:val="20"/>
        </w:rPr>
        <w:t>If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w:t>
      </w:r>
      <w:r>
        <w:rPr>
          <w:color w:val="000000"/>
        </w:rPr>
        <w:t xml:space="preserve"> </w:t>
      </w:r>
      <w:r>
        <w:rPr>
          <w:rFonts w:ascii="Times New Roman" w:hAnsi="Times New Roman"/>
          <w:color w:val="000000"/>
          <w:sz w:val="20"/>
        </w:rPr>
        <w:t>fails</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cause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Transfer Agent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transmit to</w:t>
      </w:r>
      <w:r>
        <w:rPr>
          <w:color w:val="000000"/>
        </w:rPr>
        <w:t xml:space="preserve"> </w:t>
      </w:r>
      <w:r>
        <w:rPr>
          <w:rFonts w:ascii="Times New Roman" w:hAnsi="Times New Roman"/>
          <w:color w:val="000000"/>
          <w:sz w:val="20"/>
        </w:rPr>
        <w:t>the Holder</w:t>
      </w:r>
      <w:r>
        <w:rPr>
          <w:color w:val="000000"/>
        </w:rPr>
        <w:t xml:space="preserve"> </w:t>
      </w:r>
      <w:r>
        <w:rPr>
          <w:rFonts w:ascii="Times New Roman" w:hAnsi="Times New Roman"/>
          <w:color w:val="000000"/>
          <w:sz w:val="20"/>
        </w:rPr>
        <w:t>the Warrant Shares pursuant to Section 2(d)(i)</w:t>
      </w:r>
      <w:r>
        <w:rPr>
          <w:color w:val="000000"/>
        </w:rPr>
        <w:t xml:space="preserve"> </w:t>
      </w:r>
      <w:r>
        <w:rPr>
          <w:rFonts w:ascii="Times New Roman" w:hAnsi="Times New Roman"/>
          <w:color w:val="000000"/>
          <w:sz w:val="20"/>
        </w:rPr>
        <w:t>by the Warrant Share Delivery Date, then the Holder will have the right to rescind such exercise.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ind w:left="2160" w:right="763" w:firstLine="720"/>
        <w:jc w:val="left"/>
        <w:rPr>
          <w:rFonts w:ascii="Times New Roman" w:hAnsi="Times New Roman"/>
          <w:color w:val="000000"/>
          <w:sz w:val="20"/>
        </w:rPr>
      </w:pPr>
      <w:r>
        <w:rPr>
          <w:rFonts w:ascii="Times New Roman" w:hAnsi="Times New Roman"/>
          <w:color w:val="000000"/>
          <w:sz w:val="20"/>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No Fractional Shares or Scrip</w:t>
      </w:r>
      <w:r>
        <w:rPr>
          <w:rFonts w:ascii="Times New Roman" w:hAnsi="Times New Roman"/>
          <w:color w:val="000000"/>
          <w:sz w:val="20"/>
        </w:rPr>
        <w:t>.</w:t>
      </w:r>
      <w:r>
        <w:rPr>
          <w:color w:val="000000"/>
        </w:rPr>
        <w:t xml:space="preserve"> </w:t>
      </w:r>
      <w:r>
        <w:rPr>
          <w:rFonts w:ascii="Times New Roman" w:hAnsi="Times New Roman"/>
          <w:color w:val="000000"/>
          <w:sz w:val="20"/>
        </w:rPr>
        <w:t>No fractional shares or scrip representing fractional shares shall be issued upon the exercise of this Warrant.</w:t>
      </w:r>
      <w:r>
        <w:rPr>
          <w:color w:val="000000"/>
        </w:rPr>
        <w:t xml:space="preserve"> </w:t>
      </w:r>
      <w:r>
        <w:rPr>
          <w:rFonts w:ascii="Times New Roman" w:hAnsi="Times New Roman"/>
          <w:color w:val="000000"/>
          <w:sz w:val="20"/>
        </w:rPr>
        <w:t>As to any fraction of a share which the Holder would otherwise be entitled to purchase upon such exercise, the number of Warrant Shares</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issued</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rounded</w:t>
      </w:r>
      <w:r>
        <w:rPr>
          <w:color w:val="000000"/>
        </w:rPr>
        <w:t xml:space="preserve"> </w:t>
      </w:r>
      <w:r>
        <w:rPr>
          <w:rFonts w:ascii="Times New Roman" w:hAnsi="Times New Roman"/>
          <w:color w:val="000000"/>
          <w:sz w:val="20"/>
        </w:rPr>
        <w:t>down</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nearest</w:t>
      </w:r>
      <w:r>
        <w:rPr>
          <w:color w:val="000000"/>
        </w:rPr>
        <w:t xml:space="preserve"> </w:t>
      </w:r>
      <w:r>
        <w:rPr>
          <w:rFonts w:ascii="Times New Roman" w:hAnsi="Times New Roman"/>
          <w:color w:val="000000"/>
          <w:sz w:val="20"/>
        </w:rPr>
        <w:t>whole</w:t>
      </w:r>
      <w:r>
        <w:rPr>
          <w:color w:val="000000"/>
        </w:rPr>
        <w:t xml:space="preserve"> </w:t>
      </w:r>
      <w:r>
        <w:rPr>
          <w:rFonts w:ascii="Times New Roman" w:hAnsi="Times New Roman"/>
          <w:color w:val="000000"/>
          <w:sz w:val="20"/>
        </w:rPr>
        <w:t>number</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the Company shall pay a cash adjustment in respect of such final fraction in an amount equal to such fraction multiplied by the Exercise Price.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3" w:after="283"/>
        <w:jc w:val="left"/>
        <w:rPr/>
      </w:pPr>
      <w:r>
        <w:rPr/>
        <w:t> </w:t>
      </w:r>
    </w:p>
    <w:p>
      <w:pPr>
        <w:pStyle w:val="TextBody"/>
        <w:bidi w:val="0"/>
        <w:ind w:left="2160" w:right="749" w:firstLine="720"/>
        <w:jc w:val="left"/>
        <w:rPr>
          <w:rFonts w:ascii="Times New Roman" w:hAnsi="Times New Roman"/>
          <w:color w:val="000000"/>
          <w:sz w:val="20"/>
        </w:rPr>
      </w:pPr>
      <w:r>
        <w:rPr>
          <w:rFonts w:ascii="Times New Roman" w:hAnsi="Times New Roman"/>
          <w:color w:val="000000"/>
          <w:sz w:val="20"/>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Charges, Taxes and Expenses</w:t>
      </w:r>
      <w:r>
        <w:rPr>
          <w:rFonts w:ascii="Times New Roman" w:hAnsi="Times New Roman"/>
          <w:color w:val="000000"/>
          <w:sz w:val="20"/>
        </w:rPr>
        <w:t>.</w:t>
      </w:r>
      <w:r>
        <w:rPr>
          <w:color w:val="000000"/>
        </w:rPr>
        <w:t xml:space="preserve"> </w:t>
      </w:r>
      <w:r>
        <w:rPr>
          <w:rFonts w:ascii="Times New Roman" w:hAnsi="Times New Roman"/>
          <w:color w:val="000000"/>
          <w:sz w:val="20"/>
        </w:rPr>
        <w:t>Issuance of Warrant Shares shall be made without charge to the Holder for any</w:t>
      </w:r>
      <w:r>
        <w:rPr>
          <w:color w:val="000000"/>
        </w:rPr>
        <w:t xml:space="preserve"> </w:t>
      </w:r>
      <w:r>
        <w:rPr>
          <w:rFonts w:ascii="Times New Roman" w:hAnsi="Times New Roman"/>
          <w:color w:val="000000"/>
          <w:sz w:val="20"/>
        </w:rPr>
        <w:t>issue or transfer tax or other incidental expense in respect of the issuance of such Warrant Shares, all of which taxes and expenses shall be paid by the Company, and such Warrant Shares shall be issued in the name of the Holder or in such name or names</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be directed</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 xml:space="preserve">the Holder; </w:t>
      </w:r>
      <w:r>
        <w:rPr>
          <w:rFonts w:ascii="Times New Roman" w:hAnsi="Times New Roman"/>
          <w:color w:val="000000"/>
          <w:sz w:val="20"/>
          <w:u w:val="single"/>
        </w:rPr>
        <w:t>provided</w:t>
      </w:r>
      <w:r>
        <w:rPr>
          <w:rFonts w:ascii="Times New Roman" w:hAnsi="Times New Roman"/>
          <w:color w:val="000000"/>
          <w:sz w:val="20"/>
        </w:rPr>
        <w:t>,</w:t>
      </w:r>
      <w:r>
        <w:rPr>
          <w:color w:val="000000"/>
        </w:rPr>
        <w:t xml:space="preserve"> </w:t>
      </w:r>
      <w:r>
        <w:rPr>
          <w:rFonts w:ascii="Times New Roman" w:hAnsi="Times New Roman"/>
          <w:color w:val="000000"/>
          <w:sz w:val="20"/>
          <w:u w:val="single"/>
        </w:rPr>
        <w:t>however</w:t>
      </w:r>
      <w:r>
        <w:rPr>
          <w:rFonts w:ascii="Times New Roman" w:hAnsi="Times New Roman"/>
          <w:color w:val="000000"/>
          <w:sz w:val="20"/>
        </w:rPr>
        <w:t>,</w:t>
      </w:r>
      <w:r>
        <w:rPr>
          <w:color w:val="000000"/>
        </w:rPr>
        <w:t xml:space="preserve"> </w:t>
      </w:r>
      <w:r>
        <w:rPr>
          <w:rFonts w:ascii="Times New Roman" w:hAnsi="Times New Roman"/>
          <w:color w:val="000000"/>
          <w:sz w:val="20"/>
        </w:rPr>
        <w:t>that,</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event</w:t>
      </w:r>
      <w:r>
        <w:rPr>
          <w:color w:val="000000"/>
        </w:rPr>
        <w:t xml:space="preserve"> </w:t>
      </w:r>
      <w:r>
        <w:rPr>
          <w:rFonts w:ascii="Times New Roman" w:hAnsi="Times New Roman"/>
          <w:color w:val="000000"/>
          <w:sz w:val="20"/>
        </w:rPr>
        <w:t>that</w:t>
      </w:r>
      <w:r>
        <w:rPr>
          <w:color w:val="000000"/>
        </w:rPr>
        <w:t xml:space="preserve"> </w:t>
      </w:r>
      <w:r>
        <w:rPr>
          <w:rFonts w:ascii="Times New Roman" w:hAnsi="Times New Roman"/>
          <w:color w:val="000000"/>
          <w:sz w:val="20"/>
        </w:rPr>
        <w:t>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r>
        <w:rPr>
          <w:color w:val="000000"/>
        </w:rPr>
        <w:t xml:space="preserve"> </w:t>
      </w:r>
      <w:r>
        <w:rPr>
          <w:rFonts w:ascii="Times New Roman" w:hAnsi="Times New Roman"/>
          <w:color w:val="000000"/>
          <w:sz w:val="20"/>
        </w:rPr>
        <w:t>The Company shall pay all Transfer Agent</w:t>
      </w:r>
      <w:r>
        <w:rPr>
          <w:color w:val="000000"/>
        </w:rPr>
        <w:t xml:space="preserve"> </w:t>
      </w:r>
      <w:r>
        <w:rPr>
          <w:rFonts w:ascii="Times New Roman" w:hAnsi="Times New Roman"/>
          <w:color w:val="000000"/>
          <w:sz w:val="20"/>
        </w:rPr>
        <w:t>fees required for same-day processing of any Notice of Exercise and all fees to The Depository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2161" w:right="720" w:hanging="0"/>
        <w:jc w:val="both"/>
        <w:rPr>
          <w:rFonts w:ascii="Times New Roman" w:hAnsi="Times New Roman"/>
          <w:color w:val="000000"/>
          <w:sz w:val="20"/>
        </w:rPr>
      </w:pPr>
      <w:r>
        <w:rPr>
          <w:rFonts w:ascii="Times New Roman" w:hAnsi="Times New Roman"/>
          <w:color w:val="000000"/>
          <w:sz w:val="20"/>
        </w:rPr>
        <w:t>Trust Company (or another established clearing corporation performing similar functions) required for same-day electronic delivery of the Warrant Shares.</w:t>
      </w:r>
    </w:p>
    <w:p>
      <w:pPr>
        <w:pStyle w:val="TextBody"/>
        <w:bidi w:val="0"/>
        <w:spacing w:before="11" w:after="283"/>
        <w:jc w:val="left"/>
        <w:rPr/>
      </w:pPr>
      <w:r>
        <w:rPr/>
        <w:t> </w:t>
      </w:r>
    </w:p>
    <w:p>
      <w:pPr>
        <w:pStyle w:val="TextBody"/>
        <w:bidi w:val="0"/>
        <w:ind w:left="720" w:right="850" w:firstLine="1440"/>
        <w:jc w:val="left"/>
        <w:rPr>
          <w:rFonts w:ascii="Times New Roman" w:hAnsi="Times New Roman"/>
          <w:color w:val="000000"/>
          <w:sz w:val="20"/>
        </w:rPr>
      </w:pPr>
      <w:r>
        <w:rPr>
          <w:rFonts w:ascii="Times New Roman" w:hAnsi="Times New Roman"/>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Cashless Exercise</w:t>
      </w:r>
      <w:r>
        <w:rPr>
          <w:rFonts w:ascii="Times New Roman" w:hAnsi="Times New Roman"/>
          <w:color w:val="000000"/>
          <w:sz w:val="20"/>
        </w:rPr>
        <w:t>.</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also</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exercised,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whole</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part, by</w:t>
      </w:r>
      <w:r>
        <w:rPr>
          <w:color w:val="000000"/>
        </w:rPr>
        <w:t xml:space="preserve"> </w:t>
      </w:r>
      <w:r>
        <w:rPr>
          <w:rFonts w:ascii="Times New Roman" w:hAnsi="Times New Roman"/>
          <w:color w:val="000000"/>
          <w:sz w:val="20"/>
        </w:rPr>
        <w:t>means</w:t>
      </w:r>
      <w:r>
        <w:rPr>
          <w:color w:val="000000"/>
        </w:rPr>
        <w:t xml:space="preserve"> </w:t>
      </w:r>
      <w:r>
        <w:rPr>
          <w:rFonts w:ascii="Times New Roman" w:hAnsi="Times New Roman"/>
          <w:color w:val="000000"/>
          <w:sz w:val="20"/>
        </w:rPr>
        <w:t>of a “cashless exercise” in which the Holder shall be entitled to receive a number of Warrant Shares equal to the quotient obtained by dividing [(A-B) (X)] by (A), where: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t> </w:t>
      </w:r>
    </w:p>
    <w:p>
      <w:pPr>
        <w:pStyle w:val="TextBody"/>
        <w:pBdr/>
        <w:bidi w:val="0"/>
        <w:ind w:left="2160" w:right="765" w:hanging="630"/>
        <w:jc w:val="left"/>
        <w:rPr>
          <w:rFonts w:ascii="Times New Roman" w:hAnsi="Times New Roman"/>
          <w:color w:val="000000"/>
          <w:sz w:val="20"/>
        </w:rPr>
      </w:pPr>
      <w:r>
        <w:rPr>
          <w:rFonts w:ascii="Times New Roman" w:hAnsi="Times New Roman"/>
          <w:color w:val="000000"/>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Common Stock on the principal Trading Market as reported by Bloomberg</w:t>
      </w:r>
    </w:p>
    <w:p>
      <w:pPr>
        <w:pStyle w:val="TextBody"/>
        <w:bidi w:val="0"/>
        <w:spacing w:before="4" w:after="283"/>
        <w:ind w:left="2790" w:right="765" w:hanging="0"/>
        <w:jc w:val="left"/>
        <w:rPr>
          <w:rFonts w:ascii="Times New Roman" w:hAnsi="Times New Roman"/>
          <w:sz w:val="20"/>
        </w:rPr>
      </w:pPr>
      <w:r>
        <w:rPr>
          <w:rFonts w:ascii="Times New Roman" w:hAnsi="Times New Roman"/>
          <w:color w:val="000000"/>
          <w:sz w:val="20"/>
        </w:rPr>
        <w:t>L.P. (“</w:t>
      </w:r>
      <w:r>
        <w:rPr>
          <w:rFonts w:ascii="Times New Roman" w:hAnsi="Times New Roman"/>
          <w:color w:val="000000"/>
          <w:sz w:val="20"/>
          <w:u w:val="single"/>
        </w:rPr>
        <w:t>Bloomberg</w:t>
      </w:r>
      <w:r>
        <w:rPr>
          <w:rFonts w:ascii="Times New Roman" w:hAnsi="Times New Roman"/>
          <w:color w:val="000000"/>
          <w:sz w:val="20"/>
        </w:rPr>
        <w:t>”) within two (2) hours of the time of the Holder’s delivery of Holder’s Notice of Exercise pursuant to Section 2(a) hereof if such Notice of Exercise is delivered during “regular trading hours” on a Trading Day or within two hours after the close of “regular trading hours” on a Trading Day pursuant to Section 2(a) hereof or (iii) the VWAP on the date of the applicable Notice of Exercise if the date of such Notice of Exercise is a Trading Day and such Notice of Exercise is delivered pursuant to Section 2(a) hereof later than two (2) hours after the close of “regular trading hours” on such Trading Day;</w:t>
      </w:r>
    </w:p>
    <w:p>
      <w:pPr>
        <w:pStyle w:val="TextBody"/>
        <w:bidi w:val="0"/>
        <w:spacing w:before="230" w:after="283"/>
        <w:ind w:left="2161" w:right="0" w:hanging="0"/>
        <w:jc w:val="left"/>
        <w:rPr>
          <w:rFonts w:ascii="Times New Roman" w:hAnsi="Times New Roman"/>
          <w:color w:val="000000"/>
          <w:sz w:val="20"/>
        </w:rPr>
      </w:pPr>
      <w:r>
        <w:rPr>
          <w:rFonts w:ascii="Times New Roman" w:hAnsi="Times New Roman"/>
          <w:color w:val="000000"/>
          <w:sz w:val="20"/>
        </w:rPr>
        <w:t>(B) = the Exercise Price of this Warrant, as adjusted hereunder; and</w:t>
      </w:r>
    </w:p>
    <w:p>
      <w:pPr>
        <w:pStyle w:val="TextBody"/>
        <w:bidi w:val="0"/>
        <w:spacing w:before="1" w:after="283"/>
        <w:jc w:val="left"/>
        <w:rPr/>
      </w:pPr>
      <w:r>
        <w:rPr/>
        <w:t> </w:t>
      </w:r>
    </w:p>
    <w:p>
      <w:pPr>
        <w:pStyle w:val="TextBody"/>
        <w:pBdr/>
        <w:bidi w:val="0"/>
        <w:ind w:left="2160" w:right="733" w:hanging="630"/>
        <w:jc w:val="left"/>
        <w:rPr>
          <w:rFonts w:ascii="Times New Roman" w:hAnsi="Times New Roman"/>
          <w:color w:val="000000"/>
          <w:sz w:val="20"/>
        </w:rPr>
      </w:pPr>
      <w:r>
        <w:rPr>
          <w:rFonts w:ascii="Times New Roman" w:hAnsi="Times New Roman"/>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227" w:after="283"/>
        <w:ind w:left="720" w:right="714" w:firstLine="1440"/>
        <w:jc w:val="both"/>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other than the OTCQB or OTCQX,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are then listed or quoted on the OTCQB or OTCQX, the volume weighted average price of the Common Stock for such date (or the nearest preceding date) on OTCQB or OTCQX as applicable, (c) if the Common Stock is not then listed or quoted for trading on a Trading Market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11" w:after="283"/>
        <w:jc w:val="left"/>
        <w:rPr/>
      </w:pPr>
      <w:r>
        <w:rPr/>
        <w:t> </w:t>
      </w:r>
    </w:p>
    <w:p>
      <w:pPr>
        <w:pStyle w:val="TextBody"/>
        <w:bidi w:val="0"/>
        <w:ind w:left="2161" w:right="0" w:hanging="0"/>
        <w:jc w:val="both"/>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date, the price determined by the first of the following clauses that applies:</w:t>
      </w:r>
    </w:p>
    <w:p>
      <w:pPr>
        <w:pStyle w:val="TextBody"/>
        <w:bidi w:val="0"/>
        <w:ind w:left="720" w:right="709" w:hanging="0"/>
        <w:jc w:val="both"/>
        <w:rPr>
          <w:rFonts w:ascii="Times New Roman" w:hAnsi="Times New Roman"/>
          <w:color w:val="000000"/>
          <w:sz w:val="20"/>
        </w:rPr>
      </w:pPr>
      <w:r>
        <w:rPr>
          <w:rFonts w:ascii="Times New Roman" w:hAnsi="Times New Roman"/>
          <w:color w:val="000000"/>
          <w:sz w:val="20"/>
        </w:rPr>
        <w:t>(a) if the Common Stock is then listed or quoted on a Trading Market, other than the OTCQB or OTCQX,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are then listed or quoted on the OTCQB or OTCQX, the volume weighted average price of the Common Stock for such date (or the nearest preceding date) on OTCQB or OTCQX as applicable, (c) if the Common Stock is not then listed or quoted for trading on a Trading Market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1441" w:right="0" w:hanging="0"/>
        <w:jc w:val="left"/>
        <w:rPr>
          <w:rFonts w:ascii="Times New Roman" w:hAnsi="Times New Roman"/>
          <w:sz w:val="20"/>
        </w:rPr>
      </w:pPr>
      <w:bookmarkStart w:id="44" w:name="section_3___certain_adjustments_"/>
      <w:bookmarkEnd w:id="44"/>
      <w:r>
        <w:rPr>
          <w:rFonts w:ascii="Times New Roman" w:hAnsi="Times New Roman"/>
          <w:color w:val="000000"/>
          <w:sz w:val="20"/>
        </w:rPr>
        <w:t xml:space="preserve">Section 3.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11" w:after="283"/>
        <w:jc w:val="left"/>
        <w:rPr/>
      </w:pPr>
      <w:r>
        <w:rPr/>
        <w:t> </w:t>
      </w:r>
    </w:p>
    <w:p>
      <w:pPr>
        <w:pStyle w:val="TextBody"/>
        <w:bidi w:val="0"/>
        <w:ind w:left="720" w:right="749" w:firstLine="1440"/>
        <w:jc w:val="left"/>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Stock Dividends and Splits</w:t>
      </w:r>
      <w:r>
        <w:rPr>
          <w:rFonts w:ascii="Times New Roman" w:hAnsi="Times New Roman"/>
          <w:color w:val="000000"/>
          <w:sz w:val="20"/>
        </w:rPr>
        <w:t>. If the Company, at any time while this Warrant is outstanding: (i) pays a stock dividend or otherwise makes a distribution or distributions on shares of its Common Stock or any other</w:t>
      </w:r>
      <w:r>
        <w:rPr>
          <w:color w:val="000000"/>
        </w:rPr>
        <w:t xml:space="preserve"> </w:t>
      </w:r>
      <w:r>
        <w:rPr>
          <w:rFonts w:ascii="Times New Roman" w:hAnsi="Times New Roman"/>
          <w:color w:val="000000"/>
          <w:sz w:val="20"/>
        </w:rPr>
        <w:t>equity or equity equivalent securities payable in shares of Common Stock (which, for avoidance of doubt, shall not include any shares of Common Stock issued by the Company upon exercise of this</w:t>
      </w:r>
      <w:r>
        <w:rPr>
          <w:color w:val="000000"/>
        </w:rPr>
        <w:t xml:space="preserve"> </w:t>
      </w:r>
      <w:r>
        <w:rPr>
          <w:rFonts w:ascii="Times New Roman" w:hAnsi="Times New Roman"/>
          <w:color w:val="000000"/>
          <w:sz w:val="20"/>
        </w:rPr>
        <w:t>Warrant), (ii) subdivides</w:t>
      </w:r>
      <w:r>
        <w:rPr>
          <w:color w:val="000000"/>
        </w:rPr>
        <w:t xml:space="preserve"> </w:t>
      </w:r>
      <w:r>
        <w:rPr>
          <w:rFonts w:ascii="Times New Roman" w:hAnsi="Times New Roman"/>
          <w:color w:val="000000"/>
          <w:sz w:val="20"/>
        </w:rPr>
        <w:t>outstanding</w:t>
      </w:r>
      <w:r>
        <w:rPr>
          <w:color w:val="000000"/>
        </w:rPr>
        <w:t xml:space="preserve"> </w:t>
      </w:r>
      <w:r>
        <w:rPr>
          <w:rFonts w:ascii="Times New Roman" w:hAnsi="Times New Roman"/>
          <w:color w:val="000000"/>
          <w:sz w:val="20"/>
        </w:rPr>
        <w:t>shares of</w:t>
      </w:r>
      <w:r>
        <w:rPr>
          <w:color w:val="000000"/>
        </w:rPr>
        <w:t xml:space="preserve"> </w:t>
      </w:r>
      <w:r>
        <w:rPr>
          <w:rFonts w:ascii="Times New Roman" w:hAnsi="Times New Roman"/>
          <w:color w:val="000000"/>
          <w:sz w:val="20"/>
        </w:rPr>
        <w:t>Common Stock</w:t>
      </w:r>
      <w:r>
        <w:rPr>
          <w:color w:val="000000"/>
        </w:rPr>
        <w:t xml:space="preserve"> </w:t>
      </w:r>
      <w:r>
        <w:rPr>
          <w:rFonts w:ascii="Times New Roman" w:hAnsi="Times New Roman"/>
          <w:color w:val="000000"/>
          <w:sz w:val="20"/>
        </w:rPr>
        <w:t>into</w:t>
      </w:r>
      <w:r>
        <w:rPr>
          <w:color w:val="000000"/>
        </w:rPr>
        <w:t xml:space="preserve"> </w:t>
      </w:r>
      <w:r>
        <w:rPr>
          <w:rFonts w:ascii="Times New Roman" w:hAnsi="Times New Roman"/>
          <w:color w:val="000000"/>
          <w:sz w:val="20"/>
        </w:rPr>
        <w:t>a larger number</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shares, (iii)</w:t>
      </w:r>
      <w:r>
        <w:rPr>
          <w:color w:val="000000"/>
        </w:rPr>
        <w:t xml:space="preserve"> </w:t>
      </w:r>
      <w:r>
        <w:rPr>
          <w:rFonts w:ascii="Times New Roman" w:hAnsi="Times New Roman"/>
          <w:color w:val="000000"/>
          <w:sz w:val="20"/>
        </w:rPr>
        <w:t>combines (including</w:t>
      </w:r>
      <w:r>
        <w:rPr>
          <w:color w:val="000000"/>
        </w:rPr>
        <w:t xml:space="preserve"> </w:t>
      </w:r>
      <w:r>
        <w:rPr>
          <w:rFonts w:ascii="Times New Roman" w:hAnsi="Times New Roman"/>
          <w:color w:val="000000"/>
          <w:sz w:val="20"/>
        </w:rPr>
        <w:t>by way</w:t>
      </w:r>
      <w:r>
        <w:rPr>
          <w:color w:val="000000"/>
        </w:rPr>
        <w:t xml:space="preserve"> </w:t>
      </w:r>
      <w:r>
        <w:rPr>
          <w:rFonts w:ascii="Times New Roman" w:hAnsi="Times New Roman"/>
          <w:color w:val="000000"/>
          <w:sz w:val="20"/>
        </w:rPr>
        <w:t>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number of</w:t>
      </w:r>
      <w:r>
        <w:rPr>
          <w:color w:val="000000"/>
        </w:rPr>
        <w:t xml:space="preserve"> </w:t>
      </w:r>
      <w:r>
        <w:rPr>
          <w:rFonts w:ascii="Times New Roman" w:hAnsi="Times New Roman"/>
          <w:color w:val="000000"/>
          <w:sz w:val="20"/>
        </w:rPr>
        <w:t>shares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Common</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outstanding</w:t>
      </w:r>
      <w:r>
        <w:rPr>
          <w:color w:val="000000"/>
        </w:rPr>
        <w:t xml:space="preserve"> </w:t>
      </w:r>
      <w:r>
        <w:rPr>
          <w:rFonts w:ascii="Times New Roman" w:hAnsi="Times New Roman"/>
          <w:color w:val="000000"/>
          <w:sz w:val="20"/>
        </w:rPr>
        <w:t>immediately</w:t>
      </w:r>
      <w:r>
        <w:rPr>
          <w:color w:val="000000"/>
        </w:rPr>
        <w:t xml:space="preserve"> </w:t>
      </w:r>
      <w:r>
        <w:rPr>
          <w:rFonts w:ascii="Times New Roman" w:hAnsi="Times New Roman"/>
          <w:color w:val="000000"/>
          <w:sz w:val="20"/>
        </w:rPr>
        <w:t>after</w:t>
      </w:r>
      <w:r>
        <w:rPr>
          <w:color w:val="000000"/>
        </w:rPr>
        <w:t xml:space="preserve"> </w:t>
      </w:r>
      <w:r>
        <w:rPr>
          <w:rFonts w:ascii="Times New Roman" w:hAnsi="Times New Roman"/>
          <w:color w:val="000000"/>
          <w:sz w:val="20"/>
        </w:rPr>
        <w:t>such</w:t>
      </w:r>
      <w:r>
        <w:rPr>
          <w:color w:val="000000"/>
        </w:rPr>
        <w:t xml:space="preserve"> </w:t>
      </w:r>
      <w:r>
        <w:rPr>
          <w:rFonts w:ascii="Times New Roman" w:hAnsi="Times New Roman"/>
          <w:color w:val="000000"/>
          <w:sz w:val="20"/>
        </w:rPr>
        <w:t>event, and</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number of shares issuable upon exercise of this Warrant shall be proportionately adjusted such that the aggregate Exercise Price of</w:t>
      </w:r>
      <w:r>
        <w:rPr>
          <w:color w:val="000000"/>
        </w:rPr>
        <w:t xml:space="preserve"> </w:t>
      </w:r>
      <w:r>
        <w:rPr>
          <w:rFonts w:ascii="Times New Roman" w:hAnsi="Times New Roman"/>
          <w:color w:val="000000"/>
          <w:sz w:val="20"/>
        </w:rPr>
        <w:t>this Warrant shall remain unchanged.</w:t>
      </w:r>
      <w:r>
        <w:rPr>
          <w:color w:val="000000"/>
        </w:rPr>
        <w:t xml:space="preserve"> </w:t>
      </w:r>
      <w:r>
        <w:rPr>
          <w:rFonts w:ascii="Times New Roman" w:hAnsi="Times New Roman"/>
          <w:color w:val="000000"/>
          <w:sz w:val="20"/>
        </w:rPr>
        <w:t>Any adjustment made pursuant to this Section 3(a) shall become effective immediately after the record date for the determination of stockholders entitled to receive such dividend or distribution</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become</w:t>
      </w:r>
      <w:r>
        <w:rPr>
          <w:color w:val="000000"/>
        </w:rPr>
        <w:t xml:space="preserve"> </w:t>
      </w:r>
      <w:r>
        <w:rPr>
          <w:rFonts w:ascii="Times New Roman" w:hAnsi="Times New Roman"/>
          <w:color w:val="000000"/>
          <w:sz w:val="20"/>
        </w:rPr>
        <w:t>effective</w:t>
      </w:r>
      <w:r>
        <w:rPr>
          <w:color w:val="000000"/>
        </w:rPr>
        <w:t xml:space="preserve"> </w:t>
      </w:r>
      <w:r>
        <w:rPr>
          <w:rFonts w:ascii="Times New Roman" w:hAnsi="Times New Roman"/>
          <w:color w:val="000000"/>
          <w:sz w:val="20"/>
        </w:rPr>
        <w:t>immediately</w:t>
      </w:r>
      <w:r>
        <w:rPr>
          <w:color w:val="000000"/>
        </w:rPr>
        <w:t xml:space="preserve"> </w:t>
      </w:r>
      <w:r>
        <w:rPr>
          <w:rFonts w:ascii="Times New Roman" w:hAnsi="Times New Roman"/>
          <w:color w:val="000000"/>
          <w:sz w:val="20"/>
        </w:rPr>
        <w:t>after</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effective</w:t>
      </w:r>
      <w:r>
        <w:rPr>
          <w:color w:val="000000"/>
        </w:rPr>
        <w:t xml:space="preserve"> </w:t>
      </w:r>
      <w:r>
        <w:rPr>
          <w:rFonts w:ascii="Times New Roman" w:hAnsi="Times New Roman"/>
          <w:color w:val="000000"/>
          <w:sz w:val="20"/>
        </w:rPr>
        <w:t>date</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case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a subdivision,</w:t>
      </w:r>
      <w:r>
        <w:rPr>
          <w:color w:val="000000"/>
        </w:rPr>
        <w:t xml:space="preserve"> </w:t>
      </w:r>
      <w:r>
        <w:rPr>
          <w:rFonts w:ascii="Times New Roman" w:hAnsi="Times New Roman"/>
          <w:color w:val="000000"/>
          <w:sz w:val="20"/>
        </w:rPr>
        <w:t>combination or re-classification.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720" w:right="720" w:firstLine="1440"/>
        <w:jc w:val="left"/>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Fundamental Transaction</w:t>
      </w:r>
      <w:r>
        <w:rPr>
          <w:rFonts w:ascii="Times New Roman" w:hAnsi="Times New Roman"/>
          <w:color w:val="000000"/>
          <w:sz w:val="20"/>
        </w:rPr>
        <w:t>. If, at any time while this Warrant is outstanding, (i) the Company, directly or indirectly, in one or more related transactions effects any merger or consolidation of the Company with or into another Person, (ii) the Company (including all of its subsidiaries, taken as a whole) directly or indirectly, effects any sale, lease, license, assignment, transfer, conveyance or other disposition of all or substantially all of its assets, taken as a whole, in one or a series of related transactions, (iii) any, direct or indirect, purchase offer, tender offer</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exchange offer</w:t>
      </w:r>
      <w:r>
        <w:rPr>
          <w:color w:val="000000"/>
        </w:rPr>
        <w:t xml:space="preserve"> </w:t>
      </w:r>
      <w:r>
        <w:rPr>
          <w:rFonts w:ascii="Times New Roman" w:hAnsi="Times New Roman"/>
          <w:color w:val="000000"/>
          <w:sz w:val="20"/>
        </w:rPr>
        <w:t>(whether by</w:t>
      </w:r>
      <w:r>
        <w:rPr>
          <w:color w:val="000000"/>
        </w:rPr>
        <w:t xml:space="preserve"> </w:t>
      </w:r>
      <w:r>
        <w:rPr>
          <w:rFonts w:ascii="Times New Roman" w:hAnsi="Times New Roman"/>
          <w:color w:val="000000"/>
          <w:sz w:val="20"/>
        </w:rPr>
        <w:t>the Company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another Person)</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completed</w:t>
      </w:r>
      <w:r>
        <w:rPr>
          <w:color w:val="000000"/>
        </w:rPr>
        <w:t xml:space="preserve"> </w:t>
      </w:r>
      <w:r>
        <w:rPr>
          <w:rFonts w:ascii="Times New Roman" w:hAnsi="Times New Roman"/>
          <w:color w:val="000000"/>
          <w:sz w:val="20"/>
        </w:rPr>
        <w:t>pursuant to which holders of Common Stock are permitted to sell, tender or exchange their shares for other securities, cash or property</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has been</w:t>
      </w:r>
      <w:r>
        <w:rPr>
          <w:color w:val="000000"/>
        </w:rPr>
        <w:t xml:space="preserve"> </w:t>
      </w:r>
      <w:r>
        <w:rPr>
          <w:rFonts w:ascii="Times New Roman" w:hAnsi="Times New Roman"/>
          <w:color w:val="000000"/>
          <w:sz w:val="20"/>
        </w:rPr>
        <w:t>accepted</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holders</w:t>
      </w:r>
      <w:r>
        <w:rPr>
          <w:color w:val="000000"/>
        </w:rPr>
        <w:t xml:space="preserve"> </w:t>
      </w:r>
      <w:r>
        <w:rPr>
          <w:rFonts w:ascii="Times New Roman" w:hAnsi="Times New Roman"/>
          <w:color w:val="000000"/>
          <w:sz w:val="20"/>
        </w:rPr>
        <w:t>of 50% or</w:t>
      </w:r>
      <w:r>
        <w:rPr>
          <w:color w:val="000000"/>
        </w:rPr>
        <w:t xml:space="preserve"> </w:t>
      </w:r>
      <w:r>
        <w:rPr>
          <w:rFonts w:ascii="Times New Roman" w:hAnsi="Times New Roman"/>
          <w:color w:val="000000"/>
          <w:sz w:val="20"/>
        </w:rPr>
        <w:t>more 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outstanding</w:t>
      </w:r>
      <w:r>
        <w:rPr>
          <w:color w:val="000000"/>
        </w:rPr>
        <w:t xml:space="preserve"> </w:t>
      </w:r>
      <w:r>
        <w:rPr>
          <w:rFonts w:ascii="Times New Roman" w:hAnsi="Times New Roman"/>
          <w:color w:val="000000"/>
          <w:sz w:val="20"/>
        </w:rPr>
        <w:t>Common Stock or</w:t>
      </w:r>
      <w:r>
        <w:rPr>
          <w:color w:val="000000"/>
        </w:rPr>
        <w:t xml:space="preserve"> </w:t>
      </w:r>
      <w:r>
        <w:rPr>
          <w:rFonts w:ascii="Times New Roman" w:hAnsi="Times New Roman"/>
          <w:color w:val="000000"/>
          <w:sz w:val="20"/>
        </w:rPr>
        <w:t>50% or</w:t>
      </w:r>
      <w:r>
        <w:rPr>
          <w:color w:val="000000"/>
        </w:rPr>
        <w:t xml:space="preserve"> </w:t>
      </w:r>
      <w:r>
        <w:rPr>
          <w:rFonts w:ascii="Times New Roman" w:hAnsi="Times New Roman"/>
          <w:color w:val="000000"/>
          <w:sz w:val="20"/>
        </w:rPr>
        <w:t>more of the</w:t>
      </w:r>
      <w:r>
        <w:rPr>
          <w:color w:val="000000"/>
        </w:rPr>
        <w:t xml:space="preserve"> </w:t>
      </w:r>
      <w:r>
        <w:rPr>
          <w:rFonts w:ascii="Times New Roman" w:hAnsi="Times New Roman"/>
          <w:color w:val="000000"/>
          <w:sz w:val="20"/>
        </w:rPr>
        <w:t>voting</w:t>
      </w:r>
      <w:r>
        <w:rPr>
          <w:color w:val="000000"/>
        </w:rPr>
        <w:t xml:space="preserve"> </w:t>
      </w:r>
      <w:r>
        <w:rPr>
          <w:rFonts w:ascii="Times New Roman" w:hAnsi="Times New Roman"/>
          <w:color w:val="000000"/>
          <w:sz w:val="20"/>
        </w:rPr>
        <w:t>power 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outstanding</w:t>
      </w:r>
      <w:r>
        <w:rPr>
          <w:color w:val="000000"/>
        </w:rPr>
        <w:t xml:space="preserve"> </w:t>
      </w:r>
      <w:r>
        <w:rPr>
          <w:rFonts w:ascii="Times New Roman" w:hAnsi="Times New Roman"/>
          <w:color w:val="000000"/>
          <w:sz w:val="20"/>
        </w:rPr>
        <w:t>common</w:t>
      </w:r>
      <w:r>
        <w:rPr>
          <w:color w:val="000000"/>
        </w:rPr>
        <w:t xml:space="preserve"> </w:t>
      </w:r>
      <w:r>
        <w:rPr>
          <w:rFonts w:ascii="Times New Roman" w:hAnsi="Times New Roman"/>
          <w:color w:val="000000"/>
          <w:sz w:val="20"/>
        </w:rPr>
        <w:t>equity 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 (iv)</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 directly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indirectly, in one or more related transactions effects any reclassification, reorganization or recapitalization of the Common Stock or any</w:t>
      </w:r>
      <w:r>
        <w:rPr>
          <w:color w:val="000000"/>
        </w:rPr>
        <w:t xml:space="preserve"> </w:t>
      </w:r>
      <w:r>
        <w:rPr>
          <w:rFonts w:ascii="Times New Roman" w:hAnsi="Times New Roman"/>
          <w:color w:val="000000"/>
          <w:sz w:val="20"/>
        </w:rPr>
        <w:t>compulsory share</w:t>
      </w:r>
      <w:r>
        <w:rPr>
          <w:color w:val="000000"/>
        </w:rPr>
        <w:t xml:space="preserve"> </w:t>
      </w:r>
      <w:r>
        <w:rPr>
          <w:rFonts w:ascii="Times New Roman" w:hAnsi="Times New Roman"/>
          <w:color w:val="000000"/>
          <w:sz w:val="20"/>
        </w:rPr>
        <w:t>exchange pursuant to</w:t>
      </w:r>
      <w:r>
        <w:rPr>
          <w:color w:val="000000"/>
        </w:rPr>
        <w:t xml:space="preserve"> </w:t>
      </w:r>
      <w:r>
        <w:rPr>
          <w:rFonts w:ascii="Times New Roman" w:hAnsi="Times New Roman"/>
          <w:color w:val="000000"/>
          <w:sz w:val="20"/>
        </w:rPr>
        <w:t>which</w:t>
      </w:r>
      <w:r>
        <w:rPr>
          <w:color w:val="000000"/>
        </w:rPr>
        <w:t xml:space="preserve"> </w:t>
      </w:r>
      <w:r>
        <w:rPr>
          <w:rFonts w:ascii="Times New Roman" w:hAnsi="Times New Roman"/>
          <w:color w:val="000000"/>
          <w:sz w:val="20"/>
        </w:rPr>
        <w:t>the Common</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effectively</w:t>
      </w:r>
      <w:r>
        <w:rPr>
          <w:color w:val="000000"/>
        </w:rPr>
        <w:t xml:space="preserve"> </w:t>
      </w:r>
      <w:r>
        <w:rPr>
          <w:rFonts w:ascii="Times New Roman" w:hAnsi="Times New Roman"/>
          <w:color w:val="000000"/>
          <w:sz w:val="20"/>
        </w:rPr>
        <w:t>converted</w:t>
      </w:r>
      <w:r>
        <w:rPr>
          <w:color w:val="000000"/>
        </w:rPr>
        <w:t xml:space="preserve"> </w:t>
      </w:r>
      <w:r>
        <w:rPr>
          <w:rFonts w:ascii="Times New Roman" w:hAnsi="Times New Roman"/>
          <w:color w:val="000000"/>
          <w:sz w:val="20"/>
        </w:rPr>
        <w:t>into</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exchanged</w:t>
      </w:r>
      <w:r>
        <w:rPr>
          <w:color w:val="000000"/>
        </w:rPr>
        <w:t xml:space="preserve"> </w:t>
      </w:r>
      <w:r>
        <w:rPr>
          <w:rFonts w:ascii="Times New Roman" w:hAnsi="Times New Roman"/>
          <w:color w:val="000000"/>
          <w:sz w:val="20"/>
        </w:rPr>
        <w:t>for other securities, cash or property, or (v) the Company, directly or indirectly, in one or more related transactions consummates a stock or share purchase agreement or other business combination (including, without limitation, a reorganization,</w:t>
      </w:r>
      <w:r>
        <w:rPr>
          <w:color w:val="000000"/>
        </w:rPr>
        <w:t xml:space="preserve"> </w:t>
      </w:r>
      <w:r>
        <w:rPr>
          <w:rFonts w:ascii="Times New Roman" w:hAnsi="Times New Roman"/>
          <w:color w:val="000000"/>
          <w:sz w:val="20"/>
        </w:rPr>
        <w:t>recapitalization,</w:t>
      </w:r>
      <w:r>
        <w:rPr>
          <w:color w:val="000000"/>
        </w:rPr>
        <w:t xml:space="preserve"> </w:t>
      </w:r>
      <w:r>
        <w:rPr>
          <w:rFonts w:ascii="Times New Roman" w:hAnsi="Times New Roman"/>
          <w:color w:val="000000"/>
          <w:sz w:val="20"/>
        </w:rPr>
        <w:t>spin-off,</w:t>
      </w:r>
      <w:r>
        <w:rPr>
          <w:color w:val="000000"/>
        </w:rPr>
        <w:t xml:space="preserve"> </w:t>
      </w:r>
      <w:r>
        <w:rPr>
          <w:rFonts w:ascii="Times New Roman" w:hAnsi="Times New Roman"/>
          <w:color w:val="000000"/>
          <w:sz w:val="20"/>
        </w:rPr>
        <w:t>merger</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scheme</w:t>
      </w:r>
      <w:r>
        <w:rPr>
          <w:color w:val="000000"/>
        </w:rPr>
        <w:t xml:space="preserve"> </w:t>
      </w:r>
      <w:r>
        <w:rPr>
          <w:rFonts w:ascii="Times New Roman" w:hAnsi="Times New Roman"/>
          <w:color w:val="000000"/>
          <w:sz w:val="20"/>
        </w:rPr>
        <w:t>of arrangement) with another Person</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group</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Persons whereby such other Person or group acquires 50% or more of the outstanding shares of Common Stock or 50% or more of the voting power of the outstanding common equity of the Company (each a “</w:t>
      </w:r>
      <w:r>
        <w:rPr>
          <w:rFonts w:ascii="Times New Roman" w:hAnsi="Times New Roman"/>
          <w:color w:val="000000"/>
          <w:sz w:val="20"/>
          <w:u w:val="single"/>
        </w:rPr>
        <w:t>Fundamental Transaction</w:t>
      </w:r>
      <w:r>
        <w:rPr>
          <w:color w:val="000000"/>
        </w:rPr>
        <w:t>”</w:t>
      </w:r>
      <w:r>
        <w:rPr>
          <w:rFonts w:ascii="Times New Roman" w:hAnsi="Times New Roman"/>
          <w:color w:val="000000"/>
          <w:sz w:val="20"/>
        </w:rPr>
        <w:t>), then, upon any subsequent exercise of this Warrant, the Holder shall</w:t>
      </w:r>
      <w:r>
        <w:rPr>
          <w:color w:val="000000"/>
        </w:rPr>
        <w:t xml:space="preserve"> </w:t>
      </w:r>
      <w:r>
        <w:rPr>
          <w:rFonts w:ascii="Times New Roman" w:hAnsi="Times New Roman"/>
          <w:color w:val="000000"/>
          <w:sz w:val="20"/>
        </w:rPr>
        <w:t>have the right to receive, for each</w:t>
      </w:r>
      <w:r>
        <w:rPr>
          <w:color w:val="000000"/>
        </w:rPr>
        <w:t xml:space="preserve"> </w:t>
      </w:r>
      <w:r>
        <w:rPr>
          <w:rFonts w:ascii="Times New Roman" w:hAnsi="Times New Roman"/>
          <w:color w:val="000000"/>
          <w:sz w:val="20"/>
        </w:rPr>
        <w:t>Warrant Share that would have been issuable upon such exercise immediately prior to the occurrence of such Fundamental Transaction, at the option of the Holder, the number of shares of Common Stock of the successor or acquiring corporation or of the Company, if it is the surviving corporation, and any additional consideration (the “</w:t>
      </w:r>
      <w:r>
        <w:rPr>
          <w:rFonts w:ascii="Times New Roman" w:hAnsi="Times New Roman"/>
          <w:color w:val="000000"/>
          <w:sz w:val="20"/>
          <w:u w:val="single"/>
        </w:rPr>
        <w:t>Alternate</w:t>
      </w:r>
      <w:r>
        <w:rPr>
          <w:color w:val="000000"/>
        </w:rPr>
        <w:t xml:space="preserve"> </w:t>
      </w:r>
      <w:r>
        <w:rPr>
          <w:rFonts w:ascii="Times New Roman" w:hAnsi="Times New Roman"/>
          <w:color w:val="000000"/>
          <w:sz w:val="20"/>
          <w:u w:val="single"/>
        </w:rPr>
        <w:t>Consideration</w:t>
      </w:r>
      <w:r>
        <w:rPr>
          <w:color w:val="000000"/>
        </w:rPr>
        <w:t>”</w:t>
      </w:r>
      <w:r>
        <w:rPr>
          <w:rFonts w:ascii="Times New Roman" w:hAnsi="Times New Roman"/>
          <w:color w:val="000000"/>
          <w:sz w:val="20"/>
        </w:rPr>
        <w:t>) receivable as a result of such Fundamental Transaction by a holder of the number of shares of Common Stock for which this Warrant is exercisable immediately prior to such Fundamental Transaction.</w:t>
      </w:r>
      <w:r>
        <w:rPr>
          <w:color w:val="000000"/>
        </w:rPr>
        <w:t xml:space="preserve"> </w:t>
      </w:r>
      <w:r>
        <w:rPr>
          <w:rFonts w:ascii="Times New Roman" w:hAnsi="Times New Roman"/>
          <w:color w:val="000000"/>
          <w:sz w:val="20"/>
        </w:rPr>
        <w:t>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w:t>
      </w:r>
      <w:r>
        <w:rPr>
          <w:color w:val="000000"/>
        </w:rPr>
        <w:t xml:space="preserve"> </w:t>
      </w:r>
      <w:r>
        <w:rPr>
          <w:rFonts w:ascii="Times New Roman" w:hAnsi="Times New Roman"/>
          <w:color w:val="000000"/>
          <w:sz w:val="20"/>
        </w:rPr>
        <w:t>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w:t>
      </w:r>
      <w:r>
        <w:rPr>
          <w:color w:val="000000"/>
        </w:rPr>
        <w:t xml:space="preserve"> </w:t>
      </w:r>
      <w:r>
        <w:rPr>
          <w:rFonts w:ascii="Times New Roman" w:hAnsi="Times New Roman"/>
          <w:color w:val="000000"/>
          <w:sz w:val="20"/>
        </w:rPr>
        <w:t>anything</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contrary,</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event of</w:t>
      </w:r>
      <w:r>
        <w:rPr>
          <w:color w:val="000000"/>
        </w:rPr>
        <w:t xml:space="preserve"> </w:t>
      </w:r>
      <w:r>
        <w:rPr>
          <w:rFonts w:ascii="Times New Roman" w:hAnsi="Times New Roman"/>
          <w:color w:val="000000"/>
          <w:sz w:val="20"/>
        </w:rPr>
        <w:t>a Fundamental</w:t>
      </w:r>
      <w:r>
        <w:rPr>
          <w:color w:val="000000"/>
        </w:rPr>
        <w:t xml:space="preserve"> </w:t>
      </w:r>
      <w:r>
        <w:rPr>
          <w:rFonts w:ascii="Times New Roman" w:hAnsi="Times New Roman"/>
          <w:color w:val="000000"/>
          <w:sz w:val="20"/>
        </w:rPr>
        <w:t>Transaction,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w:t>
      </w:r>
      <w:r>
        <w:rPr>
          <w:color w:val="000000"/>
        </w:rPr>
        <w:t xml:space="preserve"> </w:t>
      </w:r>
      <w:r>
        <w:rPr>
          <w:rFonts w:ascii="Times New Roman" w:hAnsi="Times New Roman"/>
          <w:color w:val="000000"/>
          <w:sz w:val="20"/>
        </w:rPr>
        <w:t xml:space="preserve">(as defined below) of the remaining unexercised portion of this Warrant on the date of the consummation of such Fundamental Transaction;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Fundamental Transaction is not within the Company's control, including not approved by the Company's Board of Directors, Holder shall only be entitled to receive from the Company or any Successor Entity, the same type or form of consideration (and in the same proportion), valued at the Black Scholes Value of the unexercised portion of this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720" w:right="753" w:hanging="0"/>
        <w:jc w:val="left"/>
        <w:rPr>
          <w:rFonts w:ascii="Times New Roman" w:hAnsi="Times New Roman"/>
          <w:sz w:val="20"/>
        </w:rPr>
      </w:pPr>
      <w:r>
        <w:rPr>
          <w:rFonts w:ascii="Times New Roman" w:hAnsi="Times New Roman"/>
          <w:color w:val="000000"/>
          <w:sz w:val="20"/>
        </w:rPr>
        <w:t xml:space="preserve">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hAnsi="Times New Roman"/>
          <w:color w:val="000000"/>
          <w:sz w:val="20"/>
          <w:u w:val="single"/>
        </w:rPr>
        <w:t>Black Scholes Value</w:t>
      </w:r>
      <w:r>
        <w:rPr>
          <w:rFonts w:ascii="Times New Roman" w:hAnsi="Times New Roman"/>
          <w:color w:val="000000"/>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3(b)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hAnsi="Times New Roman"/>
          <w:color w:val="000000"/>
          <w:sz w:val="20"/>
          <w:u w:val="single"/>
        </w:rPr>
        <w:t>Successor Entity</w:t>
      </w:r>
      <w:r>
        <w:rPr>
          <w:rFonts w:ascii="Times New Roman" w:hAnsi="Times New Roman"/>
          <w:color w:val="000000"/>
          <w:sz w:val="20"/>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provided, however, that if the Successor Entity or an affiliate thereof elects not to assume or otherwise terminates the Services Agreement (or a successor agreement thereto then in effect), no additional Warrant Shares shall vest following such termination; provided further that the Holder shall retain the right to exercise this Warrant with respect to any vested but unexercised Warrant Shares, or to exercise its option to receive the Black-Scholes Value with respect to, any Warrant Shares that are vested as of such time, in each case pursuant to the terms and subject to the conditions set forth herein.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14" w:after="283"/>
        <w:jc w:val="left"/>
        <w:rPr/>
      </w:pPr>
      <w:r>
        <w:rPr/>
        <w:t> </w:t>
      </w:r>
    </w:p>
    <w:p>
      <w:pPr>
        <w:pStyle w:val="TextBody"/>
        <w:bidi w:val="0"/>
        <w:ind w:left="720" w:right="749" w:firstLine="1440"/>
        <w:jc w:val="left"/>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Calculations</w:t>
      </w:r>
      <w:r>
        <w:rPr>
          <w:rFonts w:ascii="Times New Roman" w:hAnsi="Times New Roman"/>
          <w:color w:val="000000"/>
          <w:sz w:val="20"/>
        </w:rPr>
        <w:t>.</w:t>
      </w:r>
      <w:r>
        <w:rPr>
          <w:color w:val="000000"/>
        </w:rPr>
        <w:t xml:space="preserve"> </w:t>
      </w:r>
      <w:r>
        <w:rPr>
          <w:rFonts w:ascii="Times New Roman" w:hAnsi="Times New Roman"/>
          <w:color w:val="000000"/>
          <w:sz w:val="20"/>
        </w:rPr>
        <w:t>All</w:t>
      </w:r>
      <w:r>
        <w:rPr>
          <w:color w:val="000000"/>
        </w:rPr>
        <w:t xml:space="preserve"> </w:t>
      </w:r>
      <w:r>
        <w:rPr>
          <w:rFonts w:ascii="Times New Roman" w:hAnsi="Times New Roman"/>
          <w:color w:val="000000"/>
          <w:sz w:val="20"/>
        </w:rPr>
        <w:t>calculations</w:t>
      </w:r>
      <w:r>
        <w:rPr>
          <w:color w:val="000000"/>
        </w:rPr>
        <w:t xml:space="preserve"> </w:t>
      </w:r>
      <w:r>
        <w:rPr>
          <w:rFonts w:ascii="Times New Roman" w:hAnsi="Times New Roman"/>
          <w:color w:val="000000"/>
          <w:sz w:val="20"/>
        </w:rPr>
        <w:t>under</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Section</w:t>
      </w:r>
      <w:r>
        <w:rPr>
          <w:color w:val="000000"/>
        </w:rPr>
        <w:t xml:space="preserve"> </w:t>
      </w:r>
      <w:r>
        <w:rPr>
          <w:rFonts w:ascii="Times New Roman" w:hAnsi="Times New Roman"/>
          <w:color w:val="000000"/>
          <w:sz w:val="20"/>
        </w:rPr>
        <w:t>3</w:t>
      </w:r>
      <w:r>
        <w:rPr>
          <w:color w:val="000000"/>
        </w:rPr>
        <w:t xml:space="preserve"> </w:t>
      </w:r>
      <w:r>
        <w:rPr>
          <w:rFonts w:ascii="Times New Roman" w:hAnsi="Times New Roman"/>
          <w:color w:val="000000"/>
          <w:sz w:val="20"/>
        </w:rPr>
        <w:t>shall be</w:t>
      </w:r>
      <w:r>
        <w:rPr>
          <w:color w:val="000000"/>
        </w:rPr>
        <w:t xml:space="preserve"> </w:t>
      </w:r>
      <w:r>
        <w:rPr>
          <w:rFonts w:ascii="Times New Roman" w:hAnsi="Times New Roman"/>
          <w:color w:val="000000"/>
          <w:sz w:val="20"/>
        </w:rPr>
        <w:t>made</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nearest</w:t>
      </w:r>
      <w:r>
        <w:rPr>
          <w:color w:val="000000"/>
        </w:rPr>
        <w:t xml:space="preserve"> </w:t>
      </w:r>
      <w:r>
        <w:rPr>
          <w:rFonts w:ascii="Times New Roman" w:hAnsi="Times New Roman"/>
          <w:color w:val="000000"/>
          <w:sz w:val="20"/>
        </w:rPr>
        <w:t>cent</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the nearest 1/100th of a share, as the case may be. For purposes</w:t>
      </w:r>
      <w:r>
        <w:rPr>
          <w:color w:val="000000"/>
        </w:rPr>
        <w:t xml:space="preserve"> </w:t>
      </w:r>
      <w:r>
        <w:rPr>
          <w:rFonts w:ascii="Times New Roman" w:hAnsi="Times New Roman"/>
          <w:color w:val="000000"/>
          <w:sz w:val="20"/>
        </w:rPr>
        <w:t>of this Section 3, the number of shares of Common Stock deemed to be issued and outstanding as of</w:t>
      </w:r>
      <w:r>
        <w:rPr>
          <w:color w:val="000000"/>
        </w:rPr>
        <w:t xml:space="preserve"> </w:t>
      </w:r>
      <w:r>
        <w:rPr>
          <w:rFonts w:ascii="Times New Roman" w:hAnsi="Times New Roman"/>
          <w:color w:val="000000"/>
          <w:sz w:val="20"/>
        </w:rPr>
        <w:t>a given date shall be the sum of the number of shares of Common Stock (excluding treasury shares, if any) issued and outstanding.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2160" w:right="0" w:hanging="0"/>
        <w:jc w:val="left"/>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Notice</w:t>
      </w:r>
      <w:r>
        <w:rPr>
          <w:color w:val="000000"/>
          <w:u w:val="single"/>
        </w:rPr>
        <w:t xml:space="preserve"> </w:t>
      </w:r>
      <w:r>
        <w:rPr>
          <w:rFonts w:ascii="Times New Roman" w:hAnsi="Times New Roman"/>
          <w:color w:val="000000"/>
          <w:sz w:val="20"/>
          <w:u w:val="single"/>
        </w:rPr>
        <w:t>to</w:t>
      </w:r>
      <w:r>
        <w:rPr>
          <w:color w:val="000000"/>
          <w:u w:val="single"/>
        </w:rPr>
        <w:t xml:space="preserve"> </w:t>
      </w:r>
      <w:r>
        <w:rPr>
          <w:rFonts w:ascii="Times New Roman" w:hAnsi="Times New Roman"/>
          <w:color w:val="000000"/>
          <w:sz w:val="20"/>
          <w:u w:val="single"/>
        </w:rPr>
        <w:t>Holder</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2160" w:right="806" w:firstLine="720"/>
        <w:jc w:val="left"/>
        <w:rPr>
          <w:rFonts w:ascii="Times New Roman" w:hAnsi="Times New Roman"/>
          <w:color w:val="000000"/>
          <w:sz w:val="20"/>
        </w:rPr>
      </w:pPr>
      <w:r>
        <w:rPr>
          <w:rFonts w:ascii="Times New Roman" w:hAnsi="Times New Roman"/>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Adjustment</w:t>
      </w:r>
      <w:r>
        <w:rPr>
          <w:color w:val="000000"/>
          <w:u w:val="single"/>
        </w:rPr>
        <w:t xml:space="preserve"> </w:t>
      </w:r>
      <w:r>
        <w:rPr>
          <w:rFonts w:ascii="Times New Roman" w:hAnsi="Times New Roman"/>
          <w:color w:val="000000"/>
          <w:sz w:val="20"/>
          <w:u w:val="single"/>
        </w:rPr>
        <w:t>to</w:t>
      </w:r>
      <w:r>
        <w:rPr>
          <w:color w:val="000000"/>
          <w:u w:val="single"/>
        </w:rPr>
        <w:t xml:space="preserve"> </w:t>
      </w:r>
      <w:r>
        <w:rPr>
          <w:rFonts w:ascii="Times New Roman" w:hAnsi="Times New Roman"/>
          <w:color w:val="000000"/>
          <w:sz w:val="20"/>
          <w:u w:val="single"/>
        </w:rPr>
        <w:t>Exercise</w:t>
      </w:r>
      <w:r>
        <w:rPr>
          <w:color w:val="000000"/>
          <w:u w:val="single"/>
        </w:rPr>
        <w:t xml:space="preserve"> </w:t>
      </w:r>
      <w:r>
        <w:rPr>
          <w:rFonts w:ascii="Times New Roman" w:hAnsi="Times New Roman"/>
          <w:color w:val="000000"/>
          <w:sz w:val="20"/>
          <w:u w:val="single"/>
        </w:rPr>
        <w:t>Price</w:t>
      </w:r>
      <w:r>
        <w:rPr>
          <w:rFonts w:ascii="Times New Roman" w:hAnsi="Times New Roman"/>
          <w:color w:val="000000"/>
          <w:sz w:val="20"/>
        </w:rPr>
        <w:t>.</w:t>
      </w:r>
      <w:r>
        <w:rPr>
          <w:color w:val="000000"/>
        </w:rPr>
        <w:t xml:space="preserve"> </w:t>
      </w:r>
      <w:r>
        <w:rPr>
          <w:rFonts w:ascii="Times New Roman" w:hAnsi="Times New Roman"/>
          <w:color w:val="000000"/>
          <w:sz w:val="20"/>
        </w:rPr>
        <w:t>Whenever</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Exercise</w:t>
      </w:r>
      <w:r>
        <w:rPr>
          <w:color w:val="000000"/>
        </w:rPr>
        <w:t xml:space="preserve"> </w:t>
      </w:r>
      <w:r>
        <w:rPr>
          <w:rFonts w:ascii="Times New Roman" w:hAnsi="Times New Roman"/>
          <w:color w:val="000000"/>
          <w:sz w:val="20"/>
        </w:rPr>
        <w:t>Price</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adjusted</w:t>
      </w:r>
      <w:r>
        <w:rPr>
          <w:color w:val="000000"/>
        </w:rPr>
        <w:t xml:space="preserve"> </w:t>
      </w:r>
      <w:r>
        <w:rPr>
          <w:rFonts w:ascii="Times New Roman" w:hAnsi="Times New Roman"/>
          <w:color w:val="000000"/>
          <w:sz w:val="20"/>
        </w:rPr>
        <w:t>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ind w:left="2160" w:right="720" w:firstLine="720"/>
        <w:jc w:val="left"/>
        <w:rPr>
          <w:rFonts w:ascii="Times New Roman" w:hAnsi="Times New Roman"/>
          <w:color w:val="000000"/>
          <w:sz w:val="20"/>
        </w:rPr>
      </w:pPr>
      <w:r>
        <w:rPr>
          <w:rFonts w:ascii="Times New Roman" w:hAnsi="Times New Roman"/>
          <w:color w:val="000000"/>
          <w:sz w:val="20"/>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Notice to Allow Exercise by Holder</w:t>
      </w:r>
      <w:r>
        <w:rPr>
          <w:rFonts w:ascii="Times New Roman" w:hAnsi="Times New Roman"/>
          <w:color w:val="000000"/>
          <w:sz w:val="20"/>
        </w:rPr>
        <w:t>. If (A) the Company shall declare a</w:t>
      </w:r>
      <w:r>
        <w:rPr>
          <w:color w:val="000000"/>
        </w:rPr>
        <w:t xml:space="preserve"> </w:t>
      </w:r>
      <w:r>
        <w:rPr>
          <w:rFonts w:ascii="Times New Roman" w:hAnsi="Times New Roman"/>
          <w:color w:val="000000"/>
          <w:sz w:val="20"/>
        </w:rPr>
        <w:t>dividend (or any other distribution in whatever form) on the Common Stock, (B) the Company shall declare a special nonrecurring cash dividend on or a redemption of the Common Stock, (C) the Company shall authorize the granting</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all holders of</w:t>
      </w:r>
      <w:r>
        <w:rPr>
          <w:color w:val="000000"/>
        </w:rPr>
        <w:t xml:space="preserve"> </w:t>
      </w:r>
      <w:r>
        <w:rPr>
          <w:rFonts w:ascii="Times New Roman" w:hAnsi="Times New Roman"/>
          <w:color w:val="000000"/>
          <w:sz w:val="20"/>
        </w:rPr>
        <w:t>the Common</w:t>
      </w:r>
      <w:r>
        <w:rPr>
          <w:color w:val="000000"/>
        </w:rPr>
        <w:t xml:space="preserve"> </w:t>
      </w:r>
      <w:r>
        <w:rPr>
          <w:rFonts w:ascii="Times New Roman" w:hAnsi="Times New Roman"/>
          <w:color w:val="000000"/>
          <w:sz w:val="20"/>
        </w:rPr>
        <w:t>Stock</w:t>
      </w:r>
      <w:r>
        <w:rPr>
          <w:color w:val="000000"/>
        </w:rPr>
        <w:t xml:space="preserve"> </w:t>
      </w:r>
      <w:r>
        <w:rPr>
          <w:rFonts w:ascii="Times New Roman" w:hAnsi="Times New Roman"/>
          <w:color w:val="000000"/>
          <w:sz w:val="20"/>
        </w:rPr>
        <w:t>rights</w:t>
      </w:r>
      <w:r>
        <w:rPr>
          <w:color w:val="000000"/>
        </w:rPr>
        <w:t xml:space="preserve"> </w:t>
      </w:r>
      <w:r>
        <w:rPr>
          <w:rFonts w:ascii="Times New Roman" w:hAnsi="Times New Roman"/>
          <w:color w:val="000000"/>
          <w:sz w:val="20"/>
        </w:rPr>
        <w:t>or warrants</w:t>
      </w:r>
      <w:r>
        <w:rPr>
          <w:color w:val="000000"/>
        </w:rPr>
        <w:t xml:space="preserve"> </w:t>
      </w:r>
      <w:r>
        <w:rPr>
          <w:rFonts w:ascii="Times New Roman" w:hAnsi="Times New Roman"/>
          <w:color w:val="000000"/>
          <w:sz w:val="20"/>
        </w:rPr>
        <w:t>to subscribe for or purchase any shares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capital stock</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class or</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any rights, (D)</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approval of any stockholders of the Company shall be required in connection with any reclassification of</w:t>
      </w:r>
      <w:r>
        <w:rPr>
          <w:color w:val="000000"/>
        </w:rPr>
        <w:t xml:space="preserve"> </w:t>
      </w:r>
      <w:r>
        <w:rPr>
          <w:rFonts w:ascii="Times New Roman" w:hAnsi="Times New Roman"/>
          <w:color w:val="000000"/>
          <w:sz w:val="20"/>
        </w:rPr>
        <w:t>the Common Stock, any consolidation or merger to which the</w:t>
      </w:r>
      <w:r>
        <w:rPr>
          <w:color w:val="000000"/>
        </w:rPr>
        <w:t xml:space="preserve"> </w:t>
      </w:r>
      <w:r>
        <w:rPr>
          <w:rFonts w:ascii="Times New Roman" w:hAnsi="Times New Roman"/>
          <w:color w:val="000000"/>
          <w:sz w:val="20"/>
        </w:rPr>
        <w:t>Company (or any of its</w:t>
      </w:r>
      <w:r>
        <w:rPr>
          <w:color w:val="000000"/>
        </w:rPr>
        <w:t xml:space="preserve"> </w:t>
      </w:r>
      <w:r>
        <w:rPr>
          <w:rFonts w:ascii="Times New Roman" w:hAnsi="Times New Roman"/>
          <w:color w:val="000000"/>
          <w:sz w:val="20"/>
        </w:rPr>
        <w:t>Subsidiaries) is</w:t>
      </w:r>
      <w:r>
        <w:rPr>
          <w:color w:val="000000"/>
        </w:rPr>
        <w:t xml:space="preserve"> </w:t>
      </w:r>
      <w:r>
        <w:rPr>
          <w:rFonts w:ascii="Times New Roman" w:hAnsi="Times New Roman"/>
          <w:color w:val="000000"/>
          <w:sz w:val="20"/>
        </w:rPr>
        <w:t>a party, any</w:t>
      </w:r>
      <w:r>
        <w:rPr>
          <w:color w:val="000000"/>
        </w:rPr>
        <w:t xml:space="preserve"> </w:t>
      </w:r>
      <w:r>
        <w:rPr>
          <w:rFonts w:ascii="Times New Roman" w:hAnsi="Times New Roman"/>
          <w:color w:val="000000"/>
          <w:sz w:val="20"/>
        </w:rPr>
        <w:t>sale or</w:t>
      </w:r>
      <w:r>
        <w:rPr>
          <w:color w:val="000000"/>
        </w:rPr>
        <w:t xml:space="preserve"> </w:t>
      </w:r>
      <w:r>
        <w:rPr>
          <w:rFonts w:ascii="Times New Roman" w:hAnsi="Times New Roman"/>
          <w:color w:val="000000"/>
          <w:sz w:val="20"/>
        </w:rPr>
        <w:t>transfer</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all or</w:t>
      </w:r>
      <w:r>
        <w:rPr>
          <w:color w:val="000000"/>
        </w:rPr>
        <w:t xml:space="preserve"> </w:t>
      </w:r>
      <w:r>
        <w:rPr>
          <w:rFonts w:ascii="Times New Roman" w:hAnsi="Times New Roman"/>
          <w:color w:val="000000"/>
          <w:sz w:val="20"/>
        </w:rPr>
        <w:t>substantially</w:t>
      </w:r>
      <w:r>
        <w:rPr>
          <w:color w:val="000000"/>
        </w:rPr>
        <w:t xml:space="preserve"> </w:t>
      </w:r>
      <w:r>
        <w:rPr>
          <w:rFonts w:ascii="Times New Roman" w:hAnsi="Times New Roman"/>
          <w:color w:val="000000"/>
          <w:sz w:val="20"/>
        </w:rPr>
        <w:t>all of</w:t>
      </w:r>
      <w:r>
        <w:rPr>
          <w:color w:val="000000"/>
        </w:rPr>
        <w:t xml:space="preserve"> </w:t>
      </w:r>
      <w:r>
        <w:rPr>
          <w:rFonts w:ascii="Times New Roman" w:hAnsi="Times New Roman"/>
          <w:color w:val="000000"/>
          <w:sz w:val="20"/>
        </w:rPr>
        <w:t>the assets of</w:t>
      </w:r>
      <w:r>
        <w:rPr>
          <w:color w:val="000000"/>
        </w:rPr>
        <w:t xml:space="preserve"> </w:t>
      </w:r>
      <w:r>
        <w:rPr>
          <w:rFonts w:ascii="Times New Roman" w:hAnsi="Times New Roman"/>
          <w:color w:val="000000"/>
          <w:sz w:val="20"/>
        </w:rPr>
        <w:t>the Company, or any compulsory share exchange whereby the Common Stock is converted into other securities, cash or property, or any Fundamental Transaction, or (E) the Company shall authorize the voluntary or involuntary dissolution, liquidation or winding up of the affairs of the</w:t>
      </w:r>
      <w:r>
        <w:rPr>
          <w:color w:val="000000"/>
        </w:rPr>
        <w:t xml:space="preserve"> </w:t>
      </w:r>
      <w:r>
        <w:rPr>
          <w:rFonts w:ascii="Times New Roman" w:hAnsi="Times New Roman"/>
          <w:color w:val="000000"/>
          <w:sz w:val="20"/>
        </w:rPr>
        <w:t>Company,</w:t>
      </w:r>
      <w:r>
        <w:rPr>
          <w:color w:val="000000"/>
        </w:rPr>
        <w:t xml:space="preserve"> </w:t>
      </w:r>
      <w:r>
        <w:rPr>
          <w:rFonts w:ascii="Times New Roman" w:hAnsi="Times New Roman"/>
          <w:color w:val="000000"/>
          <w:sz w:val="20"/>
        </w:rPr>
        <w:t>then, in each case, the Company shall cause to be delivered by email to the Holder at its</w:t>
      </w:r>
      <w:r>
        <w:rPr>
          <w:color w:val="000000"/>
        </w:rPr>
        <w:t xml:space="preserve"> </w:t>
      </w:r>
      <w:r>
        <w:rPr>
          <w:rFonts w:ascii="Times New Roman" w:hAnsi="Times New Roman"/>
          <w:color w:val="000000"/>
          <w:sz w:val="20"/>
        </w:rPr>
        <w:t>last</w:t>
      </w:r>
      <w:r>
        <w:rPr>
          <w:color w:val="000000"/>
        </w:rPr>
        <w:t xml:space="preserve"> </w:t>
      </w:r>
      <w:r>
        <w:rPr>
          <w:rFonts w:ascii="Times New Roman" w:hAnsi="Times New Roman"/>
          <w:color w:val="000000"/>
          <w:sz w:val="20"/>
        </w:rPr>
        <w:t>email address as it shall appear upon the Warrant Register of the Company, at least 10 calendar days prior to the applicable record or effective date hereinafter specified, a notice (unless such information is publicly filed with the Commission using its EDGAR system, in which case a</w:t>
      </w:r>
      <w:r>
        <w:rPr>
          <w:color w:val="000000"/>
        </w:rPr>
        <w:t xml:space="preserve"> </w:t>
      </w:r>
      <w:r>
        <w:rPr>
          <w:rFonts w:ascii="Times New Roman" w:hAnsi="Times New Roman"/>
          <w:color w:val="000000"/>
          <w:sz w:val="20"/>
        </w:rPr>
        <w:t>notice shall not be required) stating</w:t>
      </w:r>
      <w:r>
        <w:rPr>
          <w:color w:val="000000"/>
        </w:rPr>
        <w:t xml:space="preserve"> </w:t>
      </w:r>
      <w:r>
        <w:rPr>
          <w:rFonts w:ascii="Times New Roman" w:hAnsi="Times New Roman"/>
          <w:color w:val="000000"/>
          <w:sz w:val="20"/>
        </w:rPr>
        <w:t>(x)</w:t>
      </w:r>
      <w:r>
        <w:rPr>
          <w:color w:val="000000"/>
        </w:rPr>
        <w:t xml:space="preserve"> </w:t>
      </w:r>
      <w:r>
        <w:rPr>
          <w:rFonts w:ascii="Times New Roman" w:hAnsi="Times New Roman"/>
          <w:color w:val="000000"/>
          <w:sz w:val="20"/>
        </w:rPr>
        <w:t>the date on</w:t>
      </w:r>
      <w:r>
        <w:rPr>
          <w:color w:val="000000"/>
        </w:rPr>
        <w:t xml:space="preserve"> </w:t>
      </w:r>
      <w:r>
        <w:rPr>
          <w:rFonts w:ascii="Times New Roman" w:hAnsi="Times New Roman"/>
          <w:color w:val="000000"/>
          <w:sz w:val="20"/>
        </w:rPr>
        <w:t>which</w:t>
      </w:r>
      <w:r>
        <w:rPr>
          <w:color w:val="000000"/>
        </w:rPr>
        <w:t xml:space="preserve"> </w:t>
      </w:r>
      <w:r>
        <w:rPr>
          <w:rFonts w:ascii="Times New Roman" w:hAnsi="Times New Roman"/>
          <w:color w:val="000000"/>
          <w:sz w:val="20"/>
        </w:rPr>
        <w:t>a record</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be taken</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the purpose of such dividend, distribution, redemption, rights or warrants, or if a record is not to be taken, the</w:t>
      </w:r>
      <w:r>
        <w:rPr>
          <w:color w:val="000000"/>
        </w:rPr>
        <w:t xml:space="preserve"> </w:t>
      </w:r>
      <w:r>
        <w:rPr>
          <w:rFonts w:ascii="Times New Roman" w:hAnsi="Times New Roman"/>
          <w:color w:val="000000"/>
          <w:sz w:val="20"/>
        </w:rPr>
        <w:t>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extent</w:t>
      </w:r>
      <w:r>
        <w:rPr>
          <w:color w:val="000000"/>
        </w:rPr>
        <w:t xml:space="preserve"> </w:t>
      </w:r>
      <w:r>
        <w:rPr>
          <w:rFonts w:ascii="Times New Roman" w:hAnsi="Times New Roman"/>
          <w:color w:val="000000"/>
          <w:sz w:val="20"/>
        </w:rPr>
        <w:t>that</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notice provided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constitutes,</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contains,</w:t>
      </w:r>
      <w:r>
        <w:rPr>
          <w:color w:val="000000"/>
        </w:rPr>
        <w:t xml:space="preserve"> </w:t>
      </w:r>
      <w:r>
        <w:rPr>
          <w:rFonts w:ascii="Times New Roman" w:hAnsi="Times New Roman"/>
          <w:color w:val="000000"/>
          <w:sz w:val="20"/>
        </w:rPr>
        <w:t>material,</w:t>
      </w:r>
      <w:r>
        <w:rPr>
          <w:color w:val="000000"/>
        </w:rPr>
        <w:t xml:space="preserve"> </w:t>
      </w:r>
      <w:r>
        <w:rPr>
          <w:rFonts w:ascii="Times New Roman" w:hAnsi="Times New Roman"/>
          <w:color w:val="000000"/>
          <w:sz w:val="20"/>
        </w:rPr>
        <w:t>non-public information regarding the Company or</w:t>
      </w:r>
      <w:r>
        <w:rPr>
          <w:color w:val="000000"/>
        </w:rPr>
        <w:t xml:space="preserve"> </w:t>
      </w:r>
      <w:r>
        <w:rPr>
          <w:rFonts w:ascii="Times New Roman" w:hAnsi="Times New Roman"/>
          <w:color w:val="000000"/>
          <w:sz w:val="20"/>
        </w:rPr>
        <w:t>any of the Subsidiaries, the Company shall simultaneously file</w:t>
      </w:r>
      <w:r>
        <w:rPr>
          <w:color w:val="000000"/>
        </w:rPr>
        <w:t xml:space="preserve"> </w:t>
      </w:r>
      <w:r>
        <w:rPr>
          <w:rFonts w:ascii="Times New Roman" w:hAnsi="Times New Roman"/>
          <w:color w:val="000000"/>
          <w:sz w:val="20"/>
        </w:rPr>
        <w:t>such notice with</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Commission pursuant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Current</w:t>
      </w:r>
      <w:r>
        <w:rPr>
          <w:color w:val="000000"/>
        </w:rPr>
        <w:t xml:space="preserve"> </w:t>
      </w:r>
      <w:r>
        <w:rPr>
          <w:rFonts w:ascii="Times New Roman" w:hAnsi="Times New Roman"/>
          <w:color w:val="000000"/>
          <w:sz w:val="20"/>
        </w:rPr>
        <w:t>Report</w:t>
      </w:r>
      <w:r>
        <w:rPr>
          <w:color w:val="000000"/>
        </w:rPr>
        <w:t xml:space="preserve"> </w:t>
      </w:r>
      <w:r>
        <w:rPr>
          <w:rFonts w:ascii="Times New Roman" w:hAnsi="Times New Roman"/>
          <w:color w:val="000000"/>
          <w:sz w:val="20"/>
        </w:rPr>
        <w:t>on</w:t>
      </w:r>
      <w:r>
        <w:rPr>
          <w:color w:val="000000"/>
        </w:rPr>
        <w:t xml:space="preserve"> </w:t>
      </w:r>
      <w:r>
        <w:rPr>
          <w:rFonts w:ascii="Times New Roman" w:hAnsi="Times New Roman"/>
          <w:color w:val="000000"/>
          <w:sz w:val="20"/>
        </w:rPr>
        <w:t>Form 8-K.</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w:t>
      </w:r>
      <w:r>
        <w:rPr>
          <w:color w:val="000000"/>
        </w:rPr>
        <w:t xml:space="preserve"> </w:t>
      </w:r>
      <w:r>
        <w:rPr>
          <w:rFonts w:ascii="Times New Roman" w:hAnsi="Times New Roman"/>
          <w:color w:val="000000"/>
          <w:sz w:val="20"/>
        </w:rPr>
        <w:t>shall remain entitled to exercise this Warrant during the period commencing on the date of such notice to the effective date of the event triggering such notice except as may otherwise be expressly set forth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5" w:after="283"/>
        <w:jc w:val="left"/>
        <w:rPr/>
      </w:pPr>
      <w:r>
        <w:rPr/>
        <w:t> </w:t>
      </w:r>
    </w:p>
    <w:p>
      <w:pPr>
        <w:pStyle w:val="TextBody"/>
        <w:bidi w:val="0"/>
        <w:ind w:left="1441" w:right="0" w:hanging="0"/>
        <w:jc w:val="left"/>
        <w:rPr>
          <w:rFonts w:ascii="Times New Roman" w:hAnsi="Times New Roman"/>
          <w:sz w:val="20"/>
        </w:rPr>
      </w:pPr>
      <w:bookmarkStart w:id="45" w:name="section_4___transfer_of_warrant_"/>
      <w:bookmarkEnd w:id="45"/>
      <w:r>
        <w:rPr>
          <w:rFonts w:ascii="Times New Roman" w:hAnsi="Times New Roman"/>
          <w:color w:val="000000"/>
          <w:sz w:val="20"/>
        </w:rPr>
        <w:t xml:space="preserve">Section 4.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spacing w:before="11" w:after="283"/>
        <w:jc w:val="left"/>
        <w:rPr/>
      </w:pPr>
      <w:r>
        <w:rPr/>
        <w:t> </w:t>
      </w:r>
    </w:p>
    <w:p>
      <w:pPr>
        <w:pStyle w:val="TextBody"/>
        <w:bidi w:val="0"/>
        <w:ind w:left="720" w:right="821" w:firstLine="1440"/>
        <w:jc w:val="left"/>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Transferability</w:t>
      </w:r>
      <w:r>
        <w:rPr>
          <w:rFonts w:ascii="Times New Roman" w:hAnsi="Times New Roman"/>
          <w:color w:val="000000"/>
          <w:sz w:val="20"/>
        </w:rPr>
        <w:t>.</w:t>
      </w:r>
      <w:r>
        <w:rPr>
          <w:color w:val="000000"/>
        </w:rPr>
        <w:t xml:space="preserve"> </w:t>
      </w:r>
      <w:r>
        <w:rPr>
          <w:rFonts w:ascii="Times New Roman" w:hAnsi="Times New Roman"/>
          <w:color w:val="000000"/>
          <w:sz w:val="20"/>
        </w:rPr>
        <w:t>Neither</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nor</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rights</w:t>
      </w:r>
      <w:r>
        <w:rPr>
          <w:color w:val="000000"/>
        </w:rPr>
        <w:t xml:space="preserve"> </w:t>
      </w:r>
      <w:r>
        <w:rPr>
          <w:rFonts w:ascii="Times New Roman" w:hAnsi="Times New Roman"/>
          <w:color w:val="000000"/>
          <w:sz w:val="20"/>
        </w:rPr>
        <w:t>hereunder</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transferred, in whole or in part, without the prior written consent of the Company. Notwithstanding the foregoing, the Holder may transfer Warrant Shares (but not this Warrant) without the Company’s prior written consent to Todd E. Rasmussen, M.D. (“</w:t>
      </w:r>
      <w:r>
        <w:rPr>
          <w:rFonts w:ascii="Times New Roman" w:hAnsi="Times New Roman"/>
          <w:color w:val="000000"/>
          <w:sz w:val="20"/>
          <w:u w:val="single"/>
        </w:rPr>
        <w:t>Dr. Rasmussen</w:t>
      </w:r>
      <w:r>
        <w:rPr>
          <w:color w:val="000000"/>
        </w:rPr>
        <w:t>”</w:t>
      </w:r>
      <w:r>
        <w:rPr>
          <w:rFonts w:ascii="Times New Roman" w:hAnsi="Times New Roman"/>
          <w:color w:val="000000"/>
          <w:sz w:val="20"/>
        </w:rPr>
        <w:t>), in accordance with Holder’s internal royalty sharing policy and applicable federal and state securities laws. This</w:t>
      </w:r>
      <w:r>
        <w:rPr>
          <w:color w:val="000000"/>
        </w:rPr>
        <w:t xml:space="preserve"> </w:t>
      </w:r>
      <w:r>
        <w:rPr>
          <w:rFonts w:ascii="Times New Roman" w:hAnsi="Times New Roman"/>
          <w:color w:val="000000"/>
          <w:sz w:val="20"/>
        </w:rPr>
        <w:t>Warrant and the Warrant Shares</w:t>
      </w:r>
      <w:r>
        <w:rPr>
          <w:color w:val="000000"/>
        </w:rPr>
        <w:t xml:space="preserve"> </w:t>
      </w:r>
      <w:r>
        <w:rPr>
          <w:rFonts w:ascii="Times New Roman" w:hAnsi="Times New Roman"/>
          <w:color w:val="000000"/>
          <w:sz w:val="20"/>
        </w:rPr>
        <w:t>may not be transferred or assigned in whole or in part except in compliance with</w:t>
      </w:r>
      <w:r>
        <w:rPr>
          <w:color w:val="000000"/>
        </w:rPr>
        <w:t xml:space="preserve"> </w:t>
      </w:r>
      <w:r>
        <w:rPr>
          <w:rFonts w:ascii="Times New Roman" w:hAnsi="Times New Roman"/>
          <w:color w:val="000000"/>
          <w:sz w:val="20"/>
        </w:rPr>
        <w:t>applicable federal and state securities</w:t>
      </w:r>
      <w:r>
        <w:rPr>
          <w:color w:val="000000"/>
        </w:rPr>
        <w:t xml:space="preserve"> </w:t>
      </w:r>
      <w:r>
        <w:rPr>
          <w:rFonts w:ascii="Times New Roman" w:hAnsi="Times New Roman"/>
          <w:color w:val="000000"/>
          <w:sz w:val="20"/>
        </w:rPr>
        <w:t>laws</w:t>
      </w:r>
      <w:r>
        <w:rPr>
          <w:color w:val="000000"/>
        </w:rPr>
        <w:t xml:space="preserve"> </w:t>
      </w:r>
      <w:r>
        <w:rPr>
          <w:rFonts w:ascii="Times New Roman" w:hAnsi="Times New Roman"/>
          <w:color w:val="000000"/>
          <w:sz w:val="20"/>
        </w:rPr>
        <w:t>by the transferor and the transferee (including, without limitation, the delivery of investment representation letters and legal opinions reasonably satisfactory to the Company, as reasonably requested by the Company).</w:t>
      </w:r>
      <w:r>
        <w:rPr>
          <w:color w:val="000000"/>
        </w:rPr>
        <w:t xml:space="preserve"> </w:t>
      </w:r>
      <w:r>
        <w:rPr>
          <w:rFonts w:ascii="Times New Roman" w:hAnsi="Times New Roman"/>
          <w:color w:val="000000"/>
          <w:sz w:val="20"/>
        </w:rPr>
        <w:t>The Company shall not require Holder to provide an opinion of counsel if the transfer is to any Affiliate of the Holder or Dr. Rasmussen, provided that any such transferee is an “accredited investor” as defined in Regulation D promulgated under the Securities Act. Additionally, the Company shall also not require an opinion</w:t>
      </w:r>
      <w:r>
        <w:rPr>
          <w:color w:val="000000"/>
        </w:rPr>
        <w:t xml:space="preserve"> </w:t>
      </w:r>
      <w:r>
        <w:rPr>
          <w:rFonts w:ascii="Times New Roman" w:hAnsi="Times New Roman"/>
          <w:color w:val="000000"/>
          <w:sz w:val="20"/>
        </w:rPr>
        <w:t>of counsel if there is no material question as to the availability of Rule 144.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3" w:after="283"/>
        <w:jc w:val="left"/>
        <w:rPr/>
      </w:pPr>
      <w:r>
        <w:rPr/>
        <w:t> </w:t>
      </w:r>
    </w:p>
    <w:p>
      <w:pPr>
        <w:pStyle w:val="TextBody"/>
        <w:bidi w:val="0"/>
        <w:ind w:left="720" w:right="893" w:firstLine="1440"/>
        <w:jc w:val="left"/>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w:t>
      </w:r>
      <w:r>
        <w:rPr>
          <w:color w:val="000000"/>
        </w:rPr>
        <w:t xml:space="preserve"> </w:t>
      </w:r>
      <w:r>
        <w:rPr>
          <w:rFonts w:ascii="Times New Roman" w:hAnsi="Times New Roman"/>
          <w:color w:val="000000"/>
          <w:sz w:val="20"/>
        </w:rPr>
        <w:t>hereof</w:t>
      </w:r>
      <w:r>
        <w:rPr>
          <w:color w:val="000000"/>
        </w:rPr>
        <w:t xml:space="preserve"> </w:t>
      </w:r>
      <w:r>
        <w:rPr>
          <w:rFonts w:ascii="Times New Roman" w:hAnsi="Times New Roman"/>
          <w:color w:val="000000"/>
          <w:sz w:val="20"/>
        </w:rPr>
        <w:t>at</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aforesaid office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w:t>
      </w:r>
      <w:r>
        <w:rPr>
          <w:color w:val="000000"/>
        </w:rPr>
        <w:t xml:space="preserve"> </w:t>
      </w:r>
      <w:r>
        <w:rPr>
          <w:rFonts w:ascii="Times New Roman" w:hAnsi="Times New Roman"/>
          <w:color w:val="000000"/>
          <w:sz w:val="20"/>
        </w:rPr>
        <w:t>together</w:t>
      </w:r>
      <w:r>
        <w:rPr>
          <w:color w:val="000000"/>
        </w:rPr>
        <w:t xml:space="preserve"> </w:t>
      </w:r>
      <w:r>
        <w:rPr>
          <w:rFonts w:ascii="Times New Roman" w:hAnsi="Times New Roman"/>
          <w:color w:val="000000"/>
          <w:sz w:val="20"/>
        </w:rPr>
        <w:t>with</w:t>
      </w:r>
      <w:r>
        <w:rPr>
          <w:color w:val="000000"/>
        </w:rPr>
        <w:t xml:space="preserve"> </w:t>
      </w:r>
      <w:r>
        <w:rPr>
          <w:rFonts w:ascii="Times New Roman" w:hAnsi="Times New Roman"/>
          <w:color w:val="000000"/>
          <w:sz w:val="20"/>
        </w:rPr>
        <w:t>a written</w:t>
      </w:r>
      <w:r>
        <w:rPr>
          <w:color w:val="000000"/>
        </w:rPr>
        <w:t xml:space="preserve"> </w:t>
      </w:r>
      <w:r>
        <w:rPr>
          <w:rFonts w:ascii="Times New Roman" w:hAnsi="Times New Roman"/>
          <w:color w:val="000000"/>
          <w:sz w:val="20"/>
        </w:rPr>
        <w:t>notice</w:t>
      </w:r>
      <w:r>
        <w:rPr>
          <w:color w:val="000000"/>
        </w:rPr>
        <w:t xml:space="preserve"> </w:t>
      </w:r>
      <w:r>
        <w:rPr>
          <w:rFonts w:ascii="Times New Roman" w:hAnsi="Times New Roman"/>
          <w:color w:val="000000"/>
          <w:sz w:val="20"/>
        </w:rPr>
        <w:t>specifying</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names</w:t>
      </w:r>
      <w:r>
        <w:rPr>
          <w:color w:val="000000"/>
        </w:rPr>
        <w:t xml:space="preserve"> </w:t>
      </w:r>
      <w:r>
        <w:rPr>
          <w:rFonts w:ascii="Times New Roman" w:hAnsi="Times New Roman"/>
          <w:color w:val="000000"/>
          <w:sz w:val="20"/>
        </w:rPr>
        <w:t>and denominations in which new Warrants are to be issued, signed by the Holder or its agent or attorney.</w:t>
      </w:r>
      <w:r>
        <w:rPr>
          <w:color w:val="000000"/>
        </w:rPr>
        <w:t xml:space="preserve"> </w:t>
      </w:r>
      <w:r>
        <w:rPr>
          <w:rFonts w:ascii="Times New Roman" w:hAnsi="Times New Roman"/>
          <w:color w:val="000000"/>
          <w:sz w:val="20"/>
        </w:rPr>
        <w:t>Subject 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720" w:right="807" w:hanging="0"/>
        <w:jc w:val="left"/>
        <w:rPr>
          <w:rFonts w:ascii="Times New Roman" w:hAnsi="Times New Roman"/>
          <w:color w:val="000000"/>
          <w:sz w:val="20"/>
        </w:rPr>
      </w:pPr>
      <w:r>
        <w:rPr>
          <w:rFonts w:ascii="Times New Roman" w:hAnsi="Times New Roman"/>
          <w:color w:val="000000"/>
          <w:sz w:val="20"/>
        </w:rPr>
        <w:t>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8" w:after="283"/>
        <w:jc w:val="left"/>
        <w:rPr/>
      </w:pPr>
      <w:r>
        <w:rPr/>
        <w:t> </w:t>
      </w:r>
    </w:p>
    <w:p>
      <w:pPr>
        <w:pStyle w:val="TextBody"/>
        <w:bidi w:val="0"/>
        <w:ind w:left="720" w:right="763" w:firstLine="1440"/>
        <w:jc w:val="left"/>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Warrant Register</w:t>
      </w:r>
      <w:r>
        <w:rPr>
          <w:rFonts w:ascii="Times New Roman" w:hAnsi="Times New Roman"/>
          <w:color w:val="000000"/>
          <w:sz w:val="20"/>
        </w:rPr>
        <w:t>. The Company shall register this Warrant, upon records to be maintained</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the Company</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that</w:t>
      </w:r>
      <w:r>
        <w:rPr>
          <w:color w:val="000000"/>
        </w:rPr>
        <w:t xml:space="preserve"> </w:t>
      </w:r>
      <w:r>
        <w:rPr>
          <w:rFonts w:ascii="Times New Roman" w:hAnsi="Times New Roman"/>
          <w:color w:val="000000"/>
          <w:sz w:val="20"/>
        </w:rPr>
        <w:t>purpose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u w:val="single"/>
        </w:rPr>
        <w:t>Warrant</w:t>
      </w:r>
      <w:r>
        <w:rPr>
          <w:color w:val="000000"/>
          <w:u w:val="single"/>
        </w:rPr>
        <w:t xml:space="preserve"> </w:t>
      </w:r>
      <w:r>
        <w:rPr>
          <w:rFonts w:ascii="Times New Roman" w:hAnsi="Times New Roman"/>
          <w:color w:val="000000"/>
          <w:sz w:val="20"/>
          <w:u w:val="single"/>
        </w:rPr>
        <w:t>Register</w:t>
      </w:r>
      <w:r>
        <w:rPr>
          <w:color w:val="000000"/>
        </w:rPr>
        <w:t>”</w:t>
      </w:r>
      <w:r>
        <w:rPr>
          <w:rFonts w:ascii="Times New Roman" w:hAnsi="Times New Roman"/>
          <w:color w:val="000000"/>
          <w:sz w:val="20"/>
        </w:rPr>
        <w:t>),</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name 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record</w:t>
      </w:r>
      <w:r>
        <w:rPr>
          <w:color w:val="000000"/>
        </w:rPr>
        <w:t xml:space="preserve"> </w:t>
      </w:r>
      <w:r>
        <w:rPr>
          <w:rFonts w:ascii="Times New Roman" w:hAnsi="Times New Roman"/>
          <w:color w:val="000000"/>
          <w:sz w:val="20"/>
        </w:rPr>
        <w:t>Holder</w:t>
      </w:r>
      <w:r>
        <w:rPr>
          <w:color w:val="000000"/>
        </w:rPr>
        <w:t xml:space="preserve"> </w:t>
      </w:r>
      <w:r>
        <w:rPr>
          <w:rFonts w:ascii="Times New Roman" w:hAnsi="Times New Roman"/>
          <w:color w:val="000000"/>
          <w:sz w:val="20"/>
        </w:rPr>
        <w:t>hereof</w:t>
      </w:r>
      <w:r>
        <w:rPr>
          <w:color w:val="000000"/>
        </w:rPr>
        <w:t xml:space="preserve"> </w:t>
      </w:r>
      <w:r>
        <w:rPr>
          <w:rFonts w:ascii="Times New Roman" w:hAnsi="Times New Roman"/>
          <w:color w:val="000000"/>
          <w:sz w:val="20"/>
        </w:rPr>
        <w:t>from time to time.</w:t>
      </w:r>
      <w:r>
        <w:rPr>
          <w:color w:val="000000"/>
        </w:rPr>
        <w:t xml:space="preserve"> </w:t>
      </w:r>
      <w:r>
        <w:rPr>
          <w:rFonts w:ascii="Times New Roman" w:hAnsi="Times New Roman"/>
          <w:color w:val="000000"/>
          <w:sz w:val="20"/>
        </w:rPr>
        <w:t>The Company may deem</w:t>
      </w:r>
      <w:r>
        <w:rPr>
          <w:color w:val="000000"/>
        </w:rPr>
        <w:t xml:space="preserve"> </w:t>
      </w:r>
      <w:r>
        <w:rPr>
          <w:rFonts w:ascii="Times New Roman" w:hAnsi="Times New Roman"/>
          <w:color w:val="000000"/>
          <w:sz w:val="20"/>
        </w:rPr>
        <w:t>and treat the registered Holder of this Warrant</w:t>
      </w:r>
      <w:r>
        <w:rPr>
          <w:color w:val="000000"/>
        </w:rPr>
        <w:t xml:space="preserve"> </w:t>
      </w:r>
      <w:r>
        <w:rPr>
          <w:rFonts w:ascii="Times New Roman" w:hAnsi="Times New Roman"/>
          <w:color w:val="000000"/>
          <w:sz w:val="20"/>
        </w:rPr>
        <w:t>as the absolute owner hereof for the purpose of any exercise hereof or any distribution to the Holder, and for all other purposes, absent actual notice to the contrary.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3" w:after="283"/>
        <w:jc w:val="left"/>
        <w:rPr/>
      </w:pPr>
      <w:r>
        <w:rPr/>
        <w:t> </w:t>
      </w:r>
    </w:p>
    <w:p>
      <w:pPr>
        <w:pStyle w:val="TextBody"/>
        <w:bidi w:val="0"/>
        <w:ind w:left="1441" w:right="0" w:hanging="0"/>
        <w:jc w:val="left"/>
        <w:rPr>
          <w:rFonts w:ascii="Times New Roman" w:hAnsi="Times New Roman"/>
          <w:sz w:val="20"/>
        </w:rPr>
      </w:pPr>
      <w:bookmarkStart w:id="46" w:name="section_5___miscellaneous_"/>
      <w:bookmarkEnd w:id="46"/>
      <w:r>
        <w:rPr>
          <w:rFonts w:ascii="Times New Roman" w:hAnsi="Times New Roman"/>
          <w:color w:val="000000"/>
          <w:sz w:val="20"/>
        </w:rPr>
        <w:t xml:space="preserve">Section 5.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10" w:after="283"/>
        <w:jc w:val="left"/>
        <w:rPr/>
      </w:pPr>
      <w:r>
        <w:rPr/>
        <w:t> </w:t>
      </w:r>
    </w:p>
    <w:p>
      <w:pPr>
        <w:pStyle w:val="TextBody"/>
        <w:bidi w:val="0"/>
        <w:ind w:left="720" w:right="778" w:firstLine="1440"/>
        <w:jc w:val="left"/>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No Rights</w:t>
      </w:r>
      <w:r>
        <w:rPr>
          <w:color w:val="000000"/>
          <w:u w:val="single"/>
        </w:rPr>
        <w:t xml:space="preserve"> </w:t>
      </w:r>
      <w:r>
        <w:rPr>
          <w:rFonts w:ascii="Times New Roman" w:hAnsi="Times New Roman"/>
          <w:color w:val="000000"/>
          <w:sz w:val="20"/>
          <w:u w:val="single"/>
        </w:rPr>
        <w:t>as Stockholder</w:t>
      </w:r>
      <w:r>
        <w:rPr>
          <w:color w:val="000000"/>
          <w:u w:val="single"/>
        </w:rPr>
        <w:t xml:space="preserve"> </w:t>
      </w:r>
      <w:r>
        <w:rPr>
          <w:rFonts w:ascii="Times New Roman" w:hAnsi="Times New Roman"/>
          <w:color w:val="000000"/>
          <w:sz w:val="20"/>
          <w:u w:val="single"/>
        </w:rPr>
        <w:t>Until Exercise; No</w:t>
      </w:r>
      <w:r>
        <w:rPr>
          <w:color w:val="000000"/>
          <w:u w:val="single"/>
        </w:rPr>
        <w:t xml:space="preserve"> </w:t>
      </w:r>
      <w:r>
        <w:rPr>
          <w:rFonts w:ascii="Times New Roman" w:hAnsi="Times New Roman"/>
          <w:color w:val="000000"/>
          <w:sz w:val="20"/>
          <w:u w:val="single"/>
        </w:rPr>
        <w:t>Settlement in</w:t>
      </w:r>
      <w:r>
        <w:rPr>
          <w:color w:val="000000"/>
          <w:u w:val="single"/>
        </w:rPr>
        <w:t xml:space="preserve"> </w:t>
      </w:r>
      <w:r>
        <w:rPr>
          <w:rFonts w:ascii="Times New Roman" w:hAnsi="Times New Roman"/>
          <w:color w:val="000000"/>
          <w:sz w:val="20"/>
          <w:u w:val="single"/>
        </w:rPr>
        <w:t>Cash</w:t>
      </w:r>
      <w:r>
        <w:rPr>
          <w:rFonts w:ascii="Times New Roman" w:hAnsi="Times New Roman"/>
          <w:color w:val="000000"/>
          <w:sz w:val="20"/>
        </w:rPr>
        <w:t>.</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 does not entitle the Holder to any voting rights, dividends or other rights as a stockholder of the Company prior to the exercise hereof</w:t>
      </w:r>
      <w:r>
        <w:rPr>
          <w:color w:val="000000"/>
        </w:rPr>
        <w:t xml:space="preserve"> </w:t>
      </w:r>
      <w:r>
        <w:rPr>
          <w:rFonts w:ascii="Times New Roman" w:hAnsi="Times New Roman"/>
          <w:color w:val="000000"/>
          <w:sz w:val="20"/>
        </w:rPr>
        <w:t>as set forth</w:t>
      </w:r>
      <w:r>
        <w:rPr>
          <w:color w:val="000000"/>
        </w:rPr>
        <w:t xml:space="preserve"> </w:t>
      </w:r>
      <w:r>
        <w:rPr>
          <w:rFonts w:ascii="Times New Roman" w:hAnsi="Times New Roman"/>
          <w:color w:val="000000"/>
          <w:sz w:val="20"/>
        </w:rPr>
        <w:t>in Section 2(d)(i), except as</w:t>
      </w:r>
      <w:r>
        <w:rPr>
          <w:color w:val="000000"/>
        </w:rPr>
        <w:t xml:space="preserve"> </w:t>
      </w:r>
      <w:r>
        <w:rPr>
          <w:rFonts w:ascii="Times New Roman" w:hAnsi="Times New Roman"/>
          <w:color w:val="000000"/>
          <w:sz w:val="20"/>
        </w:rPr>
        <w:t>expressly set forth</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Section 3.</w:t>
      </w:r>
      <w:r>
        <w:rPr>
          <w:color w:val="000000"/>
        </w:rPr>
        <w:t xml:space="preserve"> </w:t>
      </w:r>
      <w:r>
        <w:rPr>
          <w:rFonts w:ascii="Times New Roman" w:hAnsi="Times New Roman"/>
          <w:color w:val="000000"/>
          <w:sz w:val="20"/>
        </w:rPr>
        <w:t>Without limiting</w:t>
      </w:r>
      <w:r>
        <w:rPr>
          <w:color w:val="000000"/>
        </w:rPr>
        <w:t xml:space="preserve"> </w:t>
      </w:r>
      <w:r>
        <w:rPr>
          <w:rFonts w:ascii="Times New Roman" w:hAnsi="Times New Roman"/>
          <w:color w:val="000000"/>
          <w:sz w:val="20"/>
        </w:rPr>
        <w:t>the rights of a</w:t>
      </w:r>
      <w:r>
        <w:rPr>
          <w:color w:val="000000"/>
        </w:rPr>
        <w:t xml:space="preserve"> </w:t>
      </w:r>
      <w:r>
        <w:rPr>
          <w:rFonts w:ascii="Times New Roman" w:hAnsi="Times New Roman"/>
          <w:color w:val="000000"/>
          <w:sz w:val="20"/>
        </w:rPr>
        <w:t>Holder</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receive</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Shares on</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cashless</w:t>
      </w:r>
      <w:r>
        <w:rPr>
          <w:color w:val="000000"/>
        </w:rPr>
        <w:t xml:space="preserve"> </w:t>
      </w:r>
      <w:r>
        <w:rPr>
          <w:rFonts w:ascii="Times New Roman" w:hAnsi="Times New Roman"/>
          <w:color w:val="000000"/>
          <w:sz w:val="20"/>
        </w:rPr>
        <w:t>exercise”</w:t>
      </w:r>
      <w:r>
        <w:rPr>
          <w:color w:val="000000"/>
        </w:rPr>
        <w:t xml:space="preserve"> </w:t>
      </w:r>
      <w:r>
        <w:rPr>
          <w:rFonts w:ascii="Times New Roman" w:hAnsi="Times New Roman"/>
          <w:color w:val="000000"/>
          <w:sz w:val="20"/>
        </w:rPr>
        <w:t>pursuant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Section</w:t>
      </w:r>
      <w:r>
        <w:rPr>
          <w:color w:val="000000"/>
        </w:rPr>
        <w:t xml:space="preserve"> </w:t>
      </w:r>
      <w:r>
        <w:rPr>
          <w:rFonts w:ascii="Times New Roman" w:hAnsi="Times New Roman"/>
          <w:color w:val="000000"/>
          <w:sz w:val="20"/>
        </w:rPr>
        <w:t>2(e), or</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receive</w:t>
      </w:r>
      <w:r>
        <w:rPr>
          <w:color w:val="000000"/>
        </w:rPr>
        <w:t xml:space="preserve"> </w:t>
      </w:r>
      <w:r>
        <w:rPr>
          <w:rFonts w:ascii="Times New Roman" w:hAnsi="Times New Roman"/>
          <w:color w:val="000000"/>
          <w:sz w:val="20"/>
        </w:rPr>
        <w:t>cash</w:t>
      </w:r>
      <w:r>
        <w:rPr>
          <w:color w:val="000000"/>
        </w:rPr>
        <w:t xml:space="preserve"> </w:t>
      </w:r>
      <w:r>
        <w:rPr>
          <w:rFonts w:ascii="Times New Roman" w:hAnsi="Times New Roman"/>
          <w:color w:val="000000"/>
          <w:sz w:val="20"/>
        </w:rPr>
        <w:t>payments contemplated by Section 2(d)(iv), in no event will the Company be required to net cash settle an exercise of this Warrant.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ind w:left="720" w:right="734" w:firstLine="1440"/>
        <w:jc w:val="left"/>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Loss, Theft, Destruction or Mutilation of Warrant</w:t>
      </w:r>
      <w:r>
        <w:rPr>
          <w:rFonts w:ascii="Times New Roman" w:hAnsi="Times New Roman"/>
          <w:color w:val="000000"/>
          <w:sz w:val="20"/>
        </w:rPr>
        <w:t>. The Company covenants that upon receipt by the Company of evidence reasonably satisfactory to it of the loss, theft, destruction or mutilation of this Warrant or</w:t>
      </w:r>
      <w:r>
        <w:rPr>
          <w:color w:val="000000"/>
        </w:rPr>
        <w:t xml:space="preserve"> </w:t>
      </w:r>
      <w:r>
        <w:rPr>
          <w:rFonts w:ascii="Times New Roman" w:hAnsi="Times New Roman"/>
          <w:color w:val="000000"/>
          <w:sz w:val="20"/>
        </w:rPr>
        <w:t>any stock</w:t>
      </w:r>
      <w:r>
        <w:rPr>
          <w:color w:val="000000"/>
        </w:rPr>
        <w:t xml:space="preserve"> </w:t>
      </w:r>
      <w:r>
        <w:rPr>
          <w:rFonts w:ascii="Times New Roman" w:hAnsi="Times New Roman"/>
          <w:color w:val="000000"/>
          <w:sz w:val="20"/>
        </w:rPr>
        <w:t>certificate relating</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 Warrant Shares, and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case of</w:t>
      </w:r>
      <w:r>
        <w:rPr>
          <w:color w:val="000000"/>
        </w:rPr>
        <w:t xml:space="preserve"> </w:t>
      </w:r>
      <w:r>
        <w:rPr>
          <w:rFonts w:ascii="Times New Roman" w:hAnsi="Times New Roman"/>
          <w:color w:val="000000"/>
          <w:sz w:val="20"/>
        </w:rPr>
        <w:t>loss, theft or</w:t>
      </w:r>
      <w:r>
        <w:rPr>
          <w:color w:val="000000"/>
        </w:rPr>
        <w:t xml:space="preserve"> </w:t>
      </w:r>
      <w:r>
        <w:rPr>
          <w:rFonts w:ascii="Times New Roman" w:hAnsi="Times New Roman"/>
          <w:color w:val="000000"/>
          <w:sz w:val="20"/>
        </w:rPr>
        <w:t>destruction, of</w:t>
      </w:r>
      <w:r>
        <w:rPr>
          <w:color w:val="000000"/>
        </w:rPr>
        <w:t xml:space="preserve"> </w:t>
      </w:r>
      <w:r>
        <w:rPr>
          <w:rFonts w:ascii="Times New Roman" w:hAnsi="Times New Roman"/>
          <w:color w:val="000000"/>
          <w:sz w:val="20"/>
        </w:rPr>
        <w:t>indemnity or security</w:t>
      </w:r>
      <w:r>
        <w:rPr>
          <w:color w:val="000000"/>
        </w:rPr>
        <w:t xml:space="preserve"> </w:t>
      </w:r>
      <w:r>
        <w:rPr>
          <w:rFonts w:ascii="Times New Roman" w:hAnsi="Times New Roman"/>
          <w:color w:val="000000"/>
          <w:sz w:val="20"/>
        </w:rPr>
        <w:t>reasonably</w:t>
      </w:r>
      <w:r>
        <w:rPr>
          <w:color w:val="000000"/>
        </w:rPr>
        <w:t xml:space="preserve"> </w:t>
      </w:r>
      <w:r>
        <w:rPr>
          <w:rFonts w:ascii="Times New Roman" w:hAnsi="Times New Roman"/>
          <w:color w:val="000000"/>
          <w:sz w:val="20"/>
        </w:rPr>
        <w:t>satisfactory</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it</w:t>
      </w:r>
      <w:r>
        <w:rPr>
          <w:color w:val="000000"/>
        </w:rPr>
        <w:t xml:space="preserve"> </w:t>
      </w:r>
      <w:r>
        <w:rPr>
          <w:rFonts w:ascii="Times New Roman" w:hAnsi="Times New Roman"/>
          <w:color w:val="000000"/>
          <w:sz w:val="20"/>
        </w:rPr>
        <w:t>(which,</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case 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not</w:t>
      </w:r>
      <w:r>
        <w:rPr>
          <w:color w:val="000000"/>
        </w:rPr>
        <w:t xml:space="preserve"> </w:t>
      </w:r>
      <w:r>
        <w:rPr>
          <w:rFonts w:ascii="Times New Roman" w:hAnsi="Times New Roman"/>
          <w:color w:val="000000"/>
          <w:sz w:val="20"/>
        </w:rPr>
        <w:t>include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posting</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any bond), and upon surrender and cancellation of such Warrant or stock certificate, if mutilated, the Company will make and deliver a new Warrant or stock certificate of like tenor and dated as of such cancellation, in lieu of such Warrant or stock certificate.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 w:after="283"/>
        <w:jc w:val="left"/>
        <w:rPr/>
      </w:pPr>
      <w:r>
        <w:rPr/>
        <w:t> </w:t>
      </w:r>
    </w:p>
    <w:p>
      <w:pPr>
        <w:pStyle w:val="TextBody"/>
        <w:bidi w:val="0"/>
        <w:ind w:left="2160" w:right="0" w:hanging="0"/>
        <w:jc w:val="left"/>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Legends</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ind w:left="2160" w:right="1411" w:firstLine="720"/>
        <w:jc w:val="left"/>
        <w:rPr>
          <w:rFonts w:ascii="Times New Roman" w:hAnsi="Times New Roman"/>
          <w:color w:val="000000"/>
          <w:sz w:val="20"/>
        </w:rPr>
      </w:pPr>
      <w:r>
        <w:rPr>
          <w:rFonts w:ascii="Times New Roman" w:hAnsi="Times New Roman"/>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rPr>
        <w:t>The</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Shares</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imprinted</w:t>
      </w:r>
      <w:r>
        <w:rPr>
          <w:color w:val="000000"/>
        </w:rPr>
        <w:t xml:space="preserve"> </w:t>
      </w:r>
      <w:r>
        <w:rPr>
          <w:rFonts w:ascii="Times New Roman" w:hAnsi="Times New Roman"/>
          <w:color w:val="000000"/>
          <w:sz w:val="20"/>
        </w:rPr>
        <w:t>with</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legend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substantially</w:t>
      </w:r>
      <w:r>
        <w:rPr>
          <w:color w:val="000000"/>
        </w:rPr>
        <w:t xml:space="preserve"> </w:t>
      </w:r>
      <w:r>
        <w:rPr>
          <w:rFonts w:ascii="Times New Roman" w:hAnsi="Times New Roman"/>
          <w:color w:val="000000"/>
          <w:sz w:val="20"/>
        </w:rPr>
        <w:t>the following form: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spacing w:before="1" w:after="283"/>
        <w:ind w:left="2881" w:right="1422" w:hanging="0"/>
        <w:jc w:val="left"/>
        <w:rPr>
          <w:rFonts w:ascii="Times New Roman" w:hAnsi="Times New Roman"/>
          <w:color w:val="000000"/>
          <w:sz w:val="20"/>
        </w:rPr>
      </w:pPr>
      <w:r>
        <w:rPr>
          <w:rFonts w:ascii="Times New Roman" w:hAnsi="Times New Roman"/>
          <w:color w:val="000000"/>
          <w:sz w:val="20"/>
        </w:rPr>
        <w:t>THE SHARES EVIDENCED BY THIS CERTIFICATE HAVE NOT BEEN REGISTERED UNDER THE SECURITIES ACT OF 1933, AS AMENDED, OR THE SECURITIES LAWS OF ANY STATE AND, EXCEPT AS SET FORTH IN THAT CERTAIN WARRANT TO PURCHASE COMMON STOCK ISSUED BY THE COMPANY TO MAYO CLINIC DATED MAY 27, 2026, MAY NOT BE OFFERED, SOLD, PLEDGED OR OTHERWISE TRANSFERRED UNLESS AND UNTIL REGISTERED UNDER SAID ACT AND LAWS, OR UNLESS AND UNTIL SUCH OFFER, SALE, PLEDGE OR OTHER TRANSFER IS EXEMPT FROM REGISTRATION THEREUNDER.</w:t>
      </w:r>
    </w:p>
    <w:p>
      <w:pPr>
        <w:pStyle w:val="TextBody"/>
        <w:bidi w:val="0"/>
        <w:spacing w:before="9" w:after="283"/>
        <w:jc w:val="left"/>
        <w:rPr/>
      </w:pPr>
      <w:r>
        <w:rPr/>
        <w:t> </w:t>
      </w:r>
    </w:p>
    <w:p>
      <w:pPr>
        <w:pStyle w:val="TextBody"/>
        <w:bidi w:val="0"/>
        <w:ind w:left="2160" w:right="878" w:firstLine="720"/>
        <w:jc w:val="left"/>
        <w:rPr>
          <w:rFonts w:ascii="Times New Roman" w:hAnsi="Times New Roman"/>
          <w:color w:val="000000"/>
          <w:sz w:val="20"/>
        </w:rPr>
      </w:pPr>
      <w:r>
        <w:rPr>
          <w:rFonts w:ascii="Times New Roman" w:hAnsi="Times New Roman"/>
          <w:color w:val="000000"/>
          <w:sz w:val="20"/>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rPr>
        <w:t>Subject to</w:t>
      </w:r>
      <w:r>
        <w:rPr>
          <w:color w:val="000000"/>
        </w:rPr>
        <w:t xml:space="preserve"> </w:t>
      </w:r>
      <w:r>
        <w:rPr>
          <w:rFonts w:ascii="Times New Roman" w:hAnsi="Times New Roman"/>
          <w:color w:val="000000"/>
          <w:sz w:val="20"/>
        </w:rPr>
        <w:t>Section</w:t>
      </w:r>
      <w:r>
        <w:rPr>
          <w:color w:val="000000"/>
        </w:rPr>
        <w:t xml:space="preserve"> </w:t>
      </w:r>
      <w:r>
        <w:rPr>
          <w:rFonts w:ascii="Times New Roman" w:hAnsi="Times New Roman"/>
          <w:color w:val="000000"/>
          <w:sz w:val="20"/>
        </w:rPr>
        <w:t>4(a), the Company</w:t>
      </w:r>
      <w:r>
        <w:rPr>
          <w:color w:val="000000"/>
        </w:rPr>
        <w:t xml:space="preserve"> </w:t>
      </w:r>
      <w:r>
        <w:rPr>
          <w:rFonts w:ascii="Times New Roman" w:hAnsi="Times New Roman"/>
          <w:color w:val="000000"/>
          <w:sz w:val="20"/>
        </w:rPr>
        <w:t>shall, upon</w:t>
      </w:r>
      <w:r>
        <w:rPr>
          <w:color w:val="000000"/>
        </w:rPr>
        <w:t xml:space="preserve"> </w:t>
      </w:r>
      <w:r>
        <w:rPr>
          <w:rFonts w:ascii="Times New Roman" w:hAnsi="Times New Roman"/>
          <w:color w:val="000000"/>
          <w:sz w:val="20"/>
        </w:rPr>
        <w:t>the reasonable request of</w:t>
      </w:r>
      <w:r>
        <w:rPr>
          <w:color w:val="000000"/>
        </w:rPr>
        <w:t xml:space="preserve"> </w:t>
      </w:r>
      <w:r>
        <w:rPr>
          <w:rFonts w:ascii="Times New Roman" w:hAnsi="Times New Roman"/>
          <w:color w:val="000000"/>
          <w:sz w:val="20"/>
        </w:rPr>
        <w:t>the Holder</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extent</w:t>
      </w:r>
      <w:r>
        <w:rPr>
          <w:color w:val="000000"/>
        </w:rPr>
        <w:t xml:space="preserve"> </w:t>
      </w:r>
      <w:r>
        <w:rPr>
          <w:rFonts w:ascii="Times New Roman" w:hAnsi="Times New Roman"/>
          <w:color w:val="000000"/>
          <w:sz w:val="20"/>
        </w:rPr>
        <w:t>permitted</w:t>
      </w:r>
      <w:r>
        <w:rPr>
          <w:color w:val="000000"/>
        </w:rPr>
        <w:t xml:space="preserve"> </w:t>
      </w:r>
      <w:r>
        <w:rPr>
          <w:rFonts w:ascii="Times New Roman" w:hAnsi="Times New Roman"/>
          <w:color w:val="000000"/>
          <w:sz w:val="20"/>
        </w:rPr>
        <w:t>under</w:t>
      </w:r>
      <w:r>
        <w:rPr>
          <w:color w:val="000000"/>
        </w:rPr>
        <w:t xml:space="preserve"> </w:t>
      </w:r>
      <w:r>
        <w:rPr>
          <w:rFonts w:ascii="Times New Roman" w:hAnsi="Times New Roman"/>
          <w:color w:val="000000"/>
          <w:sz w:val="20"/>
        </w:rPr>
        <w:t>applicable</w:t>
      </w:r>
      <w:r>
        <w:rPr>
          <w:color w:val="000000"/>
        </w:rPr>
        <w:t xml:space="preserve"> </w:t>
      </w:r>
      <w:r>
        <w:rPr>
          <w:rFonts w:ascii="Times New Roman" w:hAnsi="Times New Roman"/>
          <w:color w:val="000000"/>
          <w:sz w:val="20"/>
        </w:rPr>
        <w:t>securities</w:t>
      </w:r>
      <w:r>
        <w:rPr>
          <w:color w:val="000000"/>
        </w:rPr>
        <w:t xml:space="preserve"> </w:t>
      </w:r>
      <w:r>
        <w:rPr>
          <w:rFonts w:ascii="Times New Roman" w:hAnsi="Times New Roman"/>
          <w:color w:val="000000"/>
          <w:sz w:val="20"/>
        </w:rPr>
        <w:t>laws, use</w:t>
      </w:r>
      <w:r>
        <w:rPr>
          <w:color w:val="000000"/>
        </w:rPr>
        <w:t xml:space="preserve"> </w:t>
      </w:r>
      <w:r>
        <w:rPr>
          <w:rFonts w:ascii="Times New Roman" w:hAnsi="Times New Roman"/>
          <w:color w:val="000000"/>
          <w:sz w:val="20"/>
        </w:rPr>
        <w:t>commercially</w:t>
      </w:r>
      <w:r>
        <w:rPr>
          <w:color w:val="000000"/>
        </w:rPr>
        <w:t xml:space="preserve"> </w:t>
      </w:r>
      <w:r>
        <w:rPr>
          <w:rFonts w:ascii="Times New Roman" w:hAnsi="Times New Roman"/>
          <w:color w:val="000000"/>
          <w:sz w:val="20"/>
        </w:rPr>
        <w:t>reasonable efforts to remove any restrictive legends in connection with a sale of the Warrant Shares and to facilitate transfers of such shares pursuant to Rule 144.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t> </w:t>
      </w:r>
    </w:p>
    <w:p>
      <w:pPr>
        <w:pStyle w:val="TextBody"/>
        <w:bidi w:val="0"/>
        <w:ind w:left="720" w:right="893" w:firstLine="1440"/>
        <w:jc w:val="left"/>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Saturdays, Sundays, Holidays, etc</w:t>
      </w:r>
      <w:r>
        <w:rPr>
          <w:rFonts w:ascii="Times New Roman" w:hAnsi="Times New Roman"/>
          <w:color w:val="000000"/>
          <w:sz w:val="20"/>
        </w:rPr>
        <w:t>.</w:t>
      </w:r>
      <w:r>
        <w:rPr>
          <w:color w:val="000000"/>
        </w:rPr>
        <w:t xml:space="preserve"> </w:t>
      </w:r>
      <w:r>
        <w:rPr>
          <w:rFonts w:ascii="Times New Roman" w:hAnsi="Times New Roman"/>
          <w:color w:val="000000"/>
          <w:sz w:val="20"/>
        </w:rPr>
        <w:t>If the last or appointed day for the taking of any action</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expiration</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any right required</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granted</w:t>
      </w:r>
      <w:r>
        <w:rPr>
          <w:color w:val="000000"/>
        </w:rPr>
        <w:t xml:space="preserve"> </w:t>
      </w:r>
      <w:r>
        <w:rPr>
          <w:rFonts w:ascii="Times New Roman" w:hAnsi="Times New Roman"/>
          <w:color w:val="000000"/>
          <w:sz w:val="20"/>
        </w:rPr>
        <w:t>herein shall</w:t>
      </w:r>
      <w:r>
        <w:rPr>
          <w:color w:val="000000"/>
        </w:rPr>
        <w:t xml:space="preserve"> </w:t>
      </w:r>
      <w:r>
        <w:rPr>
          <w:rFonts w:ascii="Times New Roman" w:hAnsi="Times New Roman"/>
          <w:color w:val="000000"/>
          <w:sz w:val="20"/>
        </w:rPr>
        <w:t>not</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a</w:t>
      </w:r>
      <w:r>
        <w:rPr>
          <w:color w:val="000000"/>
        </w:rPr>
        <w:t xml:space="preserve"> </w:t>
      </w:r>
      <w:r>
        <w:rPr>
          <w:rFonts w:ascii="Times New Roman" w:hAnsi="Times New Roman"/>
          <w:color w:val="000000"/>
          <w:sz w:val="20"/>
        </w:rPr>
        <w:t>Trading</w:t>
      </w:r>
      <w:r>
        <w:rPr>
          <w:color w:val="000000"/>
        </w:rPr>
        <w:t xml:space="preserve"> </w:t>
      </w:r>
      <w:r>
        <w:rPr>
          <w:rFonts w:ascii="Times New Roman" w:hAnsi="Times New Roman"/>
          <w:color w:val="000000"/>
          <w:sz w:val="20"/>
        </w:rPr>
        <w:t>Day,</w:t>
      </w:r>
      <w:r>
        <w:rPr>
          <w:color w:val="000000"/>
        </w:rPr>
        <w:t xml:space="preserve"> </w:t>
      </w:r>
      <w:r>
        <w:rPr>
          <w:rFonts w:ascii="Times New Roman" w:hAnsi="Times New Roman"/>
          <w:color w:val="000000"/>
          <w:sz w:val="20"/>
        </w:rPr>
        <w:t>then</w:t>
      </w:r>
      <w:r>
        <w:rPr>
          <w:color w:val="000000"/>
        </w:rPr>
        <w:t xml:space="preserve"> </w:t>
      </w:r>
      <w:r>
        <w:rPr>
          <w:rFonts w:ascii="Times New Roman" w:hAnsi="Times New Roman"/>
          <w:color w:val="000000"/>
          <w:sz w:val="20"/>
        </w:rPr>
        <w:t>such</w:t>
      </w:r>
      <w:r>
        <w:rPr>
          <w:color w:val="000000"/>
        </w:rPr>
        <w:t xml:space="preserve"> </w:t>
      </w:r>
      <w:r>
        <w:rPr>
          <w:rFonts w:ascii="Times New Roman" w:hAnsi="Times New Roman"/>
          <w:color w:val="000000"/>
          <w:sz w:val="20"/>
        </w:rPr>
        <w:t>action</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be taken or such right may be exercised on the next succeeding Trading Day.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2160" w:right="0" w:hanging="0"/>
        <w:jc w:val="left"/>
        <w:rPr>
          <w:rFonts w:ascii="Times New Roman" w:hAnsi="Times New Roman"/>
          <w:color w:val="000000"/>
          <w:sz w:val="20"/>
        </w:rPr>
      </w:pPr>
      <w:r>
        <w:rPr>
          <w:rFonts w:ascii="Times New Roman" w:hAnsi="Times New Roman"/>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Authorized</w:t>
      </w:r>
      <w:r>
        <w:rPr>
          <w:color w:val="000000"/>
          <w:u w:val="single"/>
        </w:rPr>
        <w:t xml:space="preserve"> </w:t>
      </w:r>
      <w:r>
        <w:rPr>
          <w:rFonts w:ascii="Times New Roman" w:hAnsi="Times New Roman"/>
          <w:color w:val="000000"/>
          <w:sz w:val="20"/>
          <w:u w:val="single"/>
        </w:rPr>
        <w:t>Shares</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2160" w:right="835" w:firstLine="720"/>
        <w:jc w:val="left"/>
        <w:rPr>
          <w:rFonts w:ascii="Times New Roman" w:hAnsi="Times New Roman"/>
          <w:color w:val="000000"/>
          <w:sz w:val="20"/>
        </w:rPr>
      </w:pPr>
      <w:r>
        <w:rPr>
          <w:rFonts w:ascii="Times New Roman" w:hAnsi="Times New Roman"/>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rPr>
        <w:t>The Company covenants that, during the period the Warrant is outstanding, it will reserve and keep available from its authorized and unissued Common Stock a sufficient number of shares to provide for the issuance of the Warrant Shares upon the exercise of this Warrant.</w:t>
      </w:r>
      <w:r>
        <w:rPr>
          <w:color w:val="000000"/>
        </w:rPr>
        <w:t xml:space="preserve"> </w:t>
      </w:r>
      <w:r>
        <w:rPr>
          <w:rFonts w:ascii="Times New Roman" w:hAnsi="Times New Roman"/>
          <w:color w:val="000000"/>
          <w:sz w:val="20"/>
        </w:rPr>
        <w:t>The Company further covenants that its issuance of this Warrant shall constitute full authority to its officers who are charged with the duty of issuing the necessary Warrant Shares upon the exercise of this Warrant.</w:t>
      </w:r>
      <w:r>
        <w:rPr>
          <w:color w:val="000000"/>
        </w:rPr>
        <w:t xml:space="preserve"> </w:t>
      </w:r>
      <w:r>
        <w:rPr>
          <w:rFonts w:ascii="Times New Roman" w:hAnsi="Times New Roman"/>
          <w:color w:val="000000"/>
          <w:sz w:val="20"/>
        </w:rPr>
        <w:t>The Company will take all such reasonable action as may be necessary to assure that such Warrant Shares may be issued as provided herein without violation of</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applicable</w:t>
      </w:r>
      <w:r>
        <w:rPr>
          <w:color w:val="000000"/>
        </w:rPr>
        <w:t xml:space="preserve"> </w:t>
      </w:r>
      <w:r>
        <w:rPr>
          <w:rFonts w:ascii="Times New Roman" w:hAnsi="Times New Roman"/>
          <w:color w:val="000000"/>
          <w:sz w:val="20"/>
        </w:rPr>
        <w:t>law</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regulation, or</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requirements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Trading</w:t>
      </w:r>
      <w:r>
        <w:rPr>
          <w:color w:val="000000"/>
        </w:rPr>
        <w:t xml:space="preserve"> </w:t>
      </w:r>
      <w:r>
        <w:rPr>
          <w:rFonts w:ascii="Times New Roman" w:hAnsi="Times New Roman"/>
          <w:color w:val="000000"/>
          <w:sz w:val="20"/>
        </w:rPr>
        <w:t>Market</w:t>
      </w:r>
      <w:r>
        <w:rPr>
          <w:color w:val="000000"/>
        </w:rPr>
        <w:t xml:space="preserve"> </w:t>
      </w:r>
      <w:r>
        <w:rPr>
          <w:rFonts w:ascii="Times New Roman" w:hAnsi="Times New Roman"/>
          <w:color w:val="000000"/>
          <w:sz w:val="20"/>
        </w:rPr>
        <w:t>upon</w:t>
      </w:r>
      <w:r>
        <w:rPr>
          <w:color w:val="000000"/>
        </w:rPr>
        <w:t xml:space="preserve"> </w:t>
      </w:r>
      <w:r>
        <w:rPr>
          <w:rFonts w:ascii="Times New Roman" w:hAnsi="Times New Roman"/>
          <w:color w:val="000000"/>
          <w:sz w:val="20"/>
        </w:rPr>
        <w:t>which</w:t>
      </w:r>
      <w:r>
        <w:rPr>
          <w:color w:val="000000"/>
        </w:rPr>
        <w:t xml:space="preserve"> </w:t>
      </w:r>
      <w:r>
        <w:rPr>
          <w:rFonts w:ascii="Times New Roman" w:hAnsi="Times New Roman"/>
          <w:color w:val="000000"/>
          <w:sz w:val="20"/>
        </w:rPr>
        <w:t>the Common Stock may be listed.</w:t>
      </w:r>
      <w:r>
        <w:rPr>
          <w:color w:val="000000"/>
        </w:rPr>
        <w:t xml:space="preserve"> </w:t>
      </w:r>
      <w:r>
        <w:rPr>
          <w:rFonts w:ascii="Times New Roman" w:hAnsi="Times New Roman"/>
          <w:color w:val="000000"/>
          <w:sz w:val="20"/>
        </w:rPr>
        <w:t>The Company covenants that all Warrant Shares which may be issued upon the exercise of this Warrant will, upon exercise hereunder and payment for such Warrant Shares in accordance herewith, be duly authorized, validly issued, fully paid and nonassessable and free from</w:t>
      </w:r>
      <w:r>
        <w:rPr>
          <w:color w:val="000000"/>
        </w:rPr>
        <w:t xml:space="preserve"> </w:t>
      </w:r>
      <w:r>
        <w:rPr>
          <w:rFonts w:ascii="Times New Roman" w:hAnsi="Times New Roman"/>
          <w:color w:val="000000"/>
          <w:sz w:val="20"/>
        </w:rPr>
        <w:t>all</w:t>
      </w:r>
      <w:r>
        <w:rPr>
          <w:color w:val="000000"/>
        </w:rPr>
        <w:t xml:space="preserve"> </w:t>
      </w:r>
      <w:r>
        <w:rPr>
          <w:rFonts w:ascii="Times New Roman" w:hAnsi="Times New Roman"/>
          <w:color w:val="000000"/>
          <w:sz w:val="20"/>
        </w:rPr>
        <w:t>taxes,</w:t>
      </w:r>
      <w:r>
        <w:rPr>
          <w:color w:val="000000"/>
        </w:rPr>
        <w:t xml:space="preserve"> </w:t>
      </w:r>
      <w:r>
        <w:rPr>
          <w:rFonts w:ascii="Times New Roman" w:hAnsi="Times New Roman"/>
          <w:color w:val="000000"/>
          <w:sz w:val="20"/>
        </w:rPr>
        <w:t>liens</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charges</w:t>
      </w:r>
      <w:r>
        <w:rPr>
          <w:color w:val="000000"/>
        </w:rPr>
        <w:t xml:space="preserve"> </w:t>
      </w:r>
      <w:r>
        <w:rPr>
          <w:rFonts w:ascii="Times New Roman" w:hAnsi="Times New Roman"/>
          <w:color w:val="000000"/>
          <w:sz w:val="20"/>
        </w:rPr>
        <w:t>created by</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respect of</w:t>
      </w:r>
      <w:r>
        <w:rPr>
          <w:color w:val="000000"/>
        </w:rPr>
        <w:t xml:space="preserve"> </w:t>
      </w:r>
      <w:r>
        <w:rPr>
          <w:rFonts w:ascii="Times New Roman" w:hAnsi="Times New Roman"/>
          <w:color w:val="000000"/>
          <w:sz w:val="20"/>
        </w:rPr>
        <w:t>the issue thereof (other than taxes in respect of any transfer occurring contemporaneously with such issue).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2160" w:right="749" w:firstLine="720"/>
        <w:jc w:val="left"/>
        <w:rPr>
          <w:rFonts w:ascii="Times New Roman" w:hAnsi="Times New Roman"/>
          <w:color w:val="000000"/>
          <w:sz w:val="20"/>
        </w:rPr>
      </w:pPr>
      <w:r>
        <w:rPr>
          <w:rFonts w:ascii="Times New Roman" w:hAnsi="Times New Roman"/>
          <w:color w:val="000000"/>
          <w:sz w:val="20"/>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rPr>
        <w:t>Except and to the extent</w:t>
      </w:r>
      <w:r>
        <w:rPr>
          <w:color w:val="000000"/>
        </w:rPr>
        <w:t xml:space="preserve"> </w:t>
      </w:r>
      <w:r>
        <w:rPr>
          <w:rFonts w:ascii="Times New Roman" w:hAnsi="Times New Roman"/>
          <w:color w:val="000000"/>
          <w:sz w:val="20"/>
        </w:rPr>
        <w:t>as waived or</w:t>
      </w:r>
      <w:r>
        <w:rPr>
          <w:color w:val="000000"/>
        </w:rPr>
        <w:t xml:space="preserve"> </w:t>
      </w:r>
      <w:r>
        <w:rPr>
          <w:rFonts w:ascii="Times New Roman" w:hAnsi="Times New Roman"/>
          <w:color w:val="000000"/>
          <w:sz w:val="20"/>
        </w:rPr>
        <w:t>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Holder</w:t>
      </w:r>
      <w:r>
        <w:rPr>
          <w:color w:val="000000"/>
        </w:rPr>
        <w:t xml:space="preserve"> </w:t>
      </w:r>
      <w:r>
        <w:rPr>
          <w:rFonts w:ascii="Times New Roman" w:hAnsi="Times New Roman"/>
          <w:color w:val="000000"/>
          <w:sz w:val="20"/>
        </w:rPr>
        <w:t>as set</w:t>
      </w:r>
      <w:r>
        <w:rPr>
          <w:color w:val="000000"/>
        </w:rPr>
        <w:t xml:space="preserve"> </w:t>
      </w:r>
      <w:r>
        <w:rPr>
          <w:rFonts w:ascii="Times New Roman" w:hAnsi="Times New Roman"/>
          <w:color w:val="000000"/>
          <w:sz w:val="20"/>
        </w:rPr>
        <w:t>forth</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against</w:t>
      </w:r>
      <w:r>
        <w:rPr>
          <w:color w:val="000000"/>
        </w:rPr>
        <w:t xml:space="preserve"> </w:t>
      </w:r>
      <w:r>
        <w:rPr>
          <w:rFonts w:ascii="Times New Roman" w:hAnsi="Times New Roman"/>
          <w:color w:val="000000"/>
          <w:sz w:val="20"/>
        </w:rPr>
        <w:t>impairment.</w:t>
      </w:r>
      <w:r>
        <w:rPr>
          <w:color w:val="000000"/>
        </w:rPr>
        <w:t xml:space="preserve"> </w:t>
      </w:r>
      <w:r>
        <w:rPr>
          <w:rFonts w:ascii="Times New Roman" w:hAnsi="Times New Roman"/>
          <w:color w:val="000000"/>
          <w:sz w:val="20"/>
        </w:rPr>
        <w:t>Without</w:t>
      </w:r>
      <w:r>
        <w:rPr>
          <w:color w:val="000000"/>
        </w:rPr>
        <w:t xml:space="preserve"> </w:t>
      </w:r>
      <w:r>
        <w:rPr>
          <w:rFonts w:ascii="Times New Roman" w:hAnsi="Times New Roman"/>
          <w:color w:val="000000"/>
          <w:sz w:val="20"/>
        </w:rPr>
        <w:t>limiting</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generality</w:t>
      </w:r>
      <w:r>
        <w:rPr>
          <w:color w:val="000000"/>
        </w:rPr>
        <w:t xml:space="preserve"> </w:t>
      </w:r>
      <w:r>
        <w:rPr>
          <w:rFonts w:ascii="Times New Roman" w:hAnsi="Times New Roman"/>
          <w:color w:val="000000"/>
          <w:sz w:val="20"/>
        </w:rPr>
        <w:t>of the foregoing, the Company will (i) not increase the par value of any Warrant Shares above the amount payable therefor upon such exercise immediately prior to such increase in par value, (ii) take</w:t>
      </w:r>
      <w:r>
        <w:rPr>
          <w:color w:val="000000"/>
        </w:rPr>
        <w:t xml:space="preserve"> </w:t>
      </w:r>
      <w:r>
        <w:rPr>
          <w:rFonts w:ascii="Times New Roman" w:hAnsi="Times New Roman"/>
          <w:color w:val="000000"/>
          <w:sz w:val="20"/>
        </w:rPr>
        <w:t>all such</w:t>
      </w:r>
      <w:r>
        <w:rPr>
          <w:color w:val="000000"/>
        </w:rPr>
        <w:t xml:space="preserve"> </w:t>
      </w:r>
      <w:r>
        <w:rPr>
          <w:rFonts w:ascii="Times New Roman" w:hAnsi="Times New Roman"/>
          <w:color w:val="000000"/>
          <w:sz w:val="20"/>
        </w:rPr>
        <w:t>action</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be necessary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appropriate</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order</w:t>
      </w:r>
      <w:r>
        <w:rPr>
          <w:color w:val="000000"/>
        </w:rPr>
        <w:t xml:space="preserve"> </w:t>
      </w:r>
      <w:r>
        <w:rPr>
          <w:rFonts w:ascii="Times New Roman" w:hAnsi="Times New Roman"/>
          <w:color w:val="000000"/>
          <w:sz w:val="20"/>
        </w:rPr>
        <w:t>that</w:t>
      </w:r>
      <w:r>
        <w:rPr>
          <w:color w:val="000000"/>
        </w:rPr>
        <w:t xml:space="preserve"> </w:t>
      </w:r>
      <w:r>
        <w:rPr>
          <w:rFonts w:ascii="Times New Roman" w:hAnsi="Times New Roman"/>
          <w:color w:val="000000"/>
          <w:sz w:val="20"/>
        </w:rPr>
        <w:t>the Company</w:t>
      </w:r>
      <w:r>
        <w:rPr>
          <w:color w:val="000000"/>
        </w:rPr>
        <w:t xml:space="preserve"> </w:t>
      </w:r>
      <w:r>
        <w:rPr>
          <w:rFonts w:ascii="Times New Roman" w:hAnsi="Times New Roman"/>
          <w:color w:val="000000"/>
          <w:sz w:val="20"/>
        </w:rPr>
        <w:t>may</w:t>
      </w:r>
      <w:r>
        <w:rPr>
          <w:color w:val="000000"/>
        </w:rPr>
        <w:t xml:space="preserve"> </w:t>
      </w:r>
      <w:r>
        <w:rPr>
          <w:rFonts w:ascii="Times New Roman" w:hAnsi="Times New Roman"/>
          <w:color w:val="000000"/>
          <w:sz w:val="20"/>
        </w:rPr>
        <w:t>validly</w:t>
      </w:r>
      <w:r>
        <w:rPr>
          <w:color w:val="000000"/>
        </w:rPr>
        <w:t xml:space="preserve"> </w:t>
      </w:r>
      <w:r>
        <w:rPr>
          <w:rFonts w:ascii="Times New Roman" w:hAnsi="Times New Roman"/>
          <w:color w:val="000000"/>
          <w:sz w:val="20"/>
        </w:rPr>
        <w:t>and legally issue fully paid and nonassessable Warrant Shares upon the exercise of this Warrant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2161" w:right="733" w:hanging="0"/>
        <w:jc w:val="left"/>
        <w:rPr>
          <w:rFonts w:ascii="Times New Roman" w:hAnsi="Times New Roman"/>
          <w:color w:val="000000"/>
          <w:sz w:val="20"/>
        </w:rPr>
      </w:pPr>
      <w:r>
        <w:rPr>
          <w:rFonts w:ascii="Times New Roman" w:hAnsi="Times New Roman"/>
          <w:color w:val="000000"/>
          <w:sz w:val="20"/>
        </w:rPr>
        <w:t>(iii)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6" w:after="283"/>
        <w:jc w:val="left"/>
        <w:rPr/>
      </w:pPr>
      <w:r>
        <w:rPr/>
        <w:t> </w:t>
      </w:r>
    </w:p>
    <w:p>
      <w:pPr>
        <w:pStyle w:val="TextBody"/>
        <w:bidi w:val="0"/>
        <w:spacing w:before="1" w:after="283"/>
        <w:ind w:left="2160" w:right="893" w:firstLine="720"/>
        <w:jc w:val="left"/>
        <w:rPr>
          <w:rFonts w:ascii="Times New Roman" w:hAnsi="Times New Roman"/>
          <w:color w:val="000000"/>
          <w:sz w:val="20"/>
        </w:rPr>
      </w:pPr>
      <w:r>
        <w:rPr>
          <w:rFonts w:ascii="Times New Roman" w:hAnsi="Times New Roman"/>
          <w:color w:val="000000"/>
          <w:sz w:val="20"/>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left"/>
        <w:rPr/>
      </w:pPr>
      <w:r>
        <w:rPr>
          <w:rFonts w:ascii="Times New Roman" w:hAnsi="Times New Roman"/>
          <w:color w:val="000000"/>
          <w:sz w:val="20"/>
        </w:rPr>
        <w:t>Before</w:t>
      </w:r>
      <w:r>
        <w:rPr>
          <w:color w:val="000000"/>
        </w:rPr>
        <w:t xml:space="preserve"> </w:t>
      </w:r>
      <w:r>
        <w:rPr>
          <w:rFonts w:ascii="Times New Roman" w:hAnsi="Times New Roman"/>
          <w:color w:val="000000"/>
          <w:sz w:val="20"/>
        </w:rPr>
        <w:t>taking</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action</w:t>
      </w:r>
      <w:r>
        <w:rPr>
          <w:color w:val="000000"/>
        </w:rPr>
        <w:t xml:space="preserve"> </w:t>
      </w:r>
      <w:r>
        <w:rPr>
          <w:rFonts w:ascii="Times New Roman" w:hAnsi="Times New Roman"/>
          <w:color w:val="000000"/>
          <w:sz w:val="20"/>
        </w:rPr>
        <w:t>which</w:t>
      </w:r>
      <w:r>
        <w:rPr>
          <w:color w:val="000000"/>
        </w:rPr>
        <w:t xml:space="preserve"> </w:t>
      </w:r>
      <w:r>
        <w:rPr>
          <w:rFonts w:ascii="Times New Roman" w:hAnsi="Times New Roman"/>
          <w:color w:val="000000"/>
          <w:sz w:val="20"/>
        </w:rPr>
        <w:t>would result</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an</w:t>
      </w:r>
      <w:r>
        <w:rPr>
          <w:color w:val="000000"/>
        </w:rPr>
        <w:t xml:space="preserve"> </w:t>
      </w:r>
      <w:r>
        <w:rPr>
          <w:rFonts w:ascii="Times New Roman" w:hAnsi="Times New Roman"/>
          <w:color w:val="000000"/>
          <w:sz w:val="20"/>
        </w:rPr>
        <w:t>adjustment 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number of Warrant Shares</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which</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exercisable</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Exercise Price,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Company shall obtain all such authorizations or exemptions thereof, or consents thereto, as may be necessary from any public regulatory body or bodies having jurisdiction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720" w:right="1166" w:firstLine="1440"/>
        <w:jc w:val="left"/>
        <w:rPr>
          <w:rFonts w:ascii="Times New Roman" w:hAnsi="Times New Roman"/>
          <w:color w:val="000000"/>
          <w:sz w:val="20"/>
        </w:rPr>
      </w:pPr>
      <w:r>
        <w:rPr>
          <w:rFonts w:ascii="Times New Roman" w:hAnsi="Times New Roman"/>
          <w:color w:val="000000"/>
          <w:sz w:val="20"/>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Governing Law; Jurisdiction and Venue</w:t>
      </w:r>
      <w:r>
        <w:rPr>
          <w:rFonts w:ascii="Times New Roman" w:hAnsi="Times New Roman"/>
          <w:color w:val="000000"/>
          <w:sz w:val="20"/>
        </w:rPr>
        <w:t>.</w:t>
      </w:r>
      <w:r>
        <w:rPr>
          <w:color w:val="000000"/>
        </w:rPr>
        <w:t xml:space="preserve"> </w:t>
      </w:r>
      <w:r>
        <w:rPr>
          <w:rFonts w:ascii="Times New Roman" w:hAnsi="Times New Roman"/>
          <w:color w:val="000000"/>
          <w:sz w:val="20"/>
        </w:rPr>
        <w:t>This Warrant shall be governed by and construed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accordance</w:t>
      </w:r>
      <w:r>
        <w:rPr>
          <w:color w:val="000000"/>
        </w:rPr>
        <w:t xml:space="preserve"> </w:t>
      </w:r>
      <w:r>
        <w:rPr>
          <w:rFonts w:ascii="Times New Roman" w:hAnsi="Times New Roman"/>
          <w:color w:val="000000"/>
          <w:sz w:val="20"/>
        </w:rPr>
        <w:t>with</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laws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State</w:t>
      </w:r>
      <w:r>
        <w:rPr>
          <w:color w:val="000000"/>
        </w:rPr>
        <w:t xml:space="preserve"> </w:t>
      </w:r>
      <w:r>
        <w:rPr>
          <w:rFonts w:ascii="Times New Roman" w:hAnsi="Times New Roman"/>
          <w:color w:val="000000"/>
          <w:sz w:val="20"/>
        </w:rPr>
        <w:t>of Delaware,</w:t>
      </w:r>
      <w:r>
        <w:rPr>
          <w:color w:val="000000"/>
        </w:rPr>
        <w:t xml:space="preserve"> </w:t>
      </w:r>
      <w:r>
        <w:rPr>
          <w:rFonts w:ascii="Times New Roman" w:hAnsi="Times New Roman"/>
          <w:color w:val="000000"/>
          <w:sz w:val="20"/>
        </w:rPr>
        <w:t>without giving</w:t>
      </w:r>
      <w:r>
        <w:rPr>
          <w:color w:val="000000"/>
        </w:rPr>
        <w:t xml:space="preserve"> </w:t>
      </w:r>
      <w:r>
        <w:rPr>
          <w:rFonts w:ascii="Times New Roman" w:hAnsi="Times New Roman"/>
          <w:color w:val="000000"/>
          <w:sz w:val="20"/>
        </w:rPr>
        <w:t>effect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its</w:t>
      </w:r>
      <w:r>
        <w:rPr>
          <w:color w:val="000000"/>
        </w:rPr>
        <w:t xml:space="preserve"> </w:t>
      </w:r>
      <w:r>
        <w:rPr>
          <w:rFonts w:ascii="Times New Roman" w:hAnsi="Times New Roman"/>
          <w:color w:val="000000"/>
          <w:sz w:val="20"/>
        </w:rPr>
        <w:t>principles</w:t>
      </w:r>
      <w:r>
        <w:rPr>
          <w:color w:val="000000"/>
        </w:rPr>
        <w:t xml:space="preserve"> </w:t>
      </w:r>
      <w:r>
        <w:rPr>
          <w:rFonts w:ascii="Times New Roman" w:hAnsi="Times New Roman"/>
          <w:color w:val="000000"/>
          <w:sz w:val="20"/>
        </w:rPr>
        <w:t>regarding conflicts of law. The Company and the Holder each irrevocably and unconditionally submit to the exclusive jurisdiction of the State and Federal courts in the State of Delaware.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720" w:right="878" w:firstLine="1440"/>
        <w:jc w:val="left"/>
        <w:rPr>
          <w:rFonts w:ascii="Times New Roman" w:hAnsi="Times New Roman"/>
          <w:color w:val="000000"/>
          <w:sz w:val="20"/>
        </w:rPr>
      </w:pPr>
      <w:r>
        <w:rPr>
          <w:rFonts w:ascii="Times New Roman" w:hAnsi="Times New Roman"/>
          <w:color w:val="000000"/>
          <w:sz w:val="20"/>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Restrictions</w:t>
      </w:r>
      <w:r>
        <w:rPr>
          <w:rFonts w:ascii="Times New Roman" w:hAnsi="Times New Roman"/>
          <w:color w:val="000000"/>
          <w:sz w:val="20"/>
        </w:rPr>
        <w:t>.</w:t>
      </w:r>
      <w:r>
        <w:rPr>
          <w:color w:val="000000"/>
        </w:rPr>
        <w:t xml:space="preserve"> </w:t>
      </w:r>
      <w:r>
        <w:rPr>
          <w:rFonts w:ascii="Times New Roman" w:hAnsi="Times New Roman"/>
          <w:color w:val="000000"/>
          <w:sz w:val="20"/>
        </w:rPr>
        <w:t>The Holder acknowledges that the Warrant Shares acquired upon the exercise of</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if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w:t>
      </w:r>
      <w:r>
        <w:rPr>
          <w:color w:val="000000"/>
        </w:rPr>
        <w:t xml:space="preserve"> </w:t>
      </w:r>
      <w:r>
        <w:rPr>
          <w:rFonts w:ascii="Times New Roman" w:hAnsi="Times New Roman"/>
          <w:color w:val="000000"/>
          <w:sz w:val="20"/>
        </w:rPr>
        <w:t>does</w:t>
      </w:r>
      <w:r>
        <w:rPr>
          <w:color w:val="000000"/>
        </w:rPr>
        <w:t xml:space="preserve"> </w:t>
      </w:r>
      <w:r>
        <w:rPr>
          <w:rFonts w:ascii="Times New Roman" w:hAnsi="Times New Roman"/>
          <w:color w:val="000000"/>
          <w:sz w:val="20"/>
        </w:rPr>
        <w:t>not</w:t>
      </w:r>
      <w:r>
        <w:rPr>
          <w:color w:val="000000"/>
        </w:rPr>
        <w:t xml:space="preserve"> </w:t>
      </w:r>
      <w:r>
        <w:rPr>
          <w:rFonts w:ascii="Times New Roman" w:hAnsi="Times New Roman"/>
          <w:color w:val="000000"/>
          <w:sz w:val="20"/>
        </w:rPr>
        <w:t>utilize</w:t>
      </w:r>
      <w:r>
        <w:rPr>
          <w:color w:val="000000"/>
        </w:rPr>
        <w:t xml:space="preserve"> </w:t>
      </w:r>
      <w:r>
        <w:rPr>
          <w:rFonts w:ascii="Times New Roman" w:hAnsi="Times New Roman"/>
          <w:color w:val="000000"/>
          <w:sz w:val="20"/>
        </w:rPr>
        <w:t>cashless</w:t>
      </w:r>
      <w:r>
        <w:rPr>
          <w:color w:val="000000"/>
        </w:rPr>
        <w:t xml:space="preserve"> </w:t>
      </w:r>
      <w:r>
        <w:rPr>
          <w:rFonts w:ascii="Times New Roman" w:hAnsi="Times New Roman"/>
          <w:color w:val="000000"/>
          <w:sz w:val="20"/>
        </w:rPr>
        <w:t>exercise,</w:t>
      </w:r>
      <w:r>
        <w:rPr>
          <w:color w:val="000000"/>
        </w:rPr>
        <w:t xml:space="preserve"> </w:t>
      </w:r>
      <w:r>
        <w:rPr>
          <w:rFonts w:ascii="Times New Roman" w:hAnsi="Times New Roman"/>
          <w:color w:val="000000"/>
          <w:sz w:val="20"/>
        </w:rPr>
        <w:t>will</w:t>
      </w:r>
      <w:r>
        <w:rPr>
          <w:color w:val="000000"/>
        </w:rPr>
        <w:t xml:space="preserve"> </w:t>
      </w:r>
      <w:r>
        <w:rPr>
          <w:rFonts w:ascii="Times New Roman" w:hAnsi="Times New Roman"/>
          <w:color w:val="000000"/>
          <w:sz w:val="20"/>
        </w:rPr>
        <w:t>have</w:t>
      </w:r>
      <w:r>
        <w:rPr>
          <w:color w:val="000000"/>
        </w:rPr>
        <w:t xml:space="preserve"> </w:t>
      </w:r>
      <w:r>
        <w:rPr>
          <w:rFonts w:ascii="Times New Roman" w:hAnsi="Times New Roman"/>
          <w:color w:val="000000"/>
          <w:sz w:val="20"/>
        </w:rPr>
        <w:t>restrictions</w:t>
      </w:r>
      <w:r>
        <w:rPr>
          <w:color w:val="000000"/>
        </w:rPr>
        <w:t xml:space="preserve"> </w:t>
      </w:r>
      <w:r>
        <w:rPr>
          <w:rFonts w:ascii="Times New Roman" w:hAnsi="Times New Roman"/>
          <w:color w:val="000000"/>
          <w:sz w:val="20"/>
        </w:rPr>
        <w:t>upon resale</w:t>
      </w:r>
      <w:r>
        <w:rPr>
          <w:color w:val="000000"/>
        </w:rPr>
        <w:t xml:space="preserve"> </w:t>
      </w:r>
      <w:r>
        <w:rPr>
          <w:rFonts w:ascii="Times New Roman" w:hAnsi="Times New Roman"/>
          <w:color w:val="000000"/>
          <w:sz w:val="20"/>
        </w:rPr>
        <w:t>imposed by state and federal securities laws.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3" w:after="283"/>
        <w:jc w:val="left"/>
        <w:rPr/>
      </w:pPr>
      <w:r>
        <w:rPr/>
        <w:t> </w:t>
      </w:r>
    </w:p>
    <w:p>
      <w:pPr>
        <w:pStyle w:val="TextBody"/>
        <w:bidi w:val="0"/>
        <w:ind w:left="720" w:right="994" w:firstLine="1440"/>
        <w:jc w:val="left"/>
        <w:rPr>
          <w:rFonts w:ascii="Times New Roman" w:hAnsi="Times New Roman"/>
          <w:color w:val="000000"/>
          <w:sz w:val="20"/>
        </w:rPr>
      </w:pPr>
      <w:r>
        <w:rPr>
          <w:rFonts w:ascii="Times New Roman" w:hAnsi="Times New Roman"/>
          <w:color w:val="000000"/>
          <w:sz w:val="20"/>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Nonwaiver</w:t>
      </w:r>
      <w:r>
        <w:rPr>
          <w:color w:val="000000"/>
          <w:u w:val="single"/>
        </w:rPr>
        <w:t xml:space="preserve"> </w:t>
      </w:r>
      <w:r>
        <w:rPr>
          <w:rFonts w:ascii="Times New Roman" w:hAnsi="Times New Roman"/>
          <w:color w:val="000000"/>
          <w:sz w:val="20"/>
          <w:u w:val="single"/>
        </w:rPr>
        <w:t>and</w:t>
      </w:r>
      <w:r>
        <w:rPr>
          <w:color w:val="000000"/>
          <w:u w:val="single"/>
        </w:rPr>
        <w:t xml:space="preserve"> </w:t>
      </w:r>
      <w:r>
        <w:rPr>
          <w:rFonts w:ascii="Times New Roman" w:hAnsi="Times New Roman"/>
          <w:color w:val="000000"/>
          <w:sz w:val="20"/>
          <w:u w:val="single"/>
        </w:rPr>
        <w:t>Expenses</w:t>
      </w:r>
      <w:r>
        <w:rPr>
          <w:rFonts w:ascii="Times New Roman" w:hAnsi="Times New Roman"/>
          <w:color w:val="000000"/>
          <w:sz w:val="20"/>
        </w:rPr>
        <w:t>.</w:t>
      </w:r>
      <w:r>
        <w:rPr>
          <w:color w:val="000000"/>
        </w:rPr>
        <w:t xml:space="preserve"> </w:t>
      </w:r>
      <w:r>
        <w:rPr>
          <w:rFonts w:ascii="Times New Roman" w:hAnsi="Times New Roman"/>
          <w:color w:val="000000"/>
          <w:sz w:val="20"/>
        </w:rPr>
        <w:t>No</w:t>
      </w:r>
      <w:r>
        <w:rPr>
          <w:color w:val="000000"/>
        </w:rPr>
        <w:t xml:space="preserve"> </w:t>
      </w:r>
      <w:r>
        <w:rPr>
          <w:rFonts w:ascii="Times New Roman" w:hAnsi="Times New Roman"/>
          <w:color w:val="000000"/>
          <w:sz w:val="20"/>
        </w:rPr>
        <w:t>course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dealing</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delay</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failure</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exercise</w:t>
      </w:r>
      <w:r>
        <w:rPr>
          <w:color w:val="000000"/>
        </w:rPr>
        <w:t xml:space="preserve"> </w:t>
      </w:r>
      <w:r>
        <w:rPr>
          <w:rFonts w:ascii="Times New Roman" w:hAnsi="Times New Roman"/>
          <w:color w:val="000000"/>
          <w:sz w:val="20"/>
        </w:rPr>
        <w:t>any right hereunder on the part of Holder shall operate as a waiver of such right or otherwise prejudice the Holder’s rights, powers or remedies.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720" w:right="835" w:firstLine="1440"/>
        <w:jc w:val="left"/>
        <w:rPr>
          <w:rFonts w:ascii="Times New Roman" w:hAnsi="Times New Roman"/>
          <w:color w:val="000000"/>
          <w:sz w:val="20"/>
        </w:rPr>
      </w:pPr>
      <w:r>
        <w:rPr>
          <w:rFonts w:ascii="Times New Roman" w:hAnsi="Times New Roman"/>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Notices</w:t>
      </w:r>
      <w:r>
        <w:rPr>
          <w:rFonts w:ascii="Times New Roman" w:hAnsi="Times New Roman"/>
          <w:color w:val="000000"/>
          <w:sz w:val="20"/>
        </w:rPr>
        <w:t>.</w:t>
      </w:r>
      <w:r>
        <w:rPr>
          <w:color w:val="000000"/>
        </w:rPr>
        <w:t xml:space="preserve"> </w:t>
      </w:r>
      <w:r>
        <w:rPr>
          <w:rFonts w:ascii="Times New Roman" w:hAnsi="Times New Roman"/>
          <w:color w:val="000000"/>
          <w:sz w:val="20"/>
        </w:rPr>
        <w:t>Any notice, request or other document required or permitted to be given or delivered</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 Holder</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the Company</w:t>
      </w:r>
      <w:r>
        <w:rPr>
          <w:color w:val="000000"/>
        </w:rPr>
        <w:t xml:space="preserve"> </w:t>
      </w:r>
      <w:r>
        <w:rPr>
          <w:rFonts w:ascii="Times New Roman" w:hAnsi="Times New Roman"/>
          <w:color w:val="000000"/>
          <w:sz w:val="20"/>
        </w:rPr>
        <w:t>shall be delivered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accordance with</w:t>
      </w:r>
      <w:r>
        <w:rPr>
          <w:color w:val="000000"/>
        </w:rPr>
        <w:t xml:space="preserve"> </w:t>
      </w:r>
      <w:r>
        <w:rPr>
          <w:rFonts w:ascii="Times New Roman" w:hAnsi="Times New Roman"/>
          <w:color w:val="000000"/>
          <w:sz w:val="20"/>
        </w:rPr>
        <w:t>the notice provisions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Services Agreement, which</w:t>
      </w:r>
      <w:r>
        <w:rPr>
          <w:color w:val="000000"/>
        </w:rPr>
        <w:t xml:space="preserve"> </w:t>
      </w:r>
      <w:r>
        <w:rPr>
          <w:rFonts w:ascii="Times New Roman" w:hAnsi="Times New Roman"/>
          <w:color w:val="000000"/>
          <w:sz w:val="20"/>
        </w:rPr>
        <w:t>provisions</w:t>
      </w:r>
      <w:r>
        <w:rPr>
          <w:color w:val="000000"/>
        </w:rPr>
        <w:t xml:space="preserve"> </w:t>
      </w:r>
      <w:r>
        <w:rPr>
          <w:rFonts w:ascii="Times New Roman" w:hAnsi="Times New Roman"/>
          <w:color w:val="000000"/>
          <w:sz w:val="20"/>
        </w:rPr>
        <w:t>are</w:t>
      </w:r>
      <w:r>
        <w:rPr>
          <w:color w:val="000000"/>
        </w:rPr>
        <w:t xml:space="preserve"> </w:t>
      </w:r>
      <w:r>
        <w:rPr>
          <w:rFonts w:ascii="Times New Roman" w:hAnsi="Times New Roman"/>
          <w:color w:val="000000"/>
          <w:sz w:val="20"/>
        </w:rPr>
        <w:t>incorporated</w:t>
      </w:r>
      <w:r>
        <w:rPr>
          <w:color w:val="000000"/>
        </w:rPr>
        <w:t xml:space="preserve"> </w:t>
      </w:r>
      <w:r>
        <w:rPr>
          <w:rFonts w:ascii="Times New Roman" w:hAnsi="Times New Roman"/>
          <w:color w:val="000000"/>
          <w:sz w:val="20"/>
        </w:rPr>
        <w:t>herein by</w:t>
      </w:r>
      <w:r>
        <w:rPr>
          <w:color w:val="000000"/>
        </w:rPr>
        <w:t xml:space="preserve"> </w:t>
      </w:r>
      <w:r>
        <w:rPr>
          <w:rFonts w:ascii="Times New Roman" w:hAnsi="Times New Roman"/>
          <w:color w:val="000000"/>
          <w:sz w:val="20"/>
        </w:rPr>
        <w:t>reference</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purposes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and shall remain</w:t>
      </w:r>
      <w:r>
        <w:rPr>
          <w:color w:val="000000"/>
        </w:rPr>
        <w:t xml:space="preserve"> </w:t>
      </w:r>
      <w:r>
        <w:rPr>
          <w:rFonts w:ascii="Times New Roman" w:hAnsi="Times New Roman"/>
          <w:color w:val="000000"/>
          <w:sz w:val="20"/>
        </w:rPr>
        <w:t>in effect for such purpose notwithstanding any expiration, termination or other cessation of the Services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ind w:left="720" w:right="835" w:firstLine="1440"/>
        <w:jc w:val="left"/>
        <w:rPr>
          <w:rFonts w:ascii="Times New Roman" w:hAnsi="Times New Roman"/>
          <w:color w:val="000000"/>
          <w:sz w:val="20"/>
        </w:rPr>
      </w:pPr>
      <w:r>
        <w:rPr>
          <w:rFonts w:ascii="Times New Roman" w:hAnsi="Times New Roman"/>
          <w:color w:val="000000"/>
          <w:sz w:val="20"/>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Limitation</w:t>
      </w:r>
      <w:r>
        <w:rPr>
          <w:color w:val="000000"/>
          <w:u w:val="single"/>
        </w:rPr>
        <w:t xml:space="preserve"> </w:t>
      </w:r>
      <w:r>
        <w:rPr>
          <w:rFonts w:ascii="Times New Roman" w:hAnsi="Times New Roman"/>
          <w:color w:val="000000"/>
          <w:sz w:val="20"/>
          <w:u w:val="single"/>
        </w:rPr>
        <w:t>of</w:t>
      </w:r>
      <w:r>
        <w:rPr>
          <w:color w:val="000000"/>
          <w:u w:val="single"/>
        </w:rPr>
        <w:t xml:space="preserve"> </w:t>
      </w:r>
      <w:r>
        <w:rPr>
          <w:rFonts w:ascii="Times New Roman" w:hAnsi="Times New Roman"/>
          <w:color w:val="000000"/>
          <w:sz w:val="20"/>
          <w:u w:val="single"/>
        </w:rPr>
        <w:t>Liability</w:t>
      </w:r>
      <w:r>
        <w:rPr>
          <w:rFonts w:ascii="Times New Roman" w:hAnsi="Times New Roman"/>
          <w:color w:val="000000"/>
          <w:sz w:val="20"/>
        </w:rPr>
        <w:t>.</w:t>
      </w:r>
      <w:r>
        <w:rPr>
          <w:color w:val="000000"/>
        </w:rPr>
        <w:t xml:space="preserve"> </w:t>
      </w:r>
      <w:r>
        <w:rPr>
          <w:rFonts w:ascii="Times New Roman" w:hAnsi="Times New Roman"/>
          <w:color w:val="000000"/>
          <w:sz w:val="20"/>
        </w:rPr>
        <w:t>No</w:t>
      </w:r>
      <w:r>
        <w:rPr>
          <w:color w:val="000000"/>
        </w:rPr>
        <w:t xml:space="preserve"> </w:t>
      </w:r>
      <w:r>
        <w:rPr>
          <w:rFonts w:ascii="Times New Roman" w:hAnsi="Times New Roman"/>
          <w:color w:val="000000"/>
          <w:sz w:val="20"/>
        </w:rPr>
        <w:t>provision</w:t>
      </w:r>
      <w:r>
        <w:rPr>
          <w:color w:val="000000"/>
        </w:rPr>
        <w:t xml:space="preserve"> </w:t>
      </w:r>
      <w:r>
        <w:rPr>
          <w:rFonts w:ascii="Times New Roman" w:hAnsi="Times New Roman"/>
          <w:color w:val="000000"/>
          <w:sz w:val="20"/>
        </w:rPr>
        <w:t>hereof,</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absence</w:t>
      </w:r>
      <w:r>
        <w:rPr>
          <w:color w:val="000000"/>
        </w:rPr>
        <w:t xml:space="preserve"> </w:t>
      </w:r>
      <w:r>
        <w:rPr>
          <w:rFonts w:ascii="Times New Roman" w:hAnsi="Times New Roman"/>
          <w:color w:val="000000"/>
          <w:sz w:val="20"/>
        </w:rPr>
        <w:t>of any</w:t>
      </w:r>
      <w:r>
        <w:rPr>
          <w:color w:val="000000"/>
        </w:rPr>
        <w:t xml:space="preserve"> </w:t>
      </w:r>
      <w:r>
        <w:rPr>
          <w:rFonts w:ascii="Times New Roman" w:hAnsi="Times New Roman"/>
          <w:color w:val="000000"/>
          <w:sz w:val="20"/>
        </w:rPr>
        <w:t>affirmative</w:t>
      </w:r>
      <w:r>
        <w:rPr>
          <w:color w:val="000000"/>
        </w:rPr>
        <w:t xml:space="preserve"> </w:t>
      </w:r>
      <w:r>
        <w:rPr>
          <w:rFonts w:ascii="Times New Roman" w:hAnsi="Times New Roman"/>
          <w:color w:val="000000"/>
          <w:sz w:val="20"/>
        </w:rPr>
        <w:t>action</w:t>
      </w:r>
      <w:r>
        <w:rPr>
          <w:color w:val="000000"/>
        </w:rPr>
        <w:t xml:space="preserve"> </w:t>
      </w:r>
      <w:r>
        <w:rPr>
          <w:rFonts w:ascii="Times New Roman" w:hAnsi="Times New Roman"/>
          <w:color w:val="000000"/>
          <w:sz w:val="20"/>
        </w:rPr>
        <w:t>by the Holder to exercise this Warrant to purchase Warrant Shares, and no enumeration herein of the rights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pBdr/>
        <w:bidi w:val="0"/>
        <w:ind w:left="717" w:right="772" w:hanging="3"/>
        <w:jc w:val="center"/>
        <w:rPr>
          <w:rFonts w:ascii="Times New Roman" w:hAnsi="Times New Roman"/>
          <w:color w:val="000000"/>
          <w:sz w:val="20"/>
        </w:rPr>
      </w:pPr>
      <w:r>
        <w:rPr>
          <w:rFonts w:ascii="Times New Roman" w:hAnsi="Times New Roman"/>
          <w:color w:val="000000"/>
          <w:sz w:val="20"/>
        </w:rPr>
        <w:t>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11" w:after="283"/>
        <w:jc w:val="left"/>
        <w:rPr/>
      </w:pPr>
      <w:r>
        <w:rPr/>
        <w:t> </w:t>
      </w:r>
    </w:p>
    <w:p>
      <w:pPr>
        <w:pStyle w:val="TextBody"/>
        <w:bidi w:val="0"/>
        <w:ind w:left="720" w:right="806" w:firstLine="1440"/>
        <w:jc w:val="left"/>
        <w:rPr>
          <w:rFonts w:ascii="Times New Roman" w:hAnsi="Times New Roman"/>
          <w:color w:val="000000"/>
          <w:sz w:val="20"/>
        </w:rPr>
      </w:pPr>
      <w:r>
        <w:rPr>
          <w:rFonts w:ascii="Times New Roman" w:hAnsi="Times New Roman"/>
          <w:color w:val="000000"/>
          <w:sz w:val="20"/>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Remedies</w:t>
      </w:r>
      <w:r>
        <w:rPr>
          <w:rFonts w:ascii="Times New Roman" w:hAnsi="Times New Roman"/>
          <w:color w:val="000000"/>
          <w:sz w:val="20"/>
        </w:rPr>
        <w:t>.</w:t>
      </w:r>
      <w:r>
        <w:rPr>
          <w:color w:val="000000"/>
        </w:rPr>
        <w:t xml:space="preserve"> </w:t>
      </w:r>
      <w:r>
        <w:rPr>
          <w:rFonts w:ascii="Times New Roman" w:hAnsi="Times New Roman"/>
          <w:color w:val="000000"/>
          <w:sz w:val="20"/>
        </w:rPr>
        <w:t>The Holder,</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addition</w:t>
      </w:r>
      <w:r>
        <w:rPr>
          <w:color w:val="000000"/>
        </w:rPr>
        <w:t xml:space="preserve"> </w:t>
      </w:r>
      <w:r>
        <w:rPr>
          <w:rFonts w:ascii="Times New Roman" w:hAnsi="Times New Roman"/>
          <w:color w:val="000000"/>
          <w:sz w:val="20"/>
        </w:rPr>
        <w:t>to being</w:t>
      </w:r>
      <w:r>
        <w:rPr>
          <w:color w:val="000000"/>
        </w:rPr>
        <w:t xml:space="preserve"> </w:t>
      </w:r>
      <w:r>
        <w:rPr>
          <w:rFonts w:ascii="Times New Roman" w:hAnsi="Times New Roman"/>
          <w:color w:val="000000"/>
          <w:sz w:val="20"/>
        </w:rPr>
        <w:t>entitled</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exercise all</w:t>
      </w:r>
      <w:r>
        <w:rPr>
          <w:color w:val="000000"/>
        </w:rPr>
        <w:t xml:space="preserve"> </w:t>
      </w:r>
      <w:r>
        <w:rPr>
          <w:rFonts w:ascii="Times New Roman" w:hAnsi="Times New Roman"/>
          <w:color w:val="000000"/>
          <w:sz w:val="20"/>
        </w:rPr>
        <w:t>rights</w:t>
      </w:r>
      <w:r>
        <w:rPr>
          <w:color w:val="000000"/>
        </w:rPr>
        <w:t xml:space="preserve"> </w:t>
      </w:r>
      <w:r>
        <w:rPr>
          <w:rFonts w:ascii="Times New Roman" w:hAnsi="Times New Roman"/>
          <w:color w:val="000000"/>
          <w:sz w:val="20"/>
        </w:rPr>
        <w:t>granted by</w:t>
      </w:r>
      <w:r>
        <w:rPr>
          <w:color w:val="000000"/>
        </w:rPr>
        <w:t xml:space="preserve"> </w:t>
      </w:r>
      <w:r>
        <w:rPr>
          <w:rFonts w:ascii="Times New Roman" w:hAnsi="Times New Roman"/>
          <w:color w:val="000000"/>
          <w:sz w:val="20"/>
        </w:rPr>
        <w:t>law, including recovery of damages, will be entitled</w:t>
      </w:r>
      <w:r>
        <w:rPr>
          <w:color w:val="000000"/>
        </w:rPr>
        <w:t xml:space="preserve"> </w:t>
      </w:r>
      <w:r>
        <w:rPr>
          <w:rFonts w:ascii="Times New Roman" w:hAnsi="Times New Roman"/>
          <w:color w:val="000000"/>
          <w:sz w:val="20"/>
        </w:rPr>
        <w:t>to specific performance of its rights under this Warrant.</w:t>
      </w:r>
      <w:r>
        <w:rPr>
          <w:color w:val="000000"/>
        </w:rPr>
        <w:t xml:space="preserve"> </w:t>
      </w:r>
      <w:r>
        <w:rPr>
          <w:rFonts w:ascii="Times New Roman" w:hAnsi="Times New Roman"/>
          <w:color w:val="000000"/>
          <w:sz w:val="20"/>
        </w:rPr>
        <w:t>The Company agrees that monetary damages would not be adequate compensation for any loss incurred by reason of a breach by it of the provisions</w:t>
      </w:r>
      <w:r>
        <w:rPr>
          <w:color w:val="000000"/>
        </w:rPr>
        <w:t xml:space="preserve"> </w:t>
      </w:r>
      <w:r>
        <w:rPr>
          <w:rFonts w:ascii="Times New Roman" w:hAnsi="Times New Roman"/>
          <w:color w:val="000000"/>
          <w:sz w:val="20"/>
        </w:rPr>
        <w:t>of this</w:t>
      </w:r>
      <w:r>
        <w:rPr>
          <w:color w:val="000000"/>
        </w:rPr>
        <w:t xml:space="preserve"> </w:t>
      </w:r>
      <w:r>
        <w:rPr>
          <w:rFonts w:ascii="Times New Roman" w:hAnsi="Times New Roman"/>
          <w:color w:val="000000"/>
          <w:sz w:val="20"/>
        </w:rPr>
        <w:t>Warrant and hereby agrees</w:t>
      </w:r>
      <w:r>
        <w:rPr>
          <w:color w:val="000000"/>
        </w:rPr>
        <w:t xml:space="preserve"> </w:t>
      </w:r>
      <w:r>
        <w:rPr>
          <w:rFonts w:ascii="Times New Roman" w:hAnsi="Times New Roman"/>
          <w:color w:val="000000"/>
          <w:sz w:val="20"/>
        </w:rPr>
        <w:t>to waive and not to assert the defense in any</w:t>
      </w:r>
      <w:r>
        <w:rPr>
          <w:color w:val="000000"/>
        </w:rPr>
        <w:t xml:space="preserve"> </w:t>
      </w:r>
      <w:r>
        <w:rPr>
          <w:rFonts w:ascii="Times New Roman" w:hAnsi="Times New Roman"/>
          <w:color w:val="000000"/>
          <w:sz w:val="20"/>
        </w:rPr>
        <w:t>action for specific performance that a remedy at law would be adequate.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ind w:left="720" w:right="734" w:firstLine="1440"/>
        <w:jc w:val="left"/>
        <w:rPr>
          <w:rFonts w:ascii="Times New Roman" w:hAnsi="Times New Roman"/>
          <w:color w:val="000000"/>
          <w:sz w:val="20"/>
        </w:rPr>
      </w:pPr>
      <w:r>
        <w:rPr>
          <w:rFonts w:ascii="Times New Roman" w:hAnsi="Times New Roman"/>
          <w:color w:val="000000"/>
          <w:sz w:val="20"/>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Successors</w:t>
      </w:r>
      <w:r>
        <w:rPr>
          <w:color w:val="000000"/>
          <w:u w:val="single"/>
        </w:rPr>
        <w:t xml:space="preserve"> </w:t>
      </w:r>
      <w:r>
        <w:rPr>
          <w:rFonts w:ascii="Times New Roman" w:hAnsi="Times New Roman"/>
          <w:color w:val="000000"/>
          <w:sz w:val="20"/>
          <w:u w:val="single"/>
        </w:rPr>
        <w:t>and</w:t>
      </w:r>
      <w:r>
        <w:rPr>
          <w:color w:val="000000"/>
          <w:u w:val="single"/>
        </w:rPr>
        <w:t xml:space="preserve"> </w:t>
      </w:r>
      <w:r>
        <w:rPr>
          <w:rFonts w:ascii="Times New Roman" w:hAnsi="Times New Roman"/>
          <w:color w:val="000000"/>
          <w:sz w:val="20"/>
          <w:u w:val="single"/>
        </w:rPr>
        <w:t>Assigns</w:t>
      </w:r>
      <w:r>
        <w:rPr>
          <w:rFonts w:ascii="Times New Roman" w:hAnsi="Times New Roman"/>
          <w:color w:val="000000"/>
          <w:sz w:val="20"/>
        </w:rPr>
        <w:t>.</w:t>
      </w:r>
      <w:r>
        <w:rPr>
          <w:color w:val="000000"/>
        </w:rPr>
        <w:t xml:space="preserve"> </w:t>
      </w:r>
      <w:r>
        <w:rPr>
          <w:rFonts w:ascii="Times New Roman" w:hAnsi="Times New Roman"/>
          <w:color w:val="000000"/>
          <w:sz w:val="20"/>
        </w:rPr>
        <w:t>Subject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applicable securities</w:t>
      </w:r>
      <w:r>
        <w:rPr>
          <w:color w:val="000000"/>
        </w:rPr>
        <w:t xml:space="preserve"> </w:t>
      </w:r>
      <w:r>
        <w:rPr>
          <w:rFonts w:ascii="Times New Roman" w:hAnsi="Times New Roman"/>
          <w:color w:val="000000"/>
          <w:sz w:val="20"/>
        </w:rPr>
        <w:t>laws, 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rights and obligations evidenced hereby shall inure to the benefit of and be binding upon the successors and permitted assigns of the Company and the successors and permitted assigns of Holder.</w:t>
      </w:r>
      <w:r>
        <w:rPr>
          <w:color w:val="000000"/>
        </w:rPr>
        <w:t xml:space="preserve"> </w:t>
      </w:r>
      <w:r>
        <w:rPr>
          <w:rFonts w:ascii="Times New Roman" w:hAnsi="Times New Roman"/>
          <w:color w:val="000000"/>
          <w:sz w:val="20"/>
        </w:rPr>
        <w:t>The provisions of this Warrant are intended</w:t>
      </w:r>
      <w:r>
        <w:rPr>
          <w:color w:val="000000"/>
        </w:rPr>
        <w:t xml:space="preserve"> </w:t>
      </w:r>
      <w:r>
        <w:rPr>
          <w:rFonts w:ascii="Times New Roman" w:hAnsi="Times New Roman"/>
          <w:color w:val="000000"/>
          <w:sz w:val="20"/>
        </w:rPr>
        <w:t>to be</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the benefit of</w:t>
      </w:r>
      <w:r>
        <w:rPr>
          <w:color w:val="000000"/>
        </w:rPr>
        <w:t xml:space="preserve"> </w:t>
      </w:r>
      <w:r>
        <w:rPr>
          <w:rFonts w:ascii="Times New Roman" w:hAnsi="Times New Roman"/>
          <w:color w:val="000000"/>
          <w:sz w:val="20"/>
        </w:rPr>
        <w:t>any</w:t>
      </w:r>
      <w:r>
        <w:rPr>
          <w:color w:val="000000"/>
        </w:rPr>
        <w:t xml:space="preserve"> </w:t>
      </w:r>
      <w:r>
        <w:rPr>
          <w:rFonts w:ascii="Times New Roman" w:hAnsi="Times New Roman"/>
          <w:color w:val="000000"/>
          <w:sz w:val="20"/>
        </w:rPr>
        <w:t>Holder</w:t>
      </w:r>
      <w:r>
        <w:rPr>
          <w:color w:val="000000"/>
        </w:rPr>
        <w:t xml:space="preserve"> </w:t>
      </w:r>
      <w:r>
        <w:rPr>
          <w:rFonts w:ascii="Times New Roman" w:hAnsi="Times New Roman"/>
          <w:color w:val="000000"/>
          <w:sz w:val="20"/>
        </w:rPr>
        <w:t>from</w:t>
      </w:r>
      <w:r>
        <w:rPr>
          <w:color w:val="000000"/>
        </w:rPr>
        <w:t xml:space="preserve"> </w:t>
      </w:r>
      <w:r>
        <w:rPr>
          <w:rFonts w:ascii="Times New Roman" w:hAnsi="Times New Roman"/>
          <w:color w:val="000000"/>
          <w:sz w:val="20"/>
        </w:rPr>
        <w:t>time</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time of</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w:t>
      </w:r>
      <w:r>
        <w:rPr>
          <w:color w:val="000000"/>
        </w:rPr>
        <w:t xml:space="preserve"> </w:t>
      </w:r>
      <w:r>
        <w:rPr>
          <w:rFonts w:ascii="Times New Roman" w:hAnsi="Times New Roman"/>
          <w:color w:val="000000"/>
          <w:sz w:val="20"/>
        </w:rPr>
        <w:t>enforceable</w:t>
      </w:r>
      <w:r>
        <w:rPr>
          <w:color w:val="000000"/>
        </w:rPr>
        <w:t xml:space="preserve"> </w:t>
      </w:r>
      <w:r>
        <w:rPr>
          <w:rFonts w:ascii="Times New Roman" w:hAnsi="Times New Roman"/>
          <w:color w:val="000000"/>
          <w:sz w:val="20"/>
        </w:rPr>
        <w:t>by</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Holder or holder of Warrant 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 w:after="283"/>
        <w:jc w:val="left"/>
        <w:rPr/>
      </w:pPr>
      <w:r>
        <w:rPr/>
        <w:t> </w:t>
      </w:r>
    </w:p>
    <w:p>
      <w:pPr>
        <w:pStyle w:val="TextBody"/>
        <w:bidi w:val="0"/>
        <w:spacing w:before="1" w:after="283"/>
        <w:ind w:left="720" w:right="749" w:firstLine="1440"/>
        <w:jc w:val="left"/>
        <w:rPr>
          <w:rFonts w:ascii="Times New Roman" w:hAnsi="Times New Roman"/>
          <w:color w:val="000000"/>
          <w:sz w:val="20"/>
        </w:rPr>
      </w:pPr>
      <w:r>
        <w:rPr>
          <w:rFonts w:ascii="Times New Roman" w:hAnsi="Times New Roman"/>
          <w:color w:val="000000"/>
          <w:sz w:val="20"/>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left"/>
        <w:rPr/>
      </w:pPr>
      <w:r>
        <w:rPr>
          <w:rFonts w:ascii="Times New Roman" w:hAnsi="Times New Roman"/>
          <w:color w:val="000000"/>
          <w:sz w:val="20"/>
          <w:u w:val="single"/>
        </w:rPr>
        <w:t>Amendment</w:t>
      </w:r>
      <w:r>
        <w:rPr>
          <w:rFonts w:ascii="Times New Roman" w:hAnsi="Times New Roman"/>
          <w:color w:val="000000"/>
          <w:sz w:val="20"/>
        </w:rPr>
        <w:t>.</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may be</w:t>
      </w:r>
      <w:r>
        <w:rPr>
          <w:color w:val="000000"/>
        </w:rPr>
        <w:t xml:space="preserve"> </w:t>
      </w:r>
      <w:r>
        <w:rPr>
          <w:rFonts w:ascii="Times New Roman" w:hAnsi="Times New Roman"/>
          <w:color w:val="000000"/>
          <w:sz w:val="20"/>
        </w:rPr>
        <w:t>modified</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amended</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provisions</w:t>
      </w:r>
      <w:r>
        <w:rPr>
          <w:color w:val="000000"/>
        </w:rPr>
        <w:t xml:space="preserve"> </w:t>
      </w:r>
      <w:r>
        <w:rPr>
          <w:rFonts w:ascii="Times New Roman" w:hAnsi="Times New Roman"/>
          <w:color w:val="000000"/>
          <w:sz w:val="20"/>
        </w:rPr>
        <w:t>hereof</w:t>
      </w:r>
      <w:r>
        <w:rPr>
          <w:color w:val="000000"/>
        </w:rPr>
        <w:t xml:space="preserve"> </w:t>
      </w:r>
      <w:r>
        <w:rPr>
          <w:rFonts w:ascii="Times New Roman" w:hAnsi="Times New Roman"/>
          <w:color w:val="000000"/>
          <w:sz w:val="20"/>
        </w:rPr>
        <w:t>waived with the written consent of the Company, on the one hand, and the Holder of this Warrant, on the other hand.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ind w:left="720" w:right="792" w:firstLine="1440"/>
        <w:jc w:val="left"/>
        <w:rPr>
          <w:rFonts w:ascii="Times New Roman" w:hAnsi="Times New Roman"/>
          <w:color w:val="000000"/>
          <w:sz w:val="20"/>
        </w:rPr>
      </w:pPr>
      <w:r>
        <w:rPr>
          <w:rFonts w:ascii="Times New Roman" w:hAnsi="Times New Roman"/>
          <w:color w:val="000000"/>
          <w:sz w:val="20"/>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Severability</w:t>
      </w:r>
      <w:r>
        <w:rPr>
          <w:rFonts w:ascii="Times New Roman" w:hAnsi="Times New Roman"/>
          <w:color w:val="000000"/>
          <w:sz w:val="20"/>
        </w:rPr>
        <w:t>.</w:t>
      </w:r>
      <w:r>
        <w:rPr>
          <w:color w:val="000000"/>
        </w:rPr>
        <w:t xml:space="preserve"> </w:t>
      </w:r>
      <w:r>
        <w:rPr>
          <w:rFonts w:ascii="Times New Roman" w:hAnsi="Times New Roman"/>
          <w:color w:val="000000"/>
          <w:sz w:val="20"/>
        </w:rPr>
        <w:t>Wherever possible, each provision of this Warrant shall be interpreted in such manner as to be effective and valid under applicable law, but if any provision of this Warrant shall be prohibited</w:t>
      </w:r>
      <w:r>
        <w:rPr>
          <w:color w:val="000000"/>
        </w:rPr>
        <w:t xml:space="preserve"> </w:t>
      </w:r>
      <w:r>
        <w:rPr>
          <w:rFonts w:ascii="Times New Roman" w:hAnsi="Times New Roman"/>
          <w:color w:val="000000"/>
          <w:sz w:val="20"/>
        </w:rPr>
        <w:t>by or</w:t>
      </w:r>
      <w:r>
        <w:rPr>
          <w:color w:val="000000"/>
        </w:rPr>
        <w:t xml:space="preserve"> </w:t>
      </w:r>
      <w:r>
        <w:rPr>
          <w:rFonts w:ascii="Times New Roman" w:hAnsi="Times New Roman"/>
          <w:color w:val="000000"/>
          <w:sz w:val="20"/>
        </w:rPr>
        <w:t>invalid</w:t>
      </w:r>
      <w:r>
        <w:rPr>
          <w:color w:val="000000"/>
        </w:rPr>
        <w:t xml:space="preserve"> </w:t>
      </w:r>
      <w:r>
        <w:rPr>
          <w:rFonts w:ascii="Times New Roman" w:hAnsi="Times New Roman"/>
          <w:color w:val="000000"/>
          <w:sz w:val="20"/>
        </w:rPr>
        <w:t>under</w:t>
      </w:r>
      <w:r>
        <w:rPr>
          <w:color w:val="000000"/>
        </w:rPr>
        <w:t xml:space="preserve"> </w:t>
      </w:r>
      <w:r>
        <w:rPr>
          <w:rFonts w:ascii="Times New Roman" w:hAnsi="Times New Roman"/>
          <w:color w:val="000000"/>
          <w:sz w:val="20"/>
        </w:rPr>
        <w:t>applicable</w:t>
      </w:r>
      <w:r>
        <w:rPr>
          <w:color w:val="000000"/>
        </w:rPr>
        <w:t xml:space="preserve"> </w:t>
      </w:r>
      <w:r>
        <w:rPr>
          <w:rFonts w:ascii="Times New Roman" w:hAnsi="Times New Roman"/>
          <w:color w:val="000000"/>
          <w:sz w:val="20"/>
        </w:rPr>
        <w:t>law, such</w:t>
      </w:r>
      <w:r>
        <w:rPr>
          <w:color w:val="000000"/>
        </w:rPr>
        <w:t xml:space="preserve"> </w:t>
      </w:r>
      <w:r>
        <w:rPr>
          <w:rFonts w:ascii="Times New Roman" w:hAnsi="Times New Roman"/>
          <w:color w:val="000000"/>
          <w:sz w:val="20"/>
        </w:rPr>
        <w:t>provision</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be ineffective</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extent</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such</w:t>
      </w:r>
      <w:r>
        <w:rPr>
          <w:color w:val="000000"/>
        </w:rPr>
        <w:t xml:space="preserve"> </w:t>
      </w:r>
      <w:r>
        <w:rPr>
          <w:rFonts w:ascii="Times New Roman" w:hAnsi="Times New Roman"/>
          <w:color w:val="000000"/>
          <w:sz w:val="20"/>
        </w:rPr>
        <w:t>prohibition</w:t>
      </w:r>
      <w:r>
        <w:rPr>
          <w:color w:val="000000"/>
        </w:rPr>
        <w:t xml:space="preserve"> </w:t>
      </w:r>
      <w:r>
        <w:rPr>
          <w:rFonts w:ascii="Times New Roman" w:hAnsi="Times New Roman"/>
          <w:color w:val="000000"/>
          <w:sz w:val="20"/>
        </w:rPr>
        <w:t>or invalidity, without invalidating the remainder of such provisions or the remaining provisions of this Warrant.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t> </w:t>
      </w:r>
    </w:p>
    <w:p>
      <w:pPr>
        <w:pStyle w:val="TextBody"/>
        <w:bidi w:val="0"/>
        <w:ind w:left="720" w:right="936" w:firstLine="1440"/>
        <w:jc w:val="left"/>
        <w:rPr>
          <w:rFonts w:ascii="Times New Roman" w:hAnsi="Times New Roman"/>
          <w:color w:val="000000"/>
          <w:sz w:val="20"/>
        </w:rPr>
      </w:pPr>
      <w:r>
        <w:rPr>
          <w:rFonts w:ascii="Times New Roman" w:hAnsi="Times New Roman"/>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0"/>
          <w:u w:val="single"/>
        </w:rPr>
        <w:t>Headings</w:t>
      </w:r>
      <w:r>
        <w:rPr>
          <w:rFonts w:ascii="Times New Roman" w:hAnsi="Times New Roman"/>
          <w:color w:val="000000"/>
          <w:sz w:val="20"/>
        </w:rPr>
        <w:t>.</w:t>
      </w:r>
      <w:r>
        <w:rPr>
          <w:color w:val="000000"/>
        </w:rPr>
        <w:t xml:space="preserve"> </w:t>
      </w:r>
      <w:r>
        <w:rPr>
          <w:rFonts w:ascii="Times New Roman" w:hAnsi="Times New Roman"/>
          <w:color w:val="000000"/>
          <w:sz w:val="20"/>
        </w:rPr>
        <w:t>The headings</w:t>
      </w:r>
      <w:r>
        <w:rPr>
          <w:color w:val="000000"/>
        </w:rPr>
        <w:t xml:space="preserve"> </w:t>
      </w:r>
      <w:r>
        <w:rPr>
          <w:rFonts w:ascii="Times New Roman" w:hAnsi="Times New Roman"/>
          <w:color w:val="000000"/>
          <w:sz w:val="20"/>
        </w:rPr>
        <w:t>used</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this</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are</w:t>
      </w:r>
      <w:r>
        <w:rPr>
          <w:color w:val="000000"/>
        </w:rPr>
        <w:t xml:space="preserve"> </w:t>
      </w:r>
      <w:r>
        <w:rPr>
          <w:rFonts w:ascii="Times New Roman" w:hAnsi="Times New Roman"/>
          <w:color w:val="000000"/>
          <w:sz w:val="20"/>
        </w:rPr>
        <w:t>for</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convenience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reference only and shall not, for any purpose, be deemed a part of this Warrant.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1" w:after="283"/>
        <w:jc w:val="left"/>
        <w:rPr/>
      </w:pPr>
      <w:r>
        <w:rPr/>
        <w:t> </w:t>
      </w:r>
    </w:p>
    <w:p>
      <w:pPr>
        <w:pStyle w:val="TextBody"/>
        <w:bidi w:val="0"/>
        <w:spacing w:before="1" w:after="283"/>
        <w:ind w:left="2829" w:right="2826" w:hanging="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ind w:left="2829" w:right="2822" w:hanging="0"/>
        <w:jc w:val="center"/>
        <w:rPr>
          <w:rFonts w:ascii="Times New Roman" w:hAnsi="Times New Roman"/>
          <w:sz w:val="20"/>
        </w:rPr>
      </w:pPr>
      <w:r>
        <w:rPr>
          <w:rFonts w:ascii="Times New Roman" w:hAnsi="Times New Roman"/>
          <w:i/>
          <w:color w:val="000000"/>
          <w:sz w:val="20"/>
        </w:rPr>
        <w:t>(Signature</w:t>
      </w:r>
      <w:r>
        <w:rPr>
          <w:rFonts w:ascii="Times New Roman" w:hAnsi="Times New Roman"/>
          <w:color w:val="000000"/>
          <w:sz w:val="20"/>
        </w:rPr>
        <w:t xml:space="preserve"> </w:t>
      </w:r>
      <w:r>
        <w:rPr>
          <w:rFonts w:ascii="Times New Roman" w:hAnsi="Times New Roman"/>
          <w:i/>
          <w:color w:val="000000"/>
          <w:sz w:val="20"/>
        </w:rPr>
        <w:t>Page</w:t>
      </w:r>
      <w:r>
        <w:rPr>
          <w:rFonts w:ascii="Times New Roman" w:hAnsi="Times New Roman"/>
          <w:color w:val="000000"/>
          <w:sz w:val="20"/>
        </w:rPr>
        <w:t xml:space="preserve"> </w:t>
      </w:r>
      <w:r>
        <w:rPr>
          <w:rFonts w:ascii="Times New Roman" w:hAnsi="Times New Roman"/>
          <w:i/>
          <w:color w:val="000000"/>
          <w:sz w:val="20"/>
        </w:rPr>
        <w:t>Follows)</w:t>
      </w:r>
    </w:p>
    <w:p>
      <w:pPr>
        <w:pStyle w:val="TextBody"/>
        <w:bidi w:val="0"/>
        <w:jc w:val="left"/>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12" w:after="283"/>
        <w:jc w:val="left"/>
        <w:rPr/>
      </w:pPr>
      <w:r>
        <w:rPr/>
        <w:t> </w:t>
      </w:r>
    </w:p>
    <w:p>
      <w:pPr>
        <w:pStyle w:val="TextBody"/>
        <w:bidi w:val="0"/>
        <w:ind w:left="720" w:right="733" w:firstLine="720"/>
        <w:jc w:val="left"/>
        <w:rPr>
          <w:rFonts w:ascii="Times New Roman" w:hAnsi="Times New Roman"/>
          <w:color w:val="000000"/>
          <w:sz w:val="20"/>
        </w:rPr>
      </w:pPr>
      <w:r>
        <w:rPr>
          <w:rFonts w:ascii="Times New Roman" w:hAnsi="Times New Roman"/>
          <w:color w:val="000000"/>
          <w:sz w:val="20"/>
        </w:rPr>
        <w:t>IN WITNESS WHEREOF, the Company has caused this Warrant to be executed by its officer thereunto duly authorized as of the date first above indicated.</w:t>
      </w:r>
    </w:p>
    <w:p>
      <w:pPr>
        <w:pStyle w:val="Heading1"/>
        <w:bidi w:val="0"/>
        <w:spacing w:before="3" w:after="283"/>
        <w:ind w:left="6842" w:right="0" w:hanging="0"/>
        <w:jc w:val="left"/>
        <w:rPr>
          <w:rFonts w:ascii="Times New Roman" w:hAnsi="Times New Roman"/>
          <w:color w:val="000000"/>
          <w:sz w:val="20"/>
        </w:rPr>
      </w:pPr>
      <w:r>
        <w:rPr>
          <w:rFonts w:ascii="Times New Roman" w:hAnsi="Times New Roman"/>
          <w:color w:val="000000"/>
          <w:sz w:val="20"/>
        </w:rPr>
        <w:t>HUMACYTE, INC.</w:t>
      </w:r>
    </w:p>
    <w:p>
      <w:pPr>
        <w:pStyle w:val="TextBody"/>
        <w:bidi w:val="0"/>
        <w:spacing w:before="226" w:after="283"/>
        <w:ind w:left="6480" w:right="0" w:hanging="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Dale A. Sander</w:t>
      </w:r>
    </w:p>
    <w:p>
      <w:pPr>
        <w:pStyle w:val="TextBody"/>
        <w:bidi w:val="0"/>
        <w:jc w:val="left"/>
        <w:rPr/>
      </w:pPr>
      <w:r>
        <w:rPr/>
        <w:t> </w:t>
      </w:r>
    </w:p>
    <w:p>
      <w:pPr>
        <w:pStyle w:val="TextBody"/>
        <w:bidi w:val="0"/>
        <w:ind w:left="6480" w:right="593" w:hanging="0"/>
        <w:jc w:val="left"/>
        <w:rPr>
          <w:rFonts w:ascii="Times New Roman" w:hAnsi="Times New Roman"/>
          <w:color w:val="000000"/>
          <w:sz w:val="20"/>
        </w:rPr>
      </w:pPr>
      <w:r>
        <w:rPr>
          <w:rFonts w:ascii="Times New Roman" w:hAnsi="Times New Roman"/>
          <w:color w:val="000000"/>
          <w:sz w:val="20"/>
        </w:rPr>
        <w:t>Name: Dale A. Sander</w:t>
      </w:r>
    </w:p>
    <w:p>
      <w:pPr>
        <w:pStyle w:val="TextBody"/>
        <w:bidi w:val="0"/>
        <w:ind w:left="6480" w:right="0" w:hanging="0"/>
        <w:jc w:val="left"/>
        <w:rPr>
          <w:rFonts w:ascii="Times New Roman" w:hAnsi="Times New Roman"/>
          <w:color w:val="000000"/>
          <w:sz w:val="20"/>
        </w:rPr>
      </w:pPr>
      <w:r>
        <w:rPr>
          <w:rFonts w:ascii="Times New Roman" w:hAnsi="Times New Roman"/>
          <w:color w:val="000000"/>
          <w:sz w:val="20"/>
        </w:rPr>
        <w:t>Title: Chief Financial Officer</w:t>
      </w:r>
    </w:p>
    <w:p>
      <w:pPr>
        <w:pStyle w:val="TextBody"/>
        <w:bidi w:val="0"/>
        <w:jc w:val="left"/>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1"/>
        <w:bidi w:val="0"/>
        <w:spacing w:before="83" w:after="283"/>
        <w:ind w:left="9474" w:right="0" w:hanging="0"/>
        <w:jc w:val="center"/>
        <w:rPr>
          <w:rFonts w:ascii="Times New Roman" w:hAnsi="Times New Roman"/>
          <w:color w:val="000000"/>
          <w:sz w:val="20"/>
        </w:rPr>
      </w:pPr>
      <w:bookmarkStart w:id="47" w:name="notice_of_exercise"/>
      <w:bookmarkEnd w:id="47"/>
      <w:r>
        <w:rPr>
          <w:rFonts w:ascii="Times New Roman" w:hAnsi="Times New Roman"/>
          <w:color w:val="000000"/>
          <w:sz w:val="20"/>
        </w:rPr>
        <w:t>EXHIBIT A</w:t>
      </w:r>
    </w:p>
    <w:p>
      <w:pPr>
        <w:pStyle w:val="TextBody"/>
        <w:bidi w:val="0"/>
        <w:ind w:left="2829" w:right="2821" w:hanging="0"/>
        <w:jc w:val="center"/>
        <w:rPr>
          <w:rFonts w:ascii="Times New Roman" w:hAnsi="Times New Roman"/>
          <w:sz w:val="20"/>
        </w:rPr>
      </w:pPr>
      <w:r>
        <w:rPr>
          <w:rFonts w:ascii="Times New Roman" w:hAnsi="Times New Roman"/>
          <w:b/>
          <w:color w:val="000000"/>
          <w:sz w:val="20"/>
        </w:rPr>
        <w:t>NOTICE</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EXERCISE</w:t>
      </w:r>
    </w:p>
    <w:p>
      <w:pPr>
        <w:pStyle w:val="TextBody"/>
        <w:bidi w:val="0"/>
        <w:spacing w:before="10" w:after="283"/>
        <w:jc w:val="left"/>
        <w:rPr/>
      </w:pPr>
      <w:r>
        <w:rPr/>
        <w:t> </w:t>
      </w:r>
    </w:p>
    <w:p>
      <w:pPr>
        <w:pStyle w:val="TextBody"/>
        <w:bidi w:val="0"/>
        <w:ind w:left="144" w:right="0" w:hanging="0"/>
        <w:jc w:val="left"/>
        <w:rPr>
          <w:rFonts w:ascii="Times New Roman" w:hAnsi="Times New Roman"/>
          <w:color w:val="000000"/>
          <w:sz w:val="20"/>
        </w:rPr>
      </w:pPr>
      <w:r>
        <w:rPr>
          <w:rFonts w:ascii="Times New Roman" w:hAnsi="Times New Roman"/>
          <w:color w:val="000000"/>
          <w:sz w:val="20"/>
        </w:rPr>
        <w:t>TO: HUMACYTE, INC.</w:t>
      </w:r>
    </w:p>
    <w:p>
      <w:pPr>
        <w:pStyle w:val="TextBody"/>
        <w:bidi w:val="0"/>
        <w:spacing w:before="13" w:after="283"/>
        <w:jc w:val="left"/>
        <w:rPr/>
      </w:pPr>
      <w:r>
        <w:rPr/>
        <w:t> </w:t>
      </w:r>
    </w:p>
    <w:p>
      <w:pPr>
        <w:pStyle w:val="TextBody"/>
        <w:bidi w:val="0"/>
        <w:spacing w:before="0" w:after="0"/>
        <w:ind w:left="864" w:right="245"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undersigned hereby elects to purchase Warrant Shares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 Company</w:t>
      </w:r>
      <w:r>
        <w:rPr>
          <w:color w:val="000000"/>
        </w:rPr>
        <w:t xml:space="preserve"> </w:t>
      </w:r>
      <w:r>
        <w:rPr>
          <w:rFonts w:ascii="Times New Roman" w:hAnsi="Times New Roman"/>
          <w:color w:val="000000"/>
          <w:sz w:val="20"/>
        </w:rPr>
        <w:t>pursuant</w:t>
      </w:r>
      <w:r>
        <w:rPr>
          <w:color w:val="000000"/>
        </w:rPr>
        <w:t xml:space="preserve"> </w:t>
      </w:r>
      <w:r>
        <w:rPr>
          <w:rFonts w:ascii="Times New Roman" w:hAnsi="Times New Roman"/>
          <w:color w:val="000000"/>
          <w:sz w:val="20"/>
        </w:rPr>
        <w:t>to</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terms</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 attached Warrant, and tenders herewith payment of the exercise price in full, together with all applicable transfer taxes, if any.</w:t>
      </w:r>
    </w:p>
    <w:p>
      <w:pPr>
        <w:pStyle w:val="TextBody"/>
        <w:bidi w:val="0"/>
        <w:spacing w:before="12" w:after="283"/>
        <w:jc w:val="left"/>
        <w:rPr/>
      </w:pPr>
      <w:r>
        <w:rPr/>
        <w:t> </w:t>
      </w:r>
    </w:p>
    <w:p>
      <w:pPr>
        <w:pStyle w:val="TextBody"/>
        <w:bidi w:val="0"/>
        <w:spacing w:before="0" w:after="0"/>
        <w:ind w:left="864" w:right="4968"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rPr>
        <w:t>Payment</w:t>
      </w:r>
      <w:r>
        <w:rPr>
          <w:color w:val="000000"/>
        </w:rPr>
        <w:t xml:space="preserve"> </w:t>
      </w:r>
      <w:r>
        <w:rPr>
          <w:rFonts w:ascii="Times New Roman" w:hAnsi="Times New Roman"/>
          <w:color w:val="000000"/>
          <w:sz w:val="20"/>
        </w:rPr>
        <w:t>shall</w:t>
      </w:r>
      <w:r>
        <w:rPr>
          <w:color w:val="000000"/>
        </w:rPr>
        <w:t xml:space="preserve"> </w:t>
      </w:r>
      <w:r>
        <w:rPr>
          <w:rFonts w:ascii="Times New Roman" w:hAnsi="Times New Roman"/>
          <w:color w:val="000000"/>
          <w:sz w:val="20"/>
        </w:rPr>
        <w:t>take</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form</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(check</w:t>
      </w:r>
      <w:r>
        <w:rPr>
          <w:color w:val="000000"/>
        </w:rPr>
        <w:t xml:space="preserve"> </w:t>
      </w:r>
      <w:r>
        <w:rPr>
          <w:rFonts w:ascii="Times New Roman" w:hAnsi="Times New Roman"/>
          <w:color w:val="000000"/>
          <w:sz w:val="20"/>
        </w:rPr>
        <w:t>applicable</w:t>
      </w:r>
      <w:r>
        <w:rPr>
          <w:color w:val="000000"/>
        </w:rPr>
        <w:t xml:space="preserve"> </w:t>
      </w:r>
      <w:r>
        <w:rPr>
          <w:rFonts w:ascii="Times New Roman" w:hAnsi="Times New Roman"/>
          <w:color w:val="000000"/>
          <w:sz w:val="20"/>
        </w:rPr>
        <w:t>box): [</w:t>
      </w:r>
      <w:r>
        <w:rPr>
          <w:color w:val="000000"/>
        </w:rPr>
        <w:t xml:space="preserve"> </w:t>
      </w:r>
      <w:r>
        <w:rPr>
          <w:rFonts w:ascii="Times New Roman" w:hAnsi="Times New Roman"/>
          <w:color w:val="000000"/>
          <w:sz w:val="20"/>
        </w:rPr>
        <w:t>]</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lawful</w:t>
      </w:r>
      <w:r>
        <w:rPr>
          <w:color w:val="000000"/>
        </w:rPr>
        <w:t xml:space="preserve"> </w:t>
      </w:r>
      <w:r>
        <w:rPr>
          <w:rFonts w:ascii="Times New Roman" w:hAnsi="Times New Roman"/>
          <w:color w:val="000000"/>
          <w:sz w:val="20"/>
        </w:rPr>
        <w:t>money</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 United States;</w:t>
      </w:r>
      <w:r>
        <w:rPr>
          <w:color w:val="000000"/>
        </w:rPr>
        <w:t xml:space="preserve"> </w:t>
      </w:r>
      <w:r>
        <w:rPr>
          <w:rFonts w:ascii="Times New Roman" w:hAnsi="Times New Roman"/>
          <w:color w:val="000000"/>
          <w:sz w:val="20"/>
        </w:rPr>
        <w:t>or</w:t>
      </w:r>
    </w:p>
    <w:p>
      <w:pPr>
        <w:pStyle w:val="TextBody"/>
        <w:bidi w:val="0"/>
        <w:ind w:left="2305" w:right="303" w:hanging="0"/>
        <w:jc w:val="both"/>
        <w:rPr>
          <w:rFonts w:ascii="Times New Roman" w:hAnsi="Times New Roman"/>
          <w:color w:val="000000"/>
          <w:sz w:val="20"/>
        </w:rPr>
      </w:pPr>
      <w:r>
        <w:rPr>
          <w:rFonts w:ascii="Times New Roman" w:hAnsi="Times New Roman"/>
          <w:color w:val="000000"/>
          <w:sz w:val="20"/>
        </w:rPr>
        <w:t>[ ] [if permitted the cancellation of such number of Warrant Shares as is necessary, in accordance with the formula set forth in subsection 2(e), to exercise this Warrant with respect to the maximum number of Warrant Shares purchasable pursuant to the cashless exercise procedure set forth in subsection 2(e).</w:t>
      </w:r>
    </w:p>
    <w:p>
      <w:pPr>
        <w:pStyle w:val="TextBody"/>
        <w:bidi w:val="0"/>
        <w:spacing w:before="9" w:after="283"/>
        <w:jc w:val="left"/>
        <w:rPr/>
      </w:pPr>
      <w:r>
        <w:rPr/>
        <w:t> </w:t>
      </w:r>
    </w:p>
    <w:p>
      <w:pPr>
        <w:pStyle w:val="TextBody"/>
        <w:bidi w:val="0"/>
        <w:spacing w:before="0" w:after="0"/>
        <w:ind w:left="864" w:right="0" w:hanging="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Please</w:t>
      </w:r>
      <w:r>
        <w:rPr>
          <w:color w:val="000000"/>
        </w:rPr>
        <w:t xml:space="preserve"> </w:t>
      </w:r>
      <w:r>
        <w:rPr>
          <w:rFonts w:ascii="Times New Roman" w:hAnsi="Times New Roman"/>
          <w:color w:val="000000"/>
          <w:sz w:val="20"/>
        </w:rPr>
        <w:t>issue</w:t>
      </w:r>
      <w:r>
        <w:rPr>
          <w:color w:val="000000"/>
        </w:rPr>
        <w:t xml:space="preserve"> </w:t>
      </w:r>
      <w:r>
        <w:rPr>
          <w:rFonts w:ascii="Times New Roman" w:hAnsi="Times New Roman"/>
          <w:color w:val="000000"/>
          <w:sz w:val="20"/>
        </w:rPr>
        <w:t>said</w:t>
      </w:r>
      <w:r>
        <w:rPr>
          <w:color w:val="000000"/>
        </w:rPr>
        <w:t xml:space="preserve"> </w:t>
      </w:r>
      <w:r>
        <w:rPr>
          <w:rFonts w:ascii="Times New Roman" w:hAnsi="Times New Roman"/>
          <w:color w:val="000000"/>
          <w:sz w:val="20"/>
        </w:rPr>
        <w:t>Warrant</w:t>
      </w:r>
      <w:r>
        <w:rPr>
          <w:color w:val="000000"/>
        </w:rPr>
        <w:t xml:space="preserve"> </w:t>
      </w:r>
      <w:r>
        <w:rPr>
          <w:rFonts w:ascii="Times New Roman" w:hAnsi="Times New Roman"/>
          <w:color w:val="000000"/>
          <w:sz w:val="20"/>
        </w:rPr>
        <w:t>Shares</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name</w:t>
      </w:r>
      <w:r>
        <w:rPr>
          <w:color w:val="000000"/>
        </w:rPr>
        <w:t xml:space="preserve"> </w:t>
      </w:r>
      <w:r>
        <w:rPr>
          <w:rFonts w:ascii="Times New Roman" w:hAnsi="Times New Roman"/>
          <w:color w:val="000000"/>
          <w:sz w:val="20"/>
        </w:rPr>
        <w:t>of</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color w:val="000000"/>
          <w:sz w:val="20"/>
        </w:rPr>
        <w:t>undersigned</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in</w:t>
      </w:r>
      <w:r>
        <w:rPr>
          <w:color w:val="000000"/>
        </w:rPr>
        <w:t xml:space="preserve"> </w:t>
      </w:r>
      <w:r>
        <w:rPr>
          <w:rFonts w:ascii="Times New Roman" w:hAnsi="Times New Roman"/>
          <w:color w:val="000000"/>
          <w:sz w:val="20"/>
        </w:rPr>
        <w:t>such</w:t>
      </w:r>
      <w:r>
        <w:rPr>
          <w:color w:val="000000"/>
        </w:rPr>
        <w:t xml:space="preserve"> </w:t>
      </w:r>
      <w:r>
        <w:rPr>
          <w:rFonts w:ascii="Times New Roman" w:hAnsi="Times New Roman"/>
          <w:color w:val="000000"/>
          <w:sz w:val="20"/>
        </w:rPr>
        <w:t>other</w:t>
      </w:r>
      <w:r>
        <w:rPr>
          <w:color w:val="000000"/>
        </w:rPr>
        <w:t xml:space="preserve"> </w:t>
      </w:r>
      <w:r>
        <w:rPr>
          <w:rFonts w:ascii="Times New Roman" w:hAnsi="Times New Roman"/>
          <w:color w:val="000000"/>
          <w:sz w:val="20"/>
        </w:rPr>
        <w:t>name</w:t>
      </w:r>
      <w:r>
        <w:rPr>
          <w:color w:val="000000"/>
        </w:rPr>
        <w:t xml:space="preserve"> </w:t>
      </w:r>
      <w:r>
        <w:rPr>
          <w:rFonts w:ascii="Times New Roman" w:hAnsi="Times New Roman"/>
          <w:color w:val="000000"/>
          <w:sz w:val="20"/>
        </w:rPr>
        <w:t>as</w:t>
      </w:r>
      <w:r>
        <w:rPr>
          <w:color w:val="000000"/>
        </w:rPr>
        <w:t xml:space="preserve"> </w:t>
      </w:r>
      <w:r>
        <w:rPr>
          <w:rFonts w:ascii="Times New Roman" w:hAnsi="Times New Roman"/>
          <w:color w:val="000000"/>
          <w:sz w:val="20"/>
        </w:rPr>
        <w:t>is</w:t>
      </w:r>
      <w:r>
        <w:rPr>
          <w:color w:val="000000"/>
        </w:rPr>
        <w:t xml:space="preserve"> </w:t>
      </w:r>
      <w:r>
        <w:rPr>
          <w:rFonts w:ascii="Times New Roman" w:hAnsi="Times New Roman"/>
          <w:color w:val="000000"/>
          <w:sz w:val="20"/>
        </w:rPr>
        <w:t>specified</w:t>
      </w:r>
      <w:r>
        <w:rPr>
          <w:color w:val="000000"/>
        </w:rPr>
        <w:t xml:space="preserve"> </w:t>
      </w:r>
      <w:r>
        <w:rPr>
          <w:rFonts w:ascii="Times New Roman" w:hAnsi="Times New Roman"/>
          <w:color w:val="000000"/>
          <w:sz w:val="20"/>
        </w:rPr>
        <w:t>below:</w:t>
      </w:r>
    </w:p>
    <w:p>
      <w:pPr>
        <w:pStyle w:val="TextBody"/>
        <w:bidi w:val="0"/>
        <w:spacing w:before="213" w:after="283"/>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ind w:left="144" w:right="0" w:hanging="0"/>
        <w:jc w:val="left"/>
        <w:rPr>
          <w:rFonts w:ascii="Times New Roman" w:hAnsi="Times New Roman"/>
          <w:color w:val="000000"/>
          <w:sz w:val="20"/>
        </w:rPr>
      </w:pPr>
      <w:r>
        <w:rPr>
          <w:rFonts w:ascii="Times New Roman" w:hAnsi="Times New Roman"/>
          <w:color w:val="000000"/>
          <w:sz w:val="20"/>
        </w:rPr>
        <w:t>The Warrant Shares shall be delivered to the following DWAC Account Number:</w:t>
      </w:r>
    </w:p>
    <w:p>
      <w:pPr>
        <w:pStyle w:val="TextBody"/>
        <w:bidi w:val="0"/>
        <w:spacing w:before="212" w:after="283"/>
        <w:jc w:val="left"/>
        <w:rPr/>
      </w:pPr>
      <w:r>
        <w:rPr/>
        <w:t> </w:t>
      </w:r>
    </w:p>
    <w:p>
      <w:pPr>
        <w:pStyle w:val="TextBody"/>
        <w:bidi w:val="0"/>
        <w:jc w:val="left"/>
        <w:rPr/>
      </w:pPr>
      <w:r>
        <w:rPr/>
        <w:t> </w:t>
      </w:r>
    </w:p>
    <w:p>
      <w:pPr>
        <w:pStyle w:val="TextBody"/>
        <w:bidi w:val="0"/>
        <w:spacing w:before="15" w:after="283"/>
        <w:jc w:val="left"/>
        <w:rPr/>
      </w:pPr>
      <w:r>
        <w:rPr/>
        <w:t> </w:t>
      </w:r>
    </w:p>
    <w:p>
      <w:pPr>
        <w:pStyle w:val="TextBody"/>
        <w:bidi w:val="0"/>
        <w:ind w:left="144" w:right="0" w:hanging="0"/>
        <w:jc w:val="left"/>
        <w:rPr>
          <w:rFonts w:ascii="Times New Roman" w:hAnsi="Times New Roman"/>
          <w:color w:val="000000"/>
          <w:sz w:val="20"/>
        </w:rPr>
      </w:pPr>
      <w:r>
        <w:rPr>
          <w:rFonts w:ascii="Times New Roman" w:hAnsi="Times New Roman"/>
          <w:color w:val="000000"/>
          <w:sz w:val="20"/>
        </w:rPr>
        <w:t>[SIGNATURE OF HOLDER]</w:t>
      </w:r>
    </w:p>
    <w:p>
      <w:pPr>
        <w:pStyle w:val="TextBody"/>
        <w:bidi w:val="0"/>
        <w:spacing w:before="1" w:after="283"/>
        <w:jc w:val="left"/>
        <w:rPr/>
      </w:pPr>
      <w:r>
        <w:rPr/>
        <w:t> </w:t>
      </w:r>
    </w:p>
    <w:p>
      <w:pPr>
        <w:pStyle w:val="TextBody"/>
        <w:bidi w:val="0"/>
        <w:ind w:left="144" w:right="0" w:hanging="0"/>
        <w:jc w:val="left"/>
        <w:rPr>
          <w:rFonts w:ascii="Times New Roman" w:hAnsi="Times New Roman"/>
          <w:color w:val="000000"/>
          <w:sz w:val="20"/>
        </w:rPr>
      </w:pPr>
      <w:r>
        <w:rPr>
          <w:rFonts w:ascii="Times New Roman" w:hAnsi="Times New Roman"/>
          <w:color w:val="000000"/>
          <w:sz w:val="20"/>
        </w:rPr>
        <w:t xml:space="preserve">Name of Investing Entity: </w:t>
      </w:r>
    </w:p>
    <w:p>
      <w:pPr>
        <w:pStyle w:val="TextBody"/>
        <w:bidi w:val="0"/>
        <w:spacing w:before="11" w:after="283"/>
        <w:jc w:val="left"/>
        <w:rPr/>
      </w:pPr>
      <w:r>
        <w:rPr/>
        <w:t> </w:t>
      </w:r>
    </w:p>
    <w:p>
      <w:pPr>
        <w:pStyle w:val="TextBody"/>
        <w:bidi w:val="0"/>
        <w:ind w:left="144" w:right="0" w:hanging="0"/>
        <w:jc w:val="left"/>
        <w:rPr>
          <w:rFonts w:ascii="Times New Roman" w:hAnsi="Times New Roman"/>
          <w:sz w:val="20"/>
        </w:rPr>
      </w:pPr>
      <w:r>
        <w:rPr>
          <w:rFonts w:ascii="Times New Roman" w:hAnsi="Times New Roman"/>
          <w:i/>
          <w:color w:val="000000"/>
          <w:sz w:val="20"/>
        </w:rPr>
        <w:t>Signature</w:t>
      </w:r>
      <w:r>
        <w:rPr>
          <w:rFonts w:ascii="Times New Roman" w:hAnsi="Times New Roman"/>
          <w:color w:val="000000"/>
          <w:sz w:val="20"/>
        </w:rPr>
        <w:t xml:space="preserve"> </w:t>
      </w:r>
      <w:r>
        <w:rPr>
          <w:rFonts w:ascii="Times New Roman" w:hAnsi="Times New Roman"/>
          <w:i/>
          <w:color w:val="000000"/>
          <w:sz w:val="20"/>
        </w:rPr>
        <w:t>of</w:t>
      </w:r>
      <w:r>
        <w:rPr>
          <w:rFonts w:ascii="Times New Roman" w:hAnsi="Times New Roman"/>
          <w:color w:val="000000"/>
          <w:sz w:val="20"/>
        </w:rPr>
        <w:t xml:space="preserve"> </w:t>
      </w:r>
      <w:r>
        <w:rPr>
          <w:rFonts w:ascii="Times New Roman" w:hAnsi="Times New Roman"/>
          <w:i/>
          <w:color w:val="000000"/>
          <w:sz w:val="20"/>
        </w:rPr>
        <w:t>Authorized</w:t>
      </w:r>
      <w:r>
        <w:rPr>
          <w:rFonts w:ascii="Times New Roman" w:hAnsi="Times New Roman"/>
          <w:color w:val="000000"/>
          <w:sz w:val="20"/>
        </w:rPr>
        <w:t xml:space="preserve"> </w:t>
      </w:r>
      <w:r>
        <w:rPr>
          <w:rFonts w:ascii="Times New Roman" w:hAnsi="Times New Roman"/>
          <w:i/>
          <w:color w:val="000000"/>
          <w:sz w:val="20"/>
        </w:rPr>
        <w:t>Signatory</w:t>
      </w:r>
      <w:r>
        <w:rPr>
          <w:rFonts w:ascii="Times New Roman" w:hAnsi="Times New Roman"/>
          <w:color w:val="000000"/>
          <w:sz w:val="20"/>
        </w:rPr>
        <w:t xml:space="preserve"> </w:t>
      </w:r>
      <w:r>
        <w:rPr>
          <w:rFonts w:ascii="Times New Roman" w:hAnsi="Times New Roman"/>
          <w:i/>
          <w:color w:val="000000"/>
          <w:sz w:val="20"/>
        </w:rPr>
        <w:t>of</w:t>
      </w:r>
      <w:r>
        <w:rPr>
          <w:rFonts w:ascii="Times New Roman" w:hAnsi="Times New Roman"/>
          <w:color w:val="000000"/>
          <w:sz w:val="20"/>
        </w:rPr>
        <w:t xml:space="preserve"> </w:t>
      </w:r>
      <w:r>
        <w:rPr>
          <w:rFonts w:ascii="Times New Roman" w:hAnsi="Times New Roman"/>
          <w:i/>
          <w:color w:val="000000"/>
          <w:sz w:val="20"/>
        </w:rPr>
        <w:t>Investing</w:t>
      </w:r>
      <w:r>
        <w:rPr>
          <w:rFonts w:ascii="Times New Roman" w:hAnsi="Times New Roman"/>
          <w:color w:val="000000"/>
          <w:sz w:val="20"/>
        </w:rPr>
        <w:t xml:space="preserve"> </w:t>
      </w:r>
      <w:r>
        <w:rPr>
          <w:rFonts w:ascii="Times New Roman" w:hAnsi="Times New Roman"/>
          <w:i/>
          <w:color w:val="000000"/>
          <w:sz w:val="20"/>
        </w:rPr>
        <w:t>Entity:</w:t>
      </w:r>
      <w:r>
        <w:rPr>
          <w:rFonts w:ascii="Times New Roman" w:hAnsi="Times New Roman"/>
          <w:color w:val="000000"/>
          <w:sz w:val="20"/>
        </w:rPr>
        <w:t xml:space="preserve"> </w:t>
      </w:r>
    </w:p>
    <w:p>
      <w:pPr>
        <w:pStyle w:val="TextBody"/>
        <w:bidi w:val="0"/>
        <w:spacing w:before="10" w:after="283"/>
        <w:jc w:val="left"/>
        <w:rPr/>
      </w:pPr>
      <w:r>
        <w:rPr/>
        <w:t> </w:t>
      </w:r>
    </w:p>
    <w:p>
      <w:pPr>
        <w:pStyle w:val="TextBody"/>
        <w:bidi w:val="0"/>
        <w:ind w:left="144" w:right="0" w:hanging="0"/>
        <w:jc w:val="left"/>
        <w:rPr>
          <w:rFonts w:ascii="Times New Roman" w:hAnsi="Times New Roman"/>
          <w:color w:val="000000"/>
          <w:sz w:val="20"/>
        </w:rPr>
      </w:pPr>
      <w:r>
        <w:rPr>
          <w:rFonts w:ascii="Times New Roman" w:hAnsi="Times New Roman"/>
          <w:color w:val="000000"/>
          <w:sz w:val="20"/>
        </w:rPr>
        <w:t xml:space="preserve">Name of Authorized Signatory: </w:t>
      </w:r>
    </w:p>
    <w:p>
      <w:pPr>
        <w:pStyle w:val="TextBody"/>
        <w:bidi w:val="0"/>
        <w:spacing w:before="11" w:after="283"/>
        <w:jc w:val="left"/>
        <w:rPr/>
      </w:pPr>
      <w:r>
        <w:rPr/>
        <w:t> </w:t>
      </w:r>
    </w:p>
    <w:p>
      <w:pPr>
        <w:pStyle w:val="TextBody"/>
        <w:bidi w:val="0"/>
        <w:ind w:left="144" w:right="0" w:hanging="0"/>
        <w:jc w:val="left"/>
        <w:rPr>
          <w:rFonts w:ascii="Times New Roman" w:hAnsi="Times New Roman"/>
          <w:color w:val="000000"/>
          <w:sz w:val="20"/>
        </w:rPr>
      </w:pPr>
      <w:r>
        <w:rPr>
          <w:rFonts w:ascii="Times New Roman" w:hAnsi="Times New Roman"/>
          <w:color w:val="000000"/>
          <w:sz w:val="20"/>
        </w:rPr>
        <w:t xml:space="preserve">Title of Authorized Signatory: </w:t>
      </w:r>
    </w:p>
    <w:p>
      <w:pPr>
        <w:pStyle w:val="TextBody"/>
        <w:bidi w:val="0"/>
        <w:spacing w:before="10" w:after="283"/>
        <w:jc w:val="left"/>
        <w:rPr/>
      </w:pPr>
      <w:r>
        <w:rPr/>
        <w:t> </w:t>
      </w:r>
    </w:p>
    <w:p>
      <w:pPr>
        <w:pStyle w:val="TextBody"/>
        <w:bidi w:val="0"/>
        <w:ind w:left="144" w:right="0" w:hanging="0"/>
        <w:jc w:val="left"/>
        <w:rPr>
          <w:rFonts w:ascii="Times New Roman" w:hAnsi="Times New Roman"/>
          <w:color w:val="000000"/>
          <w:sz w:val="20"/>
        </w:rPr>
      </w:pPr>
      <w:r>
        <w:rPr>
          <w:rFonts w:ascii="Times New Roman" w:hAnsi="Times New Roman"/>
          <w:color w:val="000000"/>
          <w:sz w:val="20"/>
        </w:rPr>
        <w:t xml:space="preserve">Date: </w:t>
      </w:r>
    </w:p>
    <w:p>
      <w:pPr>
        <w:pStyle w:val="TextBody"/>
        <w:bidi w:val="0"/>
        <w:jc w:val="left"/>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1"/>
        <w:bidi w:val="0"/>
        <w:spacing w:before="83" w:after="283"/>
        <w:ind w:left="0" w:right="133" w:hanging="0"/>
        <w:jc w:val="right"/>
        <w:rPr>
          <w:rFonts w:ascii="Times New Roman" w:hAnsi="Times New Roman"/>
          <w:color w:val="000000"/>
          <w:sz w:val="20"/>
        </w:rPr>
      </w:pPr>
      <w:r>
        <w:rPr>
          <w:rFonts w:ascii="Times New Roman" w:hAnsi="Times New Roman"/>
          <w:color w:val="000000"/>
          <w:sz w:val="20"/>
        </w:rPr>
        <w:t>EXHIBIT B</w:t>
      </w:r>
    </w:p>
    <w:p>
      <w:pPr>
        <w:pStyle w:val="TextBody"/>
        <w:bidi w:val="0"/>
        <w:jc w:val="left"/>
        <w:rPr/>
      </w:pPr>
      <w:r>
        <w:rPr/>
        <w:t> </w:t>
      </w:r>
    </w:p>
    <w:p>
      <w:pPr>
        <w:pStyle w:val="TextBody"/>
        <w:bidi w:val="0"/>
        <w:spacing w:before="20" w:after="283"/>
        <w:jc w:val="left"/>
        <w:rPr/>
      </w:pPr>
      <w:r>
        <w:rPr/>
        <w:t> </w:t>
      </w:r>
    </w:p>
    <w:p>
      <w:pPr>
        <w:pStyle w:val="TextBody"/>
        <w:bidi w:val="0"/>
        <w:ind w:left="2829" w:right="2823" w:hanging="0"/>
        <w:jc w:val="center"/>
        <w:rPr>
          <w:rFonts w:ascii="Times New Roman" w:hAnsi="Times New Roman"/>
          <w:sz w:val="20"/>
        </w:rPr>
      </w:pPr>
      <w:bookmarkStart w:id="48" w:name="assignment_form"/>
      <w:bookmarkEnd w:id="48"/>
      <w:r>
        <w:rPr>
          <w:rFonts w:ascii="Times New Roman" w:hAnsi="Times New Roman"/>
          <w:b/>
          <w:color w:val="000000"/>
          <w:sz w:val="20"/>
        </w:rPr>
        <w:t>ASSIGNMENT</w:t>
      </w:r>
      <w:r>
        <w:rPr>
          <w:rFonts w:ascii="Times New Roman" w:hAnsi="Times New Roman"/>
          <w:color w:val="000000"/>
          <w:sz w:val="20"/>
        </w:rPr>
        <w:t xml:space="preserve"> </w:t>
      </w:r>
      <w:r>
        <w:rPr>
          <w:rFonts w:ascii="Times New Roman" w:hAnsi="Times New Roman"/>
          <w:b/>
          <w:color w:val="000000"/>
          <w:sz w:val="20"/>
        </w:rPr>
        <w:t>FORM</w:t>
      </w:r>
    </w:p>
    <w:p>
      <w:pPr>
        <w:pStyle w:val="TextBody"/>
        <w:bidi w:val="0"/>
        <w:spacing w:before="10" w:after="283"/>
        <w:jc w:val="left"/>
        <w:rPr/>
      </w:pPr>
      <w:r>
        <w:rPr/>
        <w:t> </w:t>
      </w:r>
    </w:p>
    <w:p>
      <w:pPr>
        <w:pStyle w:val="TextBody"/>
        <w:bidi w:val="0"/>
        <w:spacing w:before="1" w:after="283"/>
        <w:ind w:left="144" w:right="0" w:firstLine="720"/>
        <w:jc w:val="left"/>
        <w:rPr>
          <w:rFonts w:ascii="Times New Roman" w:hAnsi="Times New Roman"/>
          <w:color w:val="000000"/>
          <w:sz w:val="20"/>
        </w:rPr>
      </w:pPr>
      <w:r>
        <w:rPr>
          <w:rFonts w:ascii="Times New Roman" w:hAnsi="Times New Roman"/>
          <w:color w:val="000000"/>
          <w:sz w:val="20"/>
        </w:rPr>
        <w:t>(To assign the foregoing Warrant, execute this form and supply required information. Do not use this form to exercise the Warrant to purchase shares.)</w:t>
      </w:r>
    </w:p>
    <w:p>
      <w:pPr>
        <w:pStyle w:val="TextBody"/>
        <w:bidi w:val="0"/>
        <w:spacing w:before="11" w:after="283"/>
        <w:jc w:val="left"/>
        <w:rPr/>
      </w:pPr>
      <w:r>
        <w:rPr/>
        <w:t> </w:t>
      </w:r>
    </w:p>
    <w:p>
      <w:pPr>
        <w:pStyle w:val="TextBody"/>
        <w:bidi w:val="0"/>
        <w:ind w:left="864" w:right="0" w:hanging="0"/>
        <w:jc w:val="left"/>
        <w:rPr>
          <w:rFonts w:ascii="Times New Roman" w:hAnsi="Times New Roman"/>
          <w:color w:val="000000"/>
          <w:sz w:val="20"/>
        </w:rPr>
      </w:pPr>
      <w:r>
        <w:rPr>
          <w:rFonts w:ascii="Times New Roman" w:hAnsi="Times New Roman"/>
          <w:color w:val="000000"/>
          <w:sz w:val="20"/>
        </w:rPr>
        <w:t>FOR VALUE RECEIVED, the foregoing Warrant and all rights evidenced thereby are hereby assigned to</w:t>
      </w:r>
    </w:p>
    <w:p>
      <w:pPr>
        <w:pStyle w:val="TextBody"/>
        <w:bidi w:val="0"/>
        <w:spacing w:before="5" w:after="283"/>
        <w:jc w:val="left"/>
        <w:rPr/>
      </w:pPr>
      <w:r>
        <w:rPr/>
        <w:t> </w:t>
      </w:r>
    </w:p>
    <w:p>
      <w:pPr>
        <w:pStyle w:val="TextBody"/>
        <w:bidi w:val="0"/>
        <w:spacing w:before="1" w:after="283"/>
        <w:ind w:left="250" w:right="0" w:hanging="0"/>
        <w:jc w:val="left"/>
        <w:rPr>
          <w:rFonts w:ascii="Times New Roman" w:hAnsi="Times New Roman"/>
          <w:color w:val="000000"/>
          <w:sz w:val="20"/>
        </w:rPr>
      </w:pPr>
      <w:r>
        <w:rPr>
          <w:rFonts w:ascii="Times New Roman" w:hAnsi="Times New Roman"/>
          <w:color w:val="000000"/>
          <w:sz w:val="20"/>
        </w:rPr>
        <w:t>Name:</w:t>
      </w:r>
    </w:p>
    <w:p>
      <w:pPr>
        <w:pStyle w:val="TextBody"/>
        <w:bidi w:val="0"/>
        <w:ind w:left="5042" w:right="0" w:hanging="0"/>
        <w:jc w:val="left"/>
        <w:rPr/>
      </w:pPr>
      <w:r>
        <w:rPr/>
        <w:t> </w:t>
      </w:r>
    </w:p>
    <w:p>
      <w:pPr>
        <w:pStyle w:val="TextBody"/>
        <w:bidi w:val="0"/>
        <w:spacing w:before="18" w:after="283"/>
        <w:ind w:left="5042" w:right="0" w:hanging="0"/>
        <w:jc w:val="left"/>
        <w:rPr>
          <w:rFonts w:ascii="Times New Roman" w:hAnsi="Times New Roman"/>
          <w:color w:val="000000"/>
          <w:sz w:val="20"/>
        </w:rPr>
      </w:pPr>
      <w:r>
        <w:rPr>
          <w:rFonts w:ascii="Times New Roman" w:hAnsi="Times New Roman"/>
          <w:color w:val="000000"/>
          <w:sz w:val="20"/>
        </w:rPr>
        <w:t>(Please Print)</w:t>
      </w:r>
    </w:p>
    <w:p>
      <w:pPr>
        <w:pStyle w:val="TextBody"/>
        <w:bidi w:val="0"/>
        <w:spacing w:before="45" w:after="283"/>
        <w:jc w:val="left"/>
        <w:rPr/>
      </w:pPr>
      <w:r>
        <w:rPr/>
        <w:t> </w:t>
      </w:r>
    </w:p>
    <w:p>
      <w:pPr>
        <w:pStyle w:val="TextBody"/>
        <w:bidi w:val="0"/>
        <w:ind w:left="250" w:right="0" w:hanging="0"/>
        <w:jc w:val="left"/>
        <w:rPr>
          <w:rFonts w:ascii="Times New Roman" w:hAnsi="Times New Roman"/>
          <w:color w:val="000000"/>
          <w:sz w:val="20"/>
        </w:rPr>
      </w:pPr>
      <w:r>
        <w:rPr>
          <w:rFonts w:ascii="Times New Roman" w:hAnsi="Times New Roman"/>
          <w:color w:val="000000"/>
          <w:sz w:val="20"/>
        </w:rPr>
        <w:t>Address:</w:t>
      </w:r>
    </w:p>
    <w:p>
      <w:pPr>
        <w:pStyle w:val="TextBody"/>
        <w:bidi w:val="0"/>
        <w:ind w:left="5042" w:right="0" w:hanging="0"/>
        <w:jc w:val="left"/>
        <w:rPr/>
      </w:pPr>
      <w:r>
        <w:rPr/>
        <w:t> </w:t>
      </w:r>
    </w:p>
    <w:p>
      <w:pPr>
        <w:pStyle w:val="TextBody"/>
        <w:bidi w:val="0"/>
        <w:spacing w:before="14" w:after="283"/>
        <w:ind w:left="5042" w:right="0" w:hanging="0"/>
        <w:jc w:val="left"/>
        <w:rPr>
          <w:rFonts w:ascii="Times New Roman" w:hAnsi="Times New Roman"/>
          <w:color w:val="000000"/>
          <w:sz w:val="20"/>
        </w:rPr>
      </w:pPr>
      <w:r>
        <w:rPr>
          <w:rFonts w:ascii="Times New Roman" w:hAnsi="Times New Roman"/>
          <w:color w:val="000000"/>
          <w:sz w:val="20"/>
        </w:rPr>
        <w:t>(Please Print)</w:t>
      </w:r>
    </w:p>
    <w:p>
      <w:pPr>
        <w:pStyle w:val="TextBody"/>
        <w:bidi w:val="0"/>
        <w:spacing w:before="44" w:after="283"/>
        <w:jc w:val="left"/>
        <w:rPr/>
      </w:pPr>
      <w:r>
        <w:rPr/>
        <w:t> </w:t>
      </w:r>
    </w:p>
    <w:p>
      <w:pPr>
        <w:pStyle w:val="TextBody"/>
        <w:bidi w:val="0"/>
        <w:ind w:left="250" w:right="9282" w:hanging="0"/>
        <w:jc w:val="left"/>
        <w:rPr>
          <w:rFonts w:ascii="Times New Roman" w:hAnsi="Times New Roman"/>
          <w:color w:val="000000"/>
          <w:sz w:val="20"/>
        </w:rPr>
      </w:pPr>
      <w:r>
        <w:rPr>
          <w:rFonts w:ascii="Times New Roman" w:hAnsi="Times New Roman"/>
          <w:color w:val="000000"/>
          <w:sz w:val="20"/>
        </w:rPr>
        <w:t>Phone Number: Email Address:</w:t>
      </w:r>
    </w:p>
    <w:p>
      <w:pPr>
        <w:pStyle w:val="TextBody"/>
        <w:bidi w:val="0"/>
        <w:spacing w:before="1" w:after="283"/>
        <w:ind w:left="250" w:right="0" w:hanging="0"/>
        <w:jc w:val="left"/>
        <w:rPr>
          <w:rFonts w:ascii="Times New Roman" w:hAnsi="Times New Roman"/>
          <w:color w:val="000000"/>
          <w:sz w:val="20"/>
        </w:rPr>
      </w:pPr>
      <w:r>
        <w:rPr>
          <w:rFonts w:ascii="Times New Roman" w:hAnsi="Times New Roman"/>
          <w:color w:val="000000"/>
          <w:sz w:val="20"/>
        </w:rPr>
        <w:t xml:space="preserve">Dated: , </w:t>
      </w:r>
    </w:p>
    <w:p>
      <w:pPr>
        <w:pStyle w:val="TextBody"/>
        <w:bidi w:val="0"/>
        <w:spacing w:before="44" w:after="283"/>
        <w:jc w:val="left"/>
        <w:rPr/>
      </w:pPr>
      <w:r>
        <w:rPr/>
        <w:t> </w:t>
      </w:r>
    </w:p>
    <w:p>
      <w:pPr>
        <w:pStyle w:val="TextBody"/>
        <w:bidi w:val="0"/>
        <w:ind w:left="250" w:right="0" w:hanging="0"/>
        <w:jc w:val="left"/>
        <w:rPr>
          <w:rFonts w:ascii="Times New Roman" w:hAnsi="Times New Roman"/>
          <w:sz w:val="20"/>
        </w:rPr>
      </w:pPr>
      <w:r>
        <w:rPr>
          <w:rFonts w:ascii="Times New Roman" w:hAnsi="Times New Roman"/>
          <w:color w:val="000000"/>
          <w:sz w:val="20"/>
        </w:rPr>
        <w:t>Holder’s Signature:</w:t>
      </w:r>
      <w:r>
        <w:rPr>
          <w:rFonts w:ascii="Times New Roman" w:hAnsi="Times New Roman"/>
          <w:color w:val="000000"/>
          <w:sz w:val="20"/>
          <w:u w:val="single"/>
        </w:rPr>
        <w:t xml:space="preserve"> </w:t>
      </w:r>
    </w:p>
    <w:p>
      <w:pPr>
        <w:pStyle w:val="TextBody"/>
        <w:bidi w:val="0"/>
        <w:spacing w:before="44" w:after="283"/>
        <w:jc w:val="left"/>
        <w:rPr/>
      </w:pPr>
      <w:r>
        <w:rPr/>
        <w:t> </w:t>
      </w:r>
    </w:p>
    <w:p>
      <w:pPr>
        <w:pStyle w:val="TextBody"/>
        <w:bidi w:val="0"/>
        <w:ind w:left="250" w:right="0" w:hanging="0"/>
        <w:jc w:val="left"/>
        <w:rPr>
          <w:rFonts w:ascii="Times New Roman" w:hAnsi="Times New Roman"/>
          <w:sz w:val="20"/>
        </w:rPr>
      </w:pPr>
      <w:r>
        <w:rPr>
          <w:rFonts w:ascii="Times New Roman" w:hAnsi="Times New Roman"/>
          <w:color w:val="000000"/>
          <w:sz w:val="20"/>
        </w:rPr>
        <w:t>Holder’s Address:</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huma-ex31_1.htm"/>
      <w:bookmarkStart w:id="50" w:name="kshumaex31_1"/>
      <w:bookmarkEnd w:id="49"/>
      <w:bookmarkEnd w:id="50"/>
      <w:r>
        <w:rPr/>
        <w:t> </w:t>
      </w:r>
      <w:r>
        <w:br w:type="page"/>
      </w:r>
    </w:p>
    <w:p>
      <w:pPr>
        <w:pStyle w:val="TextBody"/>
        <w:bidi w:val="0"/>
        <w:jc w:val="right"/>
        <w:rPr>
          <w:rFonts w:ascii="Times New Roman" w:hAnsi="Times New Roman"/>
          <w:b/>
          <w:color w:val="000000"/>
          <w:sz w:val="22"/>
        </w:rPr>
      </w:pPr>
      <w:bookmarkStart w:id="51" w:name="section1"/>
      <w:bookmarkEnd w:id="51"/>
      <w:r>
        <w:rPr>
          <w:rFonts w:ascii="Times New Roman" w:hAnsi="Times New Roman"/>
          <w:b/>
          <w:color w:val="000000"/>
          <w:sz w:val="22"/>
        </w:rPr>
        <w:t>Exhibit 31.1</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Laura E. Niklason, certify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have reviewed this Quarterly Report on Form 10-Q of Humacyte, Inc. for the quarter ended June 30, 2026;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0"/>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tbl>
      <w:tblPr>
        <w:tblW w:w="7099" w:type="dxa"/>
        <w:jc w:val="left"/>
        <w:tblInd w:w="0" w:type="dxa"/>
        <w:tblLayout w:type="fixed"/>
        <w:tblCellMar>
          <w:top w:w="28" w:type="dxa"/>
          <w:left w:w="28" w:type="dxa"/>
          <w:bottom w:w="28" w:type="dxa"/>
          <w:right w:w="28" w:type="dxa"/>
        </w:tblCellMar>
      </w:tblPr>
      <w:tblGrid>
        <w:gridCol w:w="2251"/>
        <w:gridCol w:w="436"/>
        <w:gridCol w:w="721"/>
        <w:gridCol w:w="3691"/>
      </w:tblGrid>
      <w:tr>
        <w:trPr/>
        <w:tc>
          <w:tcPr>
            <w:tcW w:w="225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August 12, 2026</w:t>
            </w:r>
          </w:p>
        </w:tc>
        <w:tc>
          <w:tcPr>
            <w:tcW w:w="4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4412"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/s/ Laura E. Niklason</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369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Laura E. Niklason, M.D., Ph.D.</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36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President and 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huma-ex31_2.htm"/>
      <w:bookmarkStart w:id="53" w:name="kshumaex31_2"/>
      <w:bookmarkEnd w:id="52"/>
      <w:bookmarkEnd w:id="53"/>
      <w:r>
        <w:rPr/>
        <w:t> </w:t>
      </w:r>
      <w:r>
        <w:br w:type="page"/>
      </w:r>
    </w:p>
    <w:p>
      <w:pPr>
        <w:pStyle w:val="TextBody"/>
        <w:bidi w:val="0"/>
        <w:jc w:val="right"/>
        <w:rPr>
          <w:rFonts w:ascii="Times New Roman" w:hAnsi="Times New Roman"/>
          <w:b/>
          <w:color w:val="000000"/>
          <w:sz w:val="22"/>
        </w:rPr>
      </w:pPr>
      <w:bookmarkStart w:id="54" w:name="section11"/>
      <w:bookmarkEnd w:id="54"/>
      <w:r>
        <w:rPr>
          <w:rFonts w:ascii="Times New Roman" w:hAnsi="Times New Roman"/>
          <w:b/>
          <w:color w:val="000000"/>
          <w:sz w:val="22"/>
        </w:rPr>
        <w:t>Exhibit 31.2</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Dale A. Sander, certify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have reviewed this Quarterly Report on Form 10-Q of Humacyte, Inc. for the quarter ended June 30, 2026;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0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2142"/>
        <w:gridCol w:w="432"/>
        <w:gridCol w:w="717"/>
        <w:gridCol w:w="6914"/>
      </w:tblGrid>
      <w:tr>
        <w:trPr/>
        <w:tc>
          <w:tcPr>
            <w:tcW w:w="21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914" w:type="dxa"/>
            <w:tcBorders/>
            <w:vAlign w:val="center"/>
          </w:tcPr>
          <w:p>
            <w:pPr>
              <w:pStyle w:val="TableContents"/>
              <w:bidi w:val="0"/>
              <w:spacing w:before="0" w:after="283"/>
              <w:jc w:val="left"/>
              <w:rPr>
                <w:sz w:val="4"/>
                <w:szCs w:val="4"/>
              </w:rPr>
            </w:pPr>
            <w:r>
              <w:rPr>
                <w:sz w:val="4"/>
                <w:szCs w:val="4"/>
              </w:rPr>
            </w:r>
          </w:p>
        </w:tc>
      </w:tr>
      <w:tr>
        <w:trPr/>
        <w:tc>
          <w:tcPr>
            <w:tcW w:w="214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August 12, 2026</w:t>
            </w:r>
          </w:p>
        </w:tc>
        <w:tc>
          <w:tcPr>
            <w:tcW w:w="43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7631"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color w:val="000000"/>
              </w:rPr>
            </w:pPr>
            <w:r>
              <w:rPr>
                <w:color w:val="000000"/>
              </w:rPr>
              <w:t> </w:t>
            </w:r>
            <w:r>
              <w:rPr>
                <w:rFonts w:ascii="Times New Roman" w:hAnsi="Times New Roman"/>
                <w:color w:val="000000"/>
                <w:sz w:val="22"/>
              </w:rPr>
              <w:t>/s/ Dale A. Sander</w:t>
            </w:r>
          </w:p>
        </w:tc>
      </w:tr>
      <w:tr>
        <w:trPr/>
        <w:tc>
          <w:tcPr>
            <w:tcW w:w="2142"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6914"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Dale A. Sander</w:t>
            </w:r>
          </w:p>
        </w:tc>
      </w:tr>
      <w:tr>
        <w:trPr/>
        <w:tc>
          <w:tcPr>
            <w:tcW w:w="2142"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691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Chief Financial Officer, Chief Corporate Development Officer and Treasurer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huma-ex32_1.htm"/>
      <w:bookmarkStart w:id="56" w:name="kshumaex32_1"/>
      <w:bookmarkEnd w:id="55"/>
      <w:bookmarkEnd w:id="56"/>
      <w:r>
        <w:rPr/>
        <w:t> </w:t>
      </w:r>
      <w:r>
        <w:br w:type="page"/>
      </w:r>
    </w:p>
    <w:p>
      <w:pPr>
        <w:pStyle w:val="TextBody"/>
        <w:bidi w:val="0"/>
        <w:jc w:val="right"/>
        <w:rPr>
          <w:rFonts w:ascii="Times New Roman" w:hAnsi="Times New Roman"/>
          <w:b/>
          <w:color w:val="000000"/>
          <w:sz w:val="22"/>
        </w:rPr>
      </w:pPr>
      <w:bookmarkStart w:id="57" w:name="section15"/>
      <w:bookmarkEnd w:id="57"/>
      <w:r>
        <w:rPr>
          <w:rFonts w:ascii="Times New Roman" w:hAnsi="Times New Roman"/>
          <w:b/>
          <w:color w:val="000000"/>
          <w:sz w:val="22"/>
        </w:rPr>
        <w:t>Exhibit 32.1</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connection with the Quarterly Report on Form 10-Q of Humacyte, Inc. (the “Company”) for the quarter ended June 30, 2026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as amended; and</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tbl>
      <w:tblPr>
        <w:tblW w:w="7099" w:type="dxa"/>
        <w:jc w:val="left"/>
        <w:tblInd w:w="0" w:type="dxa"/>
        <w:tblLayout w:type="fixed"/>
        <w:tblCellMar>
          <w:top w:w="28" w:type="dxa"/>
          <w:left w:w="28" w:type="dxa"/>
          <w:bottom w:w="28" w:type="dxa"/>
          <w:right w:w="28" w:type="dxa"/>
        </w:tblCellMar>
      </w:tblPr>
      <w:tblGrid>
        <w:gridCol w:w="2251"/>
        <w:gridCol w:w="436"/>
        <w:gridCol w:w="721"/>
        <w:gridCol w:w="3691"/>
      </w:tblGrid>
      <w:tr>
        <w:trPr/>
        <w:tc>
          <w:tcPr>
            <w:tcW w:w="225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August 12, 2026</w:t>
            </w:r>
          </w:p>
        </w:tc>
        <w:tc>
          <w:tcPr>
            <w:tcW w:w="4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4412"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/s/ Laura E. Niklason</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369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Laura E. Niklason, M.D., Ph.D.</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36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huma-ex32_2.htm"/>
      <w:bookmarkStart w:id="59" w:name="kshumaex32_2"/>
      <w:bookmarkEnd w:id="58"/>
      <w:bookmarkEnd w:id="59"/>
      <w:r>
        <w:rPr/>
        <w:t> </w:t>
      </w:r>
      <w:r>
        <w:br w:type="page"/>
      </w:r>
    </w:p>
    <w:p>
      <w:pPr>
        <w:pStyle w:val="TextBody"/>
        <w:bidi w:val="0"/>
        <w:jc w:val="right"/>
        <w:rPr>
          <w:rFonts w:ascii="Times New Roman" w:hAnsi="Times New Roman"/>
          <w:b/>
          <w:color w:val="000000"/>
          <w:sz w:val="22"/>
        </w:rPr>
      </w:pPr>
      <w:bookmarkStart w:id="60" w:name="section16"/>
      <w:bookmarkEnd w:id="60"/>
      <w:r>
        <w:rPr>
          <w:rFonts w:ascii="Times New Roman" w:hAnsi="Times New Roman"/>
          <w:b/>
          <w:color w:val="000000"/>
          <w:sz w:val="22"/>
        </w:rPr>
        <w:t>Exhibit 32.2</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connection with the Quarterly Report on Form 10-Q of Humacyte, Inc. (the “Company”) for the quarter ended June 30, 2026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as amended; and</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2142"/>
        <w:gridCol w:w="432"/>
        <w:gridCol w:w="717"/>
        <w:gridCol w:w="6914"/>
      </w:tblGrid>
      <w:tr>
        <w:trPr/>
        <w:tc>
          <w:tcPr>
            <w:tcW w:w="21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914" w:type="dxa"/>
            <w:tcBorders/>
            <w:vAlign w:val="center"/>
          </w:tcPr>
          <w:p>
            <w:pPr>
              <w:pStyle w:val="TableContents"/>
              <w:bidi w:val="0"/>
              <w:spacing w:before="0" w:after="283"/>
              <w:jc w:val="left"/>
              <w:rPr>
                <w:sz w:val="4"/>
                <w:szCs w:val="4"/>
              </w:rPr>
            </w:pPr>
            <w:r>
              <w:rPr>
                <w:sz w:val="4"/>
                <w:szCs w:val="4"/>
              </w:rPr>
            </w:r>
          </w:p>
        </w:tc>
      </w:tr>
      <w:tr>
        <w:trPr/>
        <w:tc>
          <w:tcPr>
            <w:tcW w:w="214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August 12, 2026</w:t>
            </w:r>
          </w:p>
        </w:tc>
        <w:tc>
          <w:tcPr>
            <w:tcW w:w="43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7631"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/s/ Dale A. Sander</w:t>
            </w:r>
          </w:p>
        </w:tc>
      </w:tr>
      <w:tr>
        <w:trPr/>
        <w:tc>
          <w:tcPr>
            <w:tcW w:w="2142"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6914"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Dale A. Sander</w:t>
            </w:r>
          </w:p>
        </w:tc>
      </w:tr>
      <w:tr>
        <w:trPr/>
        <w:tc>
          <w:tcPr>
            <w:tcW w:w="2142"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691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Chief Financial Officer, Chief Corporate Development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382/000110465926048164/tm2612631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49129</Words>
  <Characters>265536</Characters>
  <CharactersWithSpaces>315299</CharactersWithSpaces>
  <Paragraphs>7404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