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6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r>
      <w:tr>
        <w:trPr>
          <w:trHeight w:val="217"/>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6"/>
                <w:szCs w:val="16"/>
                <w:color w:val="auto"/>
              </w:rPr>
            </w:pPr>
          </w:p>
        </w:tc>
      </w:tr>
      <w:tr>
        <w:trPr>
          <w:trHeight w:val="662"/>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37" w:lineRule="exact"/>
        <w:rPr>
          <w:sz w:val="24"/>
          <w:szCs w:val="24"/>
          <w:color w:val="auto"/>
        </w:rPr>
      </w:pPr>
    </w:p>
    <w:p>
      <w:pPr>
        <w:jc w:val="both"/>
        <w:spacing w:after="0" w:line="30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50"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80" w:type="dxa"/>
            <w:vAlign w:val="bottom"/>
          </w:tcPr>
          <w:p>
            <w:pPr>
              <w:ind w:left="800"/>
              <w:spacing w:after="0"/>
              <w:rPr>
                <w:sz w:val="20"/>
                <w:szCs w:val="20"/>
                <w:color w:val="auto"/>
              </w:rPr>
            </w:pPr>
            <w:r>
              <w:rPr>
                <w:rFonts w:ascii="Arial" w:cs="Arial" w:eastAsia="Arial" w:hAnsi="Arial"/>
                <w:sz w:val="14"/>
                <w:szCs w:val="14"/>
                <w:color w:val="auto"/>
              </w:rPr>
              <w:t>o</w:t>
            </w: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640"/>
              <w:spacing w:after="0"/>
              <w:rPr>
                <w:sz w:val="20"/>
                <w:szCs w:val="20"/>
                <w:color w:val="auto"/>
              </w:rPr>
            </w:pPr>
            <w:r>
              <w:rPr>
                <w:rFonts w:ascii="Arial" w:cs="Arial" w:eastAsia="Arial" w:hAnsi="Arial"/>
                <w:sz w:val="14"/>
                <w:szCs w:val="14"/>
                <w:color w:val="auto"/>
                <w:w w:val="76"/>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80" w:type="dxa"/>
            <w:vAlign w:val="bottom"/>
          </w:tcPr>
          <w:p>
            <w:pPr>
              <w:ind w:left="800"/>
              <w:spacing w:after="0"/>
              <w:rPr>
                <w:sz w:val="20"/>
                <w:szCs w:val="20"/>
                <w:color w:val="auto"/>
              </w:rPr>
            </w:pPr>
            <w:r>
              <w:rPr>
                <w:rFonts w:ascii="Arial" w:cs="Arial" w:eastAsia="Arial" w:hAnsi="Arial"/>
                <w:sz w:val="14"/>
                <w:szCs w:val="14"/>
                <w:color w:val="auto"/>
              </w:rPr>
              <w:t>x</w:t>
            </w: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640"/>
              <w:spacing w:after="0"/>
              <w:rPr>
                <w:sz w:val="20"/>
                <w:szCs w:val="20"/>
                <w:color w:val="auto"/>
              </w:rPr>
            </w:pPr>
            <w:r>
              <w:rPr>
                <w:rFonts w:ascii="Arial" w:cs="Arial" w:eastAsia="Arial" w:hAnsi="Arial"/>
                <w:sz w:val="14"/>
                <w:szCs w:val="14"/>
                <w:color w:val="auto"/>
                <w:w w:val="85"/>
              </w:rPr>
              <w:t>x</w:t>
            </w:r>
          </w:p>
        </w:tc>
      </w:tr>
      <w:tr>
        <w:trPr>
          <w:trHeight w:val="216"/>
        </w:trPr>
        <w:tc>
          <w:tcPr>
            <w:tcW w:w="20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20" w:type="dxa"/>
            <w:vAlign w:val="bottom"/>
          </w:tcPr>
          <w:p>
            <w:pPr>
              <w:ind w:left="640"/>
              <w:spacing w:after="0"/>
              <w:rPr>
                <w:sz w:val="20"/>
                <w:szCs w:val="20"/>
                <w:color w:val="auto"/>
              </w:rPr>
            </w:pPr>
            <w:r>
              <w:rPr>
                <w:rFonts w:ascii="Arial" w:cs="Arial" w:eastAsia="Arial" w:hAnsi="Arial"/>
                <w:sz w:val="14"/>
                <w:szCs w:val="14"/>
                <w:color w:val="auto"/>
                <w:w w:val="85"/>
              </w:rPr>
              <w:t>x</w:t>
            </w:r>
          </w:p>
        </w:tc>
      </w:tr>
    </w:tbl>
    <w:p>
      <w:pPr>
        <w:spacing w:after="0" w:line="188" w:lineRule="exact"/>
        <w:rPr>
          <w:sz w:val="24"/>
          <w:szCs w:val="24"/>
          <w:color w:val="auto"/>
        </w:rPr>
      </w:pPr>
    </w:p>
    <w:p>
      <w:pPr>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50" w:lineRule="exact"/>
        <w:rPr>
          <w:sz w:val="24"/>
          <w:szCs w:val="24"/>
          <w:color w:val="auto"/>
        </w:rPr>
      </w:pPr>
    </w:p>
    <w:p>
      <w:pPr>
        <w:ind w:right="4020"/>
        <w:spacing w:after="0" w:line="46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As of August 5, 2022, 103,006,803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Convertible Preferred Stock and Stockholders’ Equity</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560" w:type="dxa"/>
            <w:vAlign w:val="bottom"/>
            <w:tcBorders>
              <w:top w:val="single" w:sz="8" w:color="0000FF"/>
            </w:tcBorders>
            <w:gridSpan w:val="15"/>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0000FF"/>
              </w:rPr>
              <w:t>(Deficit) (unaudited)</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10"/>
          </w:tcPr>
          <w:p>
            <w:pPr>
              <w:jc w:val="center"/>
              <w:ind w:left="3951"/>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04" w:lineRule="exact"/>
        <w:rPr>
          <w:sz w:val="20"/>
          <w:szCs w:val="20"/>
          <w:color w:val="auto"/>
        </w:rPr>
      </w:pPr>
    </w:p>
    <w:p>
      <w:pPr>
        <w:ind w:left="660" w:right="780" w:hanging="328"/>
        <w:spacing w:after="0" w:line="244"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31" w:lineRule="exact"/>
        <w:rPr>
          <w:rFonts w:ascii="Arial" w:cs="Arial" w:eastAsia="Arial" w:hAnsi="Arial"/>
          <w:sz w:val="22"/>
          <w:szCs w:val="22"/>
          <w:color w:val="auto"/>
        </w:rPr>
      </w:pPr>
    </w:p>
    <w:p>
      <w:pPr>
        <w:ind w:left="660" w:right="400" w:hanging="328"/>
        <w:spacing w:after="0" w:line="298"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ability to obtain marketing approval from the U.S. Food and Drug Administration (“FDA”) and other regulatory authorities, including the European Medicines Agency (“EMA”), for our bioengineered human acellular vessels (“HAVs”) and other product candidates;</w:t>
      </w:r>
    </w:p>
    <w:p>
      <w:pPr>
        <w:ind w:left="660" w:right="140" w:hanging="328"/>
        <w:spacing w:after="0" w:line="298"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design, initiate and successfully complete clinical trials and other studies for our product candidates and our plans and expectations regarding our ongoing or planned clinical trials, including for our ongoing V005 Phase II/III clinical trial and V007 Phase III clinical trial;</w:t>
      </w:r>
    </w:p>
    <w:p>
      <w:pPr>
        <w:ind w:left="660" w:right="9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ongoing V005 Phase II/III clinical trial, including determination of trial size;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liquidity and trading of our securities;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raise additional capital in the future;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characteristics and performance of our bioengineered human, acellular vessels (“HAVs”);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and ability to commercialize our HAVs and other product candidates, if approved by regulatory authorities;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expected size of the target populations for our product candidates;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anticipated benefits of our HAVs relative to existing alternatives;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assessment of the competitive landscape;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degree of market acceptance of HAVs, if approved, and the availability of third-party coverage and reimbursement;</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manufacture HAVs and other product candidates in sufficient quantities to satisfy our clinical trial and commercial needs;</w:t>
      </w:r>
    </w:p>
    <w:p>
      <w:pPr>
        <w:spacing w:after="0" w:line="89" w:lineRule="exact"/>
        <w:rPr>
          <w:rFonts w:ascii="Arial" w:cs="Arial" w:eastAsia="Arial" w:hAnsi="Arial"/>
          <w:sz w:val="22"/>
          <w:szCs w:val="22"/>
          <w:color w:val="auto"/>
        </w:rPr>
      </w:pPr>
    </w:p>
    <w:p>
      <w:pPr>
        <w:ind w:left="660" w:right="240" w:hanging="328"/>
        <w:spacing w:after="0" w:line="234"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HAV for certain specified indications and in specified markets;</w:t>
      </w:r>
    </w:p>
    <w:p>
      <w:pPr>
        <w:spacing w:after="0" w:line="78"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78" w:lineRule="exact"/>
        <w:rPr>
          <w:rFonts w:ascii="Arial" w:cs="Arial" w:eastAsia="Arial" w:hAnsi="Arial"/>
          <w:sz w:val="22"/>
          <w:szCs w:val="22"/>
          <w:color w:val="auto"/>
        </w:rPr>
      </w:pPr>
    </w:p>
    <w:p>
      <w:pPr>
        <w:ind w:left="660" w:right="100" w:hanging="328"/>
        <w:spacing w:after="0" w:line="234"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76"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future financial performance and capital requirements;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implement and maintain effective internal controls;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COVID-19 pandemic on our business, including our manufacturing efforts, and our preclinical studies and clinical trials.</w:t>
      </w:r>
    </w:p>
    <w:p>
      <w:pPr>
        <w:spacing w:after="0" w:line="15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 is based on information current as of the date of this Quarterly Report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2021, which we filed with the SEC on March 29, 2022.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217,502</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193,030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229,340</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35,034</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246,365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286,533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payroll tax, current portion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obligation, current portion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103,660</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SVB loan payable</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 net of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104,105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164,359</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June 30, 2022 and December 31, 2021; 0 shares issued and</w:t>
            </w:r>
          </w:p>
        </w:tc>
        <w:tc>
          <w:tcPr>
            <w:tcW w:w="28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 as of June 30, 2022 and December 31, 2021</w:t>
            </w:r>
          </w:p>
        </w:tc>
        <w:tc>
          <w:tcPr>
            <w:tcW w:w="2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as of June 30, 2022 and December 31, 2021; 103,006,803 and</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103,003,646 shares issued and outstanding as of June 30, 2022 and December 31, 2021, respectively</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536,737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(397,537)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(414,573)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142,260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122,174</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246,365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286,533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7"/>
                <w:szCs w:val="17"/>
                <w:color w:val="auto"/>
              </w:rPr>
            </w:pPr>
          </w:p>
        </w:tc>
        <w:tc>
          <w:tcPr>
            <w:tcW w:w="27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(39,038)</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36,868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outstanding used in computing net income</w:t>
            </w:r>
          </w:p>
        </w:tc>
        <w:tc>
          <w:tcPr>
            <w:tcW w:w="3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103,005,651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5,941,675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103,004,874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5,908,372</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attributable to common stockholders, basic</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103,908,440</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5,941,675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103,923,138</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5,908,372</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attributable to common stockholders, diluted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right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5"/>
                <w:szCs w:val="15"/>
                <w:color w:val="auto"/>
              </w:rPr>
            </w:pPr>
          </w:p>
        </w:tc>
        <w:tc>
          <w:tcPr>
            <w:tcW w:w="19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103,003,646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536,737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(414,573)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122,174</w:t>
            </w: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9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(19,832)</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103,004,572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538,285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(434,405)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103,890</w:t>
            </w: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9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103,006,803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539,787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(397,537)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142,260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6"/>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right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202"/>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5,822,396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37,778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(388,096)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(350,317)</w:t>
            </w: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116,149</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5,938,545</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42,872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(408,397)</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(365,524)</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5,943,749</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45,832</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(425,595)</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(379,762)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(37,499)</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common stock warrant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interest on PPP loan obligation</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PPP loan forgiveness</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(29,223)</w:t>
            </w:r>
          </w:p>
        </w:tc>
      </w:tr>
      <w:tr>
        <w:trPr>
          <w:trHeight w:val="148"/>
        </w:trPr>
        <w:tc>
          <w:tcPr>
            <w:tcW w:w="8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short-term investments (certificates of deposit)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48"/>
        </w:trPr>
        <w:tc>
          <w:tcPr>
            <w:tcW w:w="8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finance lease principal</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SVB loan</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19,659</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18,355</w:t>
            </w:r>
          </w:p>
        </w:tc>
      </w:tr>
      <w:tr>
        <w:trPr>
          <w:trHeight w:val="156"/>
        </w:trPr>
        <w:tc>
          <w:tcPr>
            <w:tcW w:w="8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(10,960)</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39,929</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181,035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28,969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8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48"/>
        </w:trPr>
        <w:tc>
          <w:tcPr>
            <w:tcW w:w="8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 in accounts payable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deferred offering costs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2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subsidiary (the “Company”) is pioneering the development and manufacture of off-the-shelf, universally implantable, bioengineered human tissues, complex tissue systems, and organs designed to improve the lives of patients and transform the practice of medicine. The Company is leveraging its technology platform to develop proprietary, bioengineered, acellular human tissues, complex tissue systems, and organs for use in the treatment of diseases and conditions across a range of anatomic locations in multiple therapeutic areas.</w:t>
      </w:r>
    </w:p>
    <w:p>
      <w:pPr>
        <w:spacing w:after="0" w:line="13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26, 2021 (the </w:t>
      </w:r>
      <w:r>
        <w:rPr>
          <w:rFonts w:ascii="Arial" w:cs="Arial" w:eastAsia="Arial" w:hAnsi="Arial"/>
          <w:sz w:val="18"/>
          <w:szCs w:val="18"/>
          <w:color w:val="auto"/>
        </w:rPr>
        <w:t>“</w:t>
      </w:r>
      <w:r>
        <w:rPr>
          <w:rFonts w:ascii="Times New Roman" w:cs="Times New Roman" w:eastAsia="Times New Roman" w:hAnsi="Times New Roman"/>
          <w:sz w:val="18"/>
          <w:szCs w:val="18"/>
          <w:color w:val="auto"/>
        </w:rPr>
        <w:t>Closing Date</w:t>
      </w:r>
      <w:r>
        <w:rPr>
          <w:rFonts w:ascii="Arial" w:cs="Arial" w:eastAsia="Arial" w:hAnsi="Arial"/>
          <w:sz w:val="18"/>
          <w:szCs w:val="18"/>
          <w:color w:val="auto"/>
        </w:rPr>
        <w:t>”</w:t>
      </w:r>
      <w:r>
        <w:rPr>
          <w:rFonts w:ascii="Times New Roman" w:cs="Times New Roman" w:eastAsia="Times New Roman" w:hAnsi="Times New Roman"/>
          <w:sz w:val="18"/>
          <w:szCs w:val="18"/>
          <w:color w:val="auto"/>
        </w:rPr>
        <w:t>), Alpha Healthcare Acquisition Corp. (</w:t>
      </w:r>
      <w:r>
        <w:rPr>
          <w:rFonts w:ascii="Arial" w:cs="Arial" w:eastAsia="Arial" w:hAnsi="Arial"/>
          <w:sz w:val="18"/>
          <w:szCs w:val="18"/>
          <w:color w:val="auto"/>
        </w:rPr>
        <w:t>“</w:t>
      </w:r>
      <w:r>
        <w:rPr>
          <w:rFonts w:ascii="Times New Roman" w:cs="Times New Roman" w:eastAsia="Times New Roman" w:hAnsi="Times New Roman"/>
          <w:sz w:val="18"/>
          <w:szCs w:val="18"/>
          <w:color w:val="auto"/>
        </w:rPr>
        <w:t>AHAC</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consummated a merger pursuant to a </w:t>
      </w:r>
      <w:r>
        <w:rPr>
          <w:rFonts w:ascii="Times New Roman" w:cs="Times New Roman" w:eastAsia="Times New Roman" w:hAnsi="Times New Roman"/>
          <w:sz w:val="18"/>
          <w:szCs w:val="18"/>
          <w:color w:val="231F20"/>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The Merger is accounted for as a reverse recapitalization in accordance with accounting principles generally accepted in the United States of America (“U.S. GAAP”), and under this method of accounting, AHAC is treated as the acquired company for financial reporting purposes and Legacy Humacyte is treated as the acquirer. Operations prior to the Merger are those of Legacy Humacyte.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 Reverse Recapitalization for further details of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0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and, to a lesser extent, through governmental and other grants. At June 30, 2022 and December 31, 2021, the Company had an accumulated deficit of $397.5 million and $414.6 million, respectively.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operating losses were $40.3 million and $39.0 million for the six months ended June 30, 2022 and 2021, respectively. Net cash flows used in operating activities were</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$35.4 million and $29.2 million during the six months ended June 30, 2022 and 2021, respectively. Substantially all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operating losses resulted from costs incurred in connection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research and development programs and from general and administrative costs associated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operations. The Company expects to incur substantial operating losses and negative cash flows from operations for the foreseeable future as the Company advances its product candidates.</w:t>
      </w:r>
    </w:p>
    <w:p>
      <w:pPr>
        <w:spacing w:after="0" w:line="14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cash and cash equivalents and short-term investments of $189.0 million. The Company believes its combined cash and cash equivalents and short-term investments on hand will be sufficient to fund operations, including clinical trial expenses and capital expenditure requirements, for at least 12 months from the issuance date of these interim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COVID-19 pandemic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as supply chains have been disrupted, and facilities and production have been suspended. The future progression of the pandemic and its effects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and operations are uncertain. The COVID-19 pandemic may affect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initiate and complete preclinical studies, delay its clinical trials or future clinical trials, disrupt regulatory activities, or have other adverse effects on its business and operations. The pandemic has already caused significant disruptions in the financial markets, and may continue to cause such disruptions, which could impact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raise additional funds to support its operations. Moreover, the pandemic has significantly impacted economies worldwide and could result in adverse effects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and operations.</w:t>
      </w:r>
    </w:p>
    <w:p>
      <w:pPr>
        <w:spacing w:after="0" w:line="1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To date, there have been no material financial impacts or impairment losses in the carrying values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assets as a result of the pandemic and the Company is not aware of any specific related event or circumstance that would require it to revise the estimates reflected in these financial statements. The extent to which the COVID-19 pandemic will directly or indirectly impact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the emergence of new virus variants, and the duration and intensity of the related economic impact of the pandemic.</w:t>
      </w:r>
    </w:p>
    <w:p>
      <w:pPr>
        <w:spacing w:after="0" w:line="142" w:lineRule="exact"/>
        <w:rPr>
          <w:sz w:val="20"/>
          <w:szCs w:val="20"/>
          <w:color w:val="auto"/>
        </w:rPr>
      </w:pPr>
    </w:p>
    <w:p>
      <w:pPr>
        <w:ind w:right="7680" w:firstLine="8"/>
        <w:spacing w:after="0" w:line="46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U.S. GAAP. The Company’s condensed consolidated financial statements reflect the operations of the Company and its wholly owned subsidiaries. All intercompany accounts and transactions have been eliminated in consolidation.</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the Company has retroactively adjusted all common and preferred share and related price information to give effect to the exchange ratio established in the Merger Agreement. Operations prior to the Merger are those of Legacy Humacyte.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fair value of common stock warrants,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2022 and its results of operations for the three and six months ended June 30, 2022 and 2021, and cash flows for the six months ended June 30, 2022 and 2021. The results of operations for the three and six months ended June 30, 2022 are not necessarily indicative of the results to be expected for the year ended December 31, 2022 or any other period. The December 31, 2021 year-end condensed consolidated balance sheet was derived from audited annual financial statements but does not include all disclosures from the annual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2021 and the related notes included in the Company’s Annual Report on Form 10-K, filed with the SEC on March 29, 2022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2021 and 2020 included in the Company’s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is developing proprietary, bioengineered, acellular human tissues, complex tissue systems, and organs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and short-term investments consisting of certificates of deposit (“CDs”). Total cash balances exceeded insured balances by the Federal Deposit Insurance Corporation (“FDIC”) as of June 30, 2022 and December 31, 2021. The Company has cash equivalents that are invested in highly rated money market funds invested only in obligations of the U.S. government and its agencies.</w:t>
      </w:r>
    </w:p>
    <w:p>
      <w:pPr>
        <w:spacing w:after="0" w:line="153" w:lineRule="exact"/>
        <w:rPr>
          <w:sz w:val="20"/>
          <w:szCs w:val="20"/>
          <w:color w:val="auto"/>
        </w:rPr>
      </w:pPr>
    </w:p>
    <w:p>
      <w:pPr>
        <w:jc w:val="both"/>
        <w:ind w:right="100" w:firstLine="324"/>
        <w:spacing w:after="0" w:line="277" w:lineRule="auto"/>
        <w:rPr>
          <w:sz w:val="20"/>
          <w:szCs w:val="20"/>
          <w:color w:val="auto"/>
        </w:rPr>
      </w:pPr>
      <w:r>
        <w:rPr>
          <w:rFonts w:ascii="Times New Roman" w:cs="Times New Roman" w:eastAsia="Times New Roman" w:hAnsi="Times New Roman"/>
          <w:sz w:val="17"/>
          <w:szCs w:val="17"/>
          <w:color w:val="231F20"/>
        </w:rPr>
        <w:t xml:space="preserve">As of both </w:t>
      </w:r>
      <w:r>
        <w:rPr>
          <w:rFonts w:ascii="Times New Roman" w:cs="Times New Roman" w:eastAsia="Times New Roman" w:hAnsi="Times New Roman"/>
          <w:sz w:val="17"/>
          <w:szCs w:val="17"/>
          <w:color w:val="000000"/>
        </w:rPr>
        <w:t>June 30, 2022 and</w:t>
      </w:r>
      <w:r>
        <w:rPr>
          <w:rFonts w:ascii="Times New Roman" w:cs="Times New Roman" w:eastAsia="Times New Roman" w:hAnsi="Times New Roman"/>
          <w:sz w:val="17"/>
          <w:szCs w:val="17"/>
          <w:color w:val="231F20"/>
        </w:rPr>
        <w:t xml:space="preserve"> December 31, 2021, the Company had approximately </w:t>
      </w:r>
      <w:r>
        <w:rPr>
          <w:rFonts w:ascii="Times New Roman" w:cs="Times New Roman" w:eastAsia="Times New Roman" w:hAnsi="Times New Roman"/>
          <w:sz w:val="17"/>
          <w:szCs w:val="17"/>
          <w:color w:val="000000"/>
        </w:rPr>
        <w:t>$10.0 million</w:t>
      </w:r>
      <w:r>
        <w:rPr>
          <w:rFonts w:ascii="Times New Roman" w:cs="Times New Roman" w:eastAsia="Times New Roman" w:hAnsi="Times New Roman"/>
          <w:sz w:val="17"/>
          <w:szCs w:val="17"/>
          <w:color w:val="231F20"/>
        </w:rPr>
        <w:t xml:space="preserve"> in CDs. These cash deposits are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As of both </w:t>
      </w:r>
      <w:r>
        <w:rPr>
          <w:rFonts w:ascii="Times New Roman" w:cs="Times New Roman" w:eastAsia="Times New Roman" w:hAnsi="Times New Roman"/>
          <w:sz w:val="17"/>
          <w:szCs w:val="17"/>
          <w:color w:val="000000"/>
        </w:rPr>
        <w:t>June 30, 2022 and December 31, 2021, t</w:t>
      </w:r>
      <w:r>
        <w:rPr>
          <w:rFonts w:ascii="Times New Roman" w:cs="Times New Roman" w:eastAsia="Times New Roman" w:hAnsi="Times New Roman"/>
          <w:sz w:val="17"/>
          <w:szCs w:val="17"/>
          <w:color w:val="231F20"/>
        </w:rPr>
        <w:t xml:space="preserve">he Company classified </w:t>
      </w:r>
      <w:r>
        <w:rPr>
          <w:rFonts w:ascii="Times New Roman" w:cs="Times New Roman" w:eastAsia="Times New Roman" w:hAnsi="Times New Roman"/>
          <w:sz w:val="17"/>
          <w:szCs w:val="17"/>
          <w:color w:val="000000"/>
        </w:rPr>
        <w:t>$2.0 million</w:t>
      </w:r>
      <w:r>
        <w:rPr>
          <w:rFonts w:ascii="Times New Roman" w:cs="Times New Roman" w:eastAsia="Times New Roman" w:hAnsi="Times New Roman"/>
          <w:sz w:val="17"/>
          <w:szCs w:val="17"/>
          <w:color w:val="231F20"/>
        </w:rPr>
        <w:t xml:space="preserve"> of its certificates of deposit as cash and cash equivalents and </w:t>
      </w:r>
      <w:r>
        <w:rPr>
          <w:rFonts w:ascii="Times New Roman" w:cs="Times New Roman" w:eastAsia="Times New Roman" w:hAnsi="Times New Roman"/>
          <w:sz w:val="17"/>
          <w:szCs w:val="17"/>
          <w:color w:val="000000"/>
        </w:rPr>
        <w:t>$8.0 million</w:t>
      </w:r>
      <w:r>
        <w:rPr>
          <w:rFonts w:ascii="Times New Roman" w:cs="Times New Roman" w:eastAsia="Times New Roman" w:hAnsi="Times New Roman"/>
          <w:sz w:val="17"/>
          <w:szCs w:val="17"/>
          <w:color w:val="231F20"/>
        </w:rPr>
        <w:t xml:space="preserve"> of its certificates of deposit as short-term investments on its condensed consolidated balance sheets.</w:t>
      </w:r>
    </w:p>
    <w:p>
      <w:pPr>
        <w:spacing w:after="0" w:line="1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100% of the Company’s total revenue relates to an award it received from the Department of Defense (“DoD”) in August 2017. As of June 30, 2022 and December 31, 2021, 100% of the Company’s accounts receivable relates to the DoD grant.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02"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net income (loss) attributable to common stockholders by the weighted-average number of common shares outstanding during the period without consideration of potentially dilutive common stock. Diluted net income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and per share amounts)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49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(37,499)</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103,005,651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103,004,874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5,908,372</w:t>
            </w:r>
          </w:p>
        </w:tc>
        <w:tc>
          <w:tcPr>
            <w:tcW w:w="0" w:type="dxa"/>
            <w:vAlign w:val="bottom"/>
          </w:tcPr>
          <w:p>
            <w:pPr>
              <w:spacing w:after="0"/>
              <w:rPr>
                <w:sz w:val="1"/>
                <w:szCs w:val="1"/>
                <w:color w:val="auto"/>
              </w:rPr>
            </w:pPr>
          </w:p>
        </w:tc>
      </w:tr>
      <w:tr>
        <w:trPr>
          <w:trHeight w:val="165"/>
        </w:trPr>
        <w:tc>
          <w:tcPr>
            <w:tcW w:w="50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Dilutive effect of assumed conversion of options to purchase common</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902,789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918,264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103,908,440</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5,941,675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103,923,138</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5,908,372</w:t>
            </w:r>
          </w:p>
        </w:tc>
        <w:tc>
          <w:tcPr>
            <w:tcW w:w="0" w:type="dxa"/>
            <w:vAlign w:val="bottom"/>
          </w:tcPr>
          <w:p>
            <w:pPr>
              <w:spacing w:after="0"/>
              <w:rPr>
                <w:sz w:val="1"/>
                <w:szCs w:val="1"/>
                <w:color w:val="auto"/>
              </w:rPr>
            </w:pPr>
          </w:p>
        </w:tc>
      </w:tr>
      <w:tr>
        <w:trPr>
          <w:trHeight w:val="253"/>
        </w:trPr>
        <w:tc>
          <w:tcPr>
            <w:tcW w:w="4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 - basic</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 - 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for each period because including them would have had an antidilutive effect were as follows:</w:t>
      </w:r>
    </w:p>
    <w:p>
      <w:pPr>
        <w:spacing w:after="0" w:line="19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and 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issuable upon conversion of Series A redeemable convertible preferred stock</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18,421,897</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issuable upon conversion of Series B redeemable convertible preferred stock</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24,137,647</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issuable upon conversion of Series C redeemable convertible preferred stock</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11,241,283</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issuable upon conversion of Series D redeemable convertible preferred stock</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15,812,735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5,347,250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6,520,690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5,588,506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287,704</w:t>
            </w:r>
          </w:p>
        </w:tc>
      </w:tr>
    </w:tbl>
    <w:p>
      <w:pPr>
        <w:spacing w:after="0" w:line="25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15,000,000 Contingent Earnout Shares, as defined in Note 3, are excluded from the anti-dilutive table for the three and six months ended June 30, 2022 as such shares are contingently issuable until the share price of the Company exceeds specified thresholds that have not yet been achieved, or upon the occurrence of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29" w:lineRule="exact"/>
        <w:rPr>
          <w:sz w:val="20"/>
          <w:szCs w:val="20"/>
          <w:color w:val="auto"/>
        </w:rPr>
      </w:pPr>
    </w:p>
    <w:p>
      <w:pPr>
        <w:ind w:right="220" w:firstLine="324"/>
        <w:spacing w:after="0" w:line="26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II/III clinical trial and V007 Phase III clinical trial, the regulatory approval and commercialization of its HAVs and other product</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candidates, the expected size of the target populations for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implementation and maintenance of effective internal controls, and the ability to secure additional capital to fund operations and commercial success of its product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60" w:firstLine="324"/>
        <w:spacing w:after="0" w:line="276"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commercialization efforts are successful, it is uncertain when, if ever, the Company will realize significant revenue from product sales, and the Company may depend on certain strategic relationships to distribute its products, including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strategic partnership with Fresenius Medical Care, to sell, market and distribute its 6 millimeter HAV for certain specified indications outside the United States.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In May 2021, the Financial Accounting Standards Board (the “FASB”) issued Accounting Standards Update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The FASB issued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w:t>
      </w:r>
      <w:r>
        <w:rPr>
          <w:rFonts w:ascii="Times New Roman" w:cs="Times New Roman" w:eastAsia="Times New Roman" w:hAnsi="Times New Roman"/>
          <w:sz w:val="18"/>
          <w:szCs w:val="18"/>
          <w:color w:val="000000"/>
        </w:rPr>
        <w:t>The Company adopted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ASU 2021-04 as of January 1, 2022. The adoption of this ASU had no impact on the Company</w:t>
      </w:r>
      <w:r>
        <w:rPr>
          <w:rFonts w:ascii="Arial" w:cs="Arial" w:eastAsia="Arial" w:hAnsi="Arial"/>
          <w:sz w:val="18"/>
          <w:szCs w:val="18"/>
          <w:color w:val="000000"/>
        </w:rPr>
        <w:t>’</w:t>
      </w:r>
      <w:r>
        <w:rPr>
          <w:rFonts w:ascii="Times New Roman" w:cs="Times New Roman" w:eastAsia="Times New Roman" w:hAnsi="Times New Roman"/>
          <w:sz w:val="18"/>
          <w:szCs w:val="18"/>
          <w:color w:val="000000"/>
        </w:rPr>
        <w:t>s financial statements and related disclosures.</w:t>
      </w:r>
    </w:p>
    <w:p>
      <w:pPr>
        <w:spacing w:after="0" w:line="14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In November 2021, the FASB issued ASU No. 2021-10, “Government Assistance (Topic 832): Disclosures by Business Entities about Government Assistance” (“ASU 2021-10”) to improve financial reporting by requiring annual disclosures that increase the transparency of transactions with a government accounted for by applying a grant or contribution model by analogy, including (i) the types of transactions, (ii) an entity’s accounting for those transactions, and (iii) the effect of those transactions on an entity’s financial statements. ASU 2021-10 is effective for all entities within their scope for financial statements issued for annual periods beginning after December 15, 2021, and an entity can elect to apply the amendments in this guidance prospectively or retrospectively. The Company adopted ASU 2021-10 effective January 1, 2022, and does not expect a material impact to its annual consolidated financial statement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August 26, 2021, Merger Sub, a wholly-owned subsidiary of AHAC, merged with Legacy Humacyte, with Legacy Humacyte surviving as a wholly-owned subsidiary of AHAC. At the effective time of the Merger:</w:t>
      </w:r>
    </w:p>
    <w:p>
      <w:pPr>
        <w:spacing w:after="0" w:line="162" w:lineRule="exact"/>
        <w:rPr>
          <w:sz w:val="20"/>
          <w:szCs w:val="20"/>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Humacyte common stock was converted into approximately 0.26260 shares of New Humacyte’s common stock, par value $0.0001 (“Common Stock”);</w:t>
      </w:r>
    </w:p>
    <w:p>
      <w:pPr>
        <w:spacing w:after="0" w:line="16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preferred stock of Legacy Humacyte was cancelled and converted into the aggregate number of shares of New Humacyte’s common stock that would be issued upon conversion of the shares of Legacy Humacyte preferred stock based on the applicable conversion ratio immediately prior to the effective time, multiplied by approximately 0.26260; and</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or warrant to purchase Legacy Humacyte common stock was converted into an option or warrant, as applicable, to purchase a number of shares of New Humacyte’s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each case, rounded down to the nearest whole share.</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upon the closing of the merger (the “Closing”), 2,500,000 Class B shares of AHAC (the “Founder Shares”) automatically converted into shares of Common Stock on a one-for-one basis.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Former holders of the Legacy Humacyte common stock and Legacy Humacyte preferred stock are eligible to receive up to an aggregate of 15,000,000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of Common Stock (the “Contingent Earnout Shares”) in the aggregate, comprised of two equal tranches of 7,500,000 shares per tranche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volume-weighted average closing sale price of the Common Stock is greater than or equal to $15.00 and $20.00, respectively, for any 20 trading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any 30 consecutive trading day period. At the Closing on August 26, 2021, the Company recorded a liability (“Contingent Earnout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$159.4 million, based on the estimated fair value of the 15,000,000 Contingent Earnout Shares with a corresponding reduction of 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equity section of the Company’s condensed consolidated balance sheet.</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AHAC entered into subscription agreements (the “Subscription Agreements”) with certain investors (the “PIPE Investors”). Pursuant to the Subscription Agreements, the PIPE Investors purchased an aggregate of 17,500,000 shares of Common Stock (the “PIPE Shares”) in a private placement at a price of $10.00 per share for an aggregate purchase price of $175 million (the “PIPE Financing”). The PIPE Financing was consummated in connection with the Closing.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 was: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r>
      <w:tr>
        <w:trPr>
          <w:trHeight w:val="23"/>
        </w:trPr>
        <w:tc>
          <w:tcPr>
            <w:tcW w:w="9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 outstanding prior to Merger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10,355,000</w:t>
            </w:r>
          </w:p>
        </w:tc>
        <w:tc>
          <w:tcPr>
            <w:tcW w:w="420" w:type="dxa"/>
            <w:vAlign w:val="bottom"/>
            <w:shd w:val="clear" w:color="auto" w:fill="CCEEFF"/>
          </w:tcPr>
          <w:p>
            <w:pPr>
              <w:spacing w:after="0"/>
              <w:rPr>
                <w:sz w:val="19"/>
                <w:szCs w:val="19"/>
                <w:color w:val="auto"/>
              </w:rPr>
            </w:pPr>
          </w:p>
        </w:tc>
      </w:tr>
      <w:tr>
        <w:trPr>
          <w:trHeight w:val="22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 of AHAC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(3,008,551)</w:t>
            </w:r>
          </w:p>
        </w:tc>
        <w:tc>
          <w:tcPr>
            <w:tcW w:w="420" w:type="dxa"/>
            <w:vAlign w:val="bottom"/>
            <w:tcBorders>
              <w:bottom w:val="single" w:sz="8" w:color="CCEEFF"/>
            </w:tcBorders>
          </w:tcPr>
          <w:p>
            <w:pPr>
              <w:spacing w:after="0"/>
              <w:rPr>
                <w:sz w:val="19"/>
                <w:szCs w:val="19"/>
                <w:color w:val="auto"/>
              </w:rPr>
            </w:pP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7,346,449</w:t>
            </w:r>
          </w:p>
        </w:tc>
        <w:tc>
          <w:tcPr>
            <w:tcW w:w="420" w:type="dxa"/>
            <w:vAlign w:val="bottom"/>
            <w:shd w:val="clear" w:color="auto" w:fill="CCEEFF"/>
          </w:tcPr>
          <w:p>
            <w:pPr>
              <w:spacing w:after="0"/>
              <w:rPr>
                <w:sz w:val="19"/>
                <w:szCs w:val="19"/>
                <w:color w:val="auto"/>
              </w:rPr>
            </w:pP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AHAC Founder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420" w:type="dxa"/>
            <w:vAlign w:val="bottom"/>
          </w:tcPr>
          <w:p>
            <w:pPr>
              <w:spacing w:after="0"/>
              <w:rPr>
                <w:sz w:val="19"/>
                <w:szCs w:val="19"/>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to PIPE Investors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420" w:type="dxa"/>
            <w:vAlign w:val="bottom"/>
            <w:shd w:val="clear" w:color="auto" w:fill="CCEEFF"/>
          </w:tcPr>
          <w:p>
            <w:pPr>
              <w:spacing w:after="0"/>
              <w:rPr>
                <w:sz w:val="19"/>
                <w:szCs w:val="19"/>
                <w:color w:val="auto"/>
              </w:rPr>
            </w:pP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reverse recapitalization and PIPE Financing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27,346,449</w:t>
            </w:r>
          </w:p>
        </w:tc>
        <w:tc>
          <w:tcPr>
            <w:tcW w:w="420" w:type="dxa"/>
            <w:vAlign w:val="bottom"/>
          </w:tcPr>
          <w:p>
            <w:pPr>
              <w:spacing w:after="0"/>
              <w:rPr>
                <w:sz w:val="19"/>
                <w:szCs w:val="19"/>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in Merger to Legacy Humacyte stockholders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75,656,935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(1)</w:t>
            </w: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103,003,384</w:t>
            </w:r>
          </w:p>
        </w:tc>
        <w:tc>
          <w:tcPr>
            <w:tcW w:w="42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69,613,562 shares of Common Stock issued upon conversion of Legacy Humacyte’s redeemable convertible preferred stock.</w:t>
      </w:r>
    </w:p>
    <w:p>
      <w:pPr>
        <w:spacing w:after="0" w:line="22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Merger is accounted for as a reverse recapitalization in accordance with U.S. GAAP. Under this method of accounting, AHAC is treated as the acquired company for financial reporting purposes and Legacy Humacyte is treated as the acquirer. This determination is primarily based on the fact that subsequent to the Merger, the Legacy Humacyte stockholders hold a majority of the voting rights of the combined company, Legacy Humacyte comprises all of the ongoing operations of the combined company, Legacy Humacyte comprises a majority of the carryover governing body of the combined company, and Legacy Humacyte’s senior management comprises all of the senior management of the combined company. Accordingly, for accounting purposes, the Merger was treated as the equivalent of Legacy Humacyte issuing shares for the net assets of AHAC, accompanied by a recapitalization. The net assets of AHAC were stated at historical costs. No goodwill or other intangible assets were recorded. Operations prior to the Merger are those of Legacy Humacyte.</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Merger, the Company received $242.4 million in proceeds from the Merger and related PIPE Financing. The Company incurred $3.9 million of transaction costs, consisting of banking, legal, and other professional fees, of which $3.9 million was recorded as a reduction of proceeds to additional paid-in capital, and less than $0.1 million related to the Private Placement Warrants, which are classified as liabilities in the condensed consolidated balance sheets, was expensed in the condensed consolidated statements of operations and comprehensive income (loss) during the three months ended September 30, 2021. All transaction costs were paid as of December 31, 2021. Legacy Humacyte assumed $15.2 million of liabilities, including PIPE Financing fees and legal fees, and $0.1 million of assets from AHAC. Of the $15.2 million of liabilities assumed from AHAC, $0.1 million was included in accrued expenses as of December 31, 2021, and there were no unpaid liabilities as of June 30,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Accounting Standards Codification (“ASC”) 820, </w:t>
      </w:r>
      <w:r>
        <w:rPr>
          <w:rFonts w:ascii="Times New Roman" w:cs="Times New Roman" w:eastAsia="Times New Roman" w:hAnsi="Times New Roman"/>
          <w:sz w:val="18"/>
          <w:szCs w:val="18"/>
          <w:i w:val="1"/>
          <w:iCs w:val="1"/>
          <w:color w:val="auto"/>
        </w:rPr>
        <w:t>Fair Value Measurement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three levels to the fair value hierarchy based on reliability of inputs, as follows: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Measured as of June 30,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176,446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 summary of the changes in the fair value of the Company’s Level 3 financial instruments: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 w:type="dxa"/>
            <w:vAlign w:val="bottom"/>
            <w:vMerge w:val="restart"/>
          </w:tcPr>
          <w:p>
            <w:pPr>
              <w:spacing w:after="0"/>
              <w:rPr>
                <w:sz w:val="13"/>
                <w:szCs w:val="13"/>
                <w:color w:val="auto"/>
              </w:rPr>
            </w:pPr>
          </w:p>
        </w:tc>
        <w:tc>
          <w:tcPr>
            <w:tcW w:w="188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 w:type="dxa"/>
            <w:vAlign w:val="bottom"/>
          </w:tcPr>
          <w:p>
            <w:pPr>
              <w:spacing w:after="0"/>
              <w:rPr>
                <w:sz w:val="16"/>
                <w:szCs w:val="16"/>
                <w:color w:val="auto"/>
              </w:rPr>
            </w:pPr>
          </w:p>
        </w:tc>
        <w:tc>
          <w:tcPr>
            <w:tcW w:w="18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705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(100,402)</w:t>
            </w:r>
          </w:p>
        </w:tc>
        <w:tc>
          <w:tcPr>
            <w:tcW w:w="100" w:type="dxa"/>
            <w:vAlign w:val="bottom"/>
          </w:tcPr>
          <w:p>
            <w:pPr>
              <w:spacing w:after="0"/>
              <w:rPr>
                <w:sz w:val="19"/>
                <w:szCs w:val="19"/>
                <w:color w:val="auto"/>
              </w:rPr>
            </w:pP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w:t>
            </w:r>
          </w:p>
        </w:tc>
      </w:tr>
      <w:tr>
        <w:trPr>
          <w:trHeight w:val="234"/>
        </w:trPr>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59,611</w:t>
            </w:r>
          </w:p>
        </w:tc>
      </w:tr>
      <w:tr>
        <w:trPr>
          <w:trHeight w:val="223"/>
        </w:trPr>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10"/>
        </w:trPr>
        <w:tc>
          <w:tcPr>
            <w:tcW w:w="380" w:type="dxa"/>
            <w:vAlign w:val="bottom"/>
          </w:tcPr>
          <w:p>
            <w:pPr>
              <w:spacing w:after="0"/>
              <w:rPr>
                <w:sz w:val="24"/>
                <w:szCs w:val="24"/>
                <w:color w:val="auto"/>
              </w:rPr>
            </w:pPr>
          </w:p>
        </w:tc>
        <w:tc>
          <w:tcPr>
            <w:tcW w:w="258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760" w:type="dxa"/>
            <w:vAlign w:val="bottom"/>
          </w:tcPr>
          <w:p>
            <w:pPr>
              <w:spacing w:after="0"/>
              <w:rPr>
                <w:sz w:val="24"/>
                <w:szCs w:val="24"/>
                <w:color w:val="auto"/>
              </w:rPr>
            </w:pPr>
          </w:p>
        </w:tc>
      </w:tr>
      <w:tr>
        <w:trPr>
          <w:trHeight w:val="23"/>
        </w:trPr>
        <w:tc>
          <w:tcPr>
            <w:tcW w:w="1880" w:type="dxa"/>
            <w:vAlign w:val="bottom"/>
            <w:tcBorders>
              <w:bottom w:val="single" w:sz="8" w:color="auto"/>
            </w:tcBorders>
            <w:gridSpan w:val="3"/>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128"/>
        </w:trPr>
        <w:tc>
          <w:tcPr>
            <w:tcW w:w="1880" w:type="dxa"/>
            <w:vAlign w:val="bottom"/>
            <w:gridSpan w:val="3"/>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513"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(423)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net</w:t>
            </w: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6"/>
              </w:rPr>
              <w:t>307</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Earnout Liability and Private Placement Warrants (as defined in Note 8 — Stockholders’ Equity (Deficit)) liability are based on significant unobservable inputs, which represent Level 3 measurements within the fair value hierarchy.</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(Deficit)). Contingent earnout payments involve certain assumptions requiring significant judgment and actual results can differ from assumed and estimated amounts.</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 including the current Company stock price, expected volatility, risk-free rate, expected term and expected dividend yield (see Note 8 — Stockholders’ Equity (Deficit)).</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Certificates of deposit are carried at amortized cost in the Company’s condensed consolidated balance sheets, which approximates their fair value based on Level 2 inputs. The carrying values of other receivables, accounts payable and accrued expenses as of June 30, 2022 and December 31, 2021 approximated their fair values due to the short-term nature of these items.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Scientific equipment</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20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Includes </w:t>
      </w:r>
      <w:r>
        <w:rPr>
          <w:rFonts w:ascii="Times New Roman" w:cs="Times New Roman" w:eastAsia="Times New Roman" w:hAnsi="Times New Roman"/>
          <w:sz w:val="18"/>
          <w:szCs w:val="18"/>
          <w:color w:val="000000"/>
        </w:rPr>
        <w:t>$3.6 million</w:t>
      </w:r>
      <w:r>
        <w:rPr>
          <w:rFonts w:ascii="Times New Roman" w:cs="Times New Roman" w:eastAsia="Times New Roman" w:hAnsi="Times New Roman"/>
          <w:sz w:val="18"/>
          <w:szCs w:val="18"/>
          <w:color w:val="231F20"/>
        </w:rPr>
        <w:t xml:space="preserve"> as of both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and December 31, 2021 related to scientific equipment not placed into service and therefore not being depreciated.</w:t>
      </w:r>
    </w:p>
    <w:p>
      <w:pPr>
        <w:spacing w:after="0" w:line="13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$1.5 million and $3.0 million for the three and six months ended June 30, 2022 and $1.6 million and $3.1 million for the three and six months ended June 30, 2021,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6,186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March 30, 2021, the Company entered into a term loan agreement with Silicon Valley Bank and SVB Innovation Credit Fund VIII, L.P., as amended in June 2021 and September 2021 (the “Loan Agreement”), which provides a term loan facility of up to $50.0 million with a maturity date of March 1, 2025.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June 30, 2022, the Company was in compliance with all covenants. The Company may use the proceeds of borrowings under the Loan Agreement as working capital and to fund its general business requirements.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Loan Agreement provides that the term loans will be distributed in tranches. The initial term loan tranche of $20.0 million was drawn on March 31, 2021, and on October 13, 2021, the Company borrowed an additional $10.0 million under the Loan Agreement. Borrowings under the Loan Agreement are accounted for net of issuance costs which are being accreted to interest expense over the term of the loan using the effective interest method. As of June 30, 2022, two subsequent $10.0 million term loan tranches will be eligible to be drawn at the request of the Company during specified draw periods prior to March 31, 2023, subject to the achievement of certain business milestones and other requirements by the dates specified in the Loan Agreement. Borrowings bear interest at the greater of 7.5% or the Wall Street Journal Prime Rate plus 4.25% (9.00% as of June 30, 2022). Interest only payments on the principal amount outstanding are due monthly beginning in the first month after the loan is dispersed. Repayment of principal may begin as soon as July 1, 2023 under the level of borrowing outstanding at June 30, 2022, and no later than April 1, 2024 if the remaining two loan tranches are drawn. The term loans may only be prepaid in full, and such prepayment requires 30 days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advance notice and was subject initially to a prepayment fee of 3.00% that was decreased to 2.00% after March 30, 2022 (with a further decrease to 1.00% after March 30, 2023). The Company is not obligated to pay a prepayment fee if the Company makes a prepayment after March 30, 2024.</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Loan Agreement, the Company granted warrants to the lenders to purchase shares of Common Stock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 per share, of which 287,704 warrants were immediately exercisable. The warrants are classified within stockholders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equity as the settlement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 indexed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own stock. The Company recognized the fair value of the warrants immediately exercisable within stockholders</w:t>
      </w: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using a Black-Scholes valuation model at issuance.</w:t>
      </w:r>
    </w:p>
    <w:p>
      <w:pPr>
        <w:spacing w:after="0" w:line="17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At issuance, the Company initially determined that the funding of an additional tranche was not probable, and therefore no value was ascribed to the remaining 123,302 warrants that were only exercisable upon the funding of the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Company’s own stock.</w:t>
      </w:r>
    </w:p>
    <w:p>
      <w:pPr>
        <w:spacing w:after="0" w:line="14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fair value of warrants ($3.3 million), a 5% final payment fee ($1.5 million) and debt issuance costs ($0.3 million) are being accreted to interest expense over the term of the loan using the effective interest method.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SVB loan payable and net discount or premium balances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Pr>
          <w:p>
            <w:pPr>
              <w:spacing w:after="0"/>
              <w:rPr>
                <w:sz w:val="13"/>
                <w:szCs w:val="13"/>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97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SVB loan payable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Final payment amount of SVB loan payable</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 associated with accretion of final payment and other debt issuance costs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SVB loan payable, current and noncurrent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SVB loan payable, current portion</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SVB loan payable, noncurrent portion</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Future minimum payments of principal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outstanding variable rate borrowings as of June 30, 2022 are as follows:</w:t>
            </w: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9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Year ending December 31:</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
        </w:trPr>
        <w:tc>
          <w:tcPr>
            <w:tcW w:w="97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April 30, 2020, the Company received loan proceeds in the amount of approximately $3.3 million under the Paycheck Protection Program (</w:t>
      </w:r>
      <w:r>
        <w:rPr>
          <w:rFonts w:ascii="Arial" w:cs="Arial" w:eastAsia="Arial" w:hAnsi="Arial"/>
          <w:sz w:val="18"/>
          <w:szCs w:val="18"/>
          <w:color w:val="auto"/>
        </w:rPr>
        <w:t>“</w:t>
      </w:r>
      <w:r>
        <w:rPr>
          <w:rFonts w:ascii="Times New Roman" w:cs="Times New Roman" w:eastAsia="Times New Roman" w:hAnsi="Times New Roman"/>
          <w:sz w:val="18"/>
          <w:szCs w:val="18"/>
          <w:color w:val="auto"/>
        </w:rPr>
        <w:t>PPP</w:t>
      </w:r>
      <w:r>
        <w:rPr>
          <w:rFonts w:ascii="Arial" w:cs="Arial" w:eastAsia="Arial" w:hAnsi="Arial"/>
          <w:sz w:val="18"/>
          <w:szCs w:val="18"/>
          <w:color w:val="auto"/>
        </w:rPr>
        <w:t>”</w:t>
      </w:r>
      <w:r>
        <w:rPr>
          <w:rFonts w:ascii="Times New Roman" w:cs="Times New Roman" w:eastAsia="Times New Roman" w:hAnsi="Times New Roman"/>
          <w:sz w:val="18"/>
          <w:szCs w:val="18"/>
          <w:color w:val="auto"/>
        </w:rPr>
        <w:t>) established under the Coronavirus Aid, Relief, and Economic Security Act. All or a portion of this loan and any accrued interest was eligible to be forgiven after a twenty-four week period as long as the borrower used the loan proceeds for eligible purposes, including payroll, benefits, rent and utilities, and maintained its payroll levels. On May 25, 2021, the PPP loan was forgiven and the Company recognized a gain from loan extinguishment in the amount of $3.3 million during the three months ended June 30, 2021.</w:t>
      </w:r>
    </w:p>
    <w:p>
      <w:pPr>
        <w:spacing w:after="0" w:line="139" w:lineRule="exact"/>
        <w:rPr>
          <w:sz w:val="20"/>
          <w:szCs w:val="20"/>
          <w:color w:val="auto"/>
        </w:rPr>
      </w:pPr>
    </w:p>
    <w:p>
      <w:pPr>
        <w:ind w:right="8060" w:firstLine="8"/>
        <w:spacing w:after="0" w:line="490" w:lineRule="auto"/>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w:t>
      </w:r>
      <w:r>
        <w:rPr>
          <w:rFonts w:ascii="Arial" w:cs="Arial" w:eastAsia="Arial" w:hAnsi="Arial"/>
          <w:sz w:val="17"/>
          <w:szCs w:val="17"/>
          <w:b w:val="1"/>
          <w:bCs w:val="1"/>
          <w:color w:val="auto"/>
        </w:rPr>
        <w:t>’</w:t>
      </w:r>
      <w:r>
        <w:rPr>
          <w:rFonts w:ascii="Times New Roman" w:cs="Times New Roman" w:eastAsia="Times New Roman" w:hAnsi="Times New Roman"/>
          <w:sz w:val="17"/>
          <w:szCs w:val="17"/>
          <w:b w:val="1"/>
          <w:bCs w:val="1"/>
          <w:color w:val="auto"/>
        </w:rPr>
        <w:t xml:space="preserve"> Equity (Deficit) Redeemable Convertible Preferred Stock</w:t>
      </w:r>
    </w:p>
    <w:p>
      <w:pPr>
        <w:spacing w:after="0" w:line="1" w:lineRule="exact"/>
        <w:rPr>
          <w:sz w:val="20"/>
          <w:szCs w:val="20"/>
          <w:color w:val="auto"/>
        </w:rPr>
      </w:pPr>
    </w:p>
    <w:p>
      <w:pPr>
        <w:jc w:val="both"/>
        <w:ind w:right="100" w:firstLine="324"/>
        <w:spacing w:after="0" w:line="268" w:lineRule="auto"/>
        <w:rPr>
          <w:sz w:val="20"/>
          <w:szCs w:val="20"/>
          <w:color w:val="auto"/>
        </w:rPr>
      </w:pPr>
      <w:r>
        <w:rPr>
          <w:rFonts w:ascii="Times New Roman" w:cs="Times New Roman" w:eastAsia="Times New Roman" w:hAnsi="Times New Roman"/>
          <w:sz w:val="18"/>
          <w:szCs w:val="18"/>
          <w:color w:val="auto"/>
        </w:rPr>
        <w:t xml:space="preserve">Immediately prior to the Merger, Legacy Humacyte had outstanding series A redeemable convertible preferred stock, series B redeemable convertible preferred stock, series C redeemable convertible preferred stock and series D redeemable convertible preferred stock, which are collectively referred to as </w:t>
      </w:r>
      <w:r>
        <w:rPr>
          <w:rFonts w:ascii="Arial" w:cs="Arial" w:eastAsia="Arial" w:hAnsi="Arial"/>
          <w:sz w:val="18"/>
          <w:szCs w:val="18"/>
          <w:color w:val="auto"/>
        </w:rPr>
        <w:t>“</w:t>
      </w:r>
      <w:r>
        <w:rPr>
          <w:rFonts w:ascii="Times New Roman" w:cs="Times New Roman" w:eastAsia="Times New Roman" w:hAnsi="Times New Roman"/>
          <w:sz w:val="18"/>
          <w:szCs w:val="18"/>
          <w:color w:val="auto"/>
        </w:rPr>
        <w:t>redeemable convertible preferred stock.</w:t>
      </w:r>
      <w:r>
        <w:rPr>
          <w:rFonts w:ascii="Arial" w:cs="Arial" w:eastAsia="Arial" w:hAnsi="Arial"/>
          <w:sz w:val="18"/>
          <w:szCs w:val="18"/>
          <w:color w:val="auto"/>
        </w:rPr>
        <w:t>”</w:t>
      </w:r>
    </w:p>
    <w:p>
      <w:pPr>
        <w:spacing w:after="0" w:line="1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all previously issued and outstanding redeemable convertible preferred stock was converted into an equivalent number of shares of Common Stock of the Company on a one-for-one basis, then multiplied by the exchange ratio pursuant to the Merger Agreement and the amounts were reclassified as additional paid-in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w:t>
      </w:r>
    </w:p>
    <w:p>
      <w:pPr>
        <w:spacing w:after="0" w:line="139" w:lineRule="exact"/>
        <w:rPr>
          <w:sz w:val="20"/>
          <w:szCs w:val="20"/>
          <w:color w:val="auto"/>
        </w:rPr>
      </w:pPr>
    </w:p>
    <w:p>
      <w:pPr>
        <w:ind w:right="120" w:firstLine="324"/>
        <w:spacing w:after="0" w:line="260" w:lineRule="auto"/>
        <w:rPr>
          <w:sz w:val="20"/>
          <w:szCs w:val="20"/>
          <w:color w:val="auto"/>
        </w:rPr>
      </w:pPr>
      <w:r>
        <w:rPr>
          <w:rFonts w:ascii="Times New Roman" w:cs="Times New Roman" w:eastAsia="Times New Roman" w:hAnsi="Times New Roman"/>
          <w:sz w:val="18"/>
          <w:szCs w:val="18"/>
          <w:color w:val="auto"/>
        </w:rPr>
        <w:t>As of June 30, 2022,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Second Amended and Restated Certificate of Incorporation authorized the Company to issue 250,000,000 shares of Common Stock. The number of authorized shares of Common Stock may be increased or decreased (but not below the number of shares thereof then outstanding or reserved for issuance) by the affirmative vote of the holders of a majority of the capital stock of the Company entitled to vote and may require a separate class vote of the Common Stock.</w:t>
      </w:r>
    </w:p>
    <w:p>
      <w:pPr>
        <w:spacing w:after="0" w:line="155"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Through June 30, 2022, no dividends have been declared.</w:t>
      </w:r>
    </w:p>
    <w:p>
      <w:pPr>
        <w:spacing w:after="0" w:line="12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the preferred stockholders of their liquidation preferences, holders of Common Stock are entitled to share ratably in all remaining assets of the Company.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 Company had reserved Common Stock for future issuances as follows:</w:t>
      </w:r>
    </w:p>
    <w:p>
      <w:pPr>
        <w:spacing w:after="0" w:line="219"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options under stock plans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15,000,000</w:t>
      </w:r>
    </w:p>
    <w:p>
      <w:pPr>
        <w:spacing w:after="0" w:line="3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6,899,995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7,226,977</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1,030,033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5,588,506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9429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35,745,511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24765</wp:posOffset>
            </wp:positionV>
            <wp:extent cx="942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50165</wp:posOffset>
            </wp:positionV>
            <wp:extent cx="9429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40" w:space="720"/>
            <w:col w:w="860"/>
          </w:cols>
          <w:pgMar w:left="320" w:top="513" w:right="35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Second Amended and Restated Certificate of Incorporation provides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with the authority to issue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par value preferred stock in one more series and to establish from time to time the number of shares to be included in each such series, by adopting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resolution and filing a certification of designations. Voting powers, designations, powers, preferences and relative, participating, optional, special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rights shall be stated and expressed in such resolutions. There were 20,000,000 shares designated as preferred stock and none were outstanding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 as of June 30, 2022 and December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5"/>
        </w:trPr>
        <w:tc>
          <w:tcPr>
            <w:tcW w:w="976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55"/>
        </w:trPr>
        <w:tc>
          <w:tcPr>
            <w:tcW w:w="9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8"/>
          <w:szCs w:val="18"/>
          <w:color w:val="auto"/>
        </w:rPr>
        <w:t>See Note 7 — Debt for a discussion of common stock warrants issued in conjunction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Loan Agreement in 2021 (such warrants, “Legacy Humacyte Common Stock Warrants”). There were no issuances, exercises or expirations of warrants during the six months ended June 30, 2022. During the six months ended June 30, 2021 there were 32,961 of warrants exercised that were issued in conjunction with a long-term debt agreement repaid in a prior reporting period. There were no expirations of warrants during the six months ended June 30, 2021.</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 in control and would not preclude permanent equity classification of the Public Warrants. Based on this evaluation, the Company concluded that the Public Warrants meet the criteria to be classified within stockholders’ equity. The Public Warrants were initially recognized as equity on the Closing Date at a fair value of $2.80 per share.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0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income (loss) at each reporting date.</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and the liability was remeasured to an estimated fair value of $0.5 million as of December 31, 2021. See Note 4 — Fair Value Measurements for a summary of the change in the fair value of the Private Placement Warrants during the three and six months ended June 30, 2022. The remeasurement of the Private Placement Warrant liability to a fair value of $0.2 million as of June 30, 2022 resulted in a non-cash gain of $0.2 million and $0.3 million for the three and six months ended June 30, 2022, respectively, classified within Change in fair value of common stock warrant liabilities in the condensed consolidated statements of operations and comprehensive income (loss).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Liability</w:t>
      </w:r>
    </w:p>
    <w:p>
      <w:pPr>
        <w:spacing w:after="0" w:line="189" w:lineRule="exact"/>
        <w:rPr>
          <w:sz w:val="20"/>
          <w:szCs w:val="20"/>
          <w:color w:val="auto"/>
        </w:rPr>
      </w:pPr>
    </w:p>
    <w:p>
      <w:pPr>
        <w:ind w:right="60" w:firstLine="324"/>
        <w:spacing w:after="0" w:line="260" w:lineRule="auto"/>
        <w:rPr>
          <w:sz w:val="20"/>
          <w:szCs w:val="20"/>
          <w:color w:val="auto"/>
        </w:rPr>
      </w:pPr>
      <w:r>
        <w:rPr>
          <w:rFonts w:ascii="Times New Roman" w:cs="Times New Roman" w:eastAsia="Times New Roman" w:hAnsi="Times New Roman"/>
          <w:sz w:val="18"/>
          <w:szCs w:val="18"/>
          <w:color w:val="auto"/>
        </w:rPr>
        <w:t>Following the Closing, former holders of Legacy Humacyte common and preferred shares may receive up to 15,000,000 additional shares of Common Stock in the aggregate, in two equal tranches of 7,500,000 shares of Common Stock per tranche. The first and second tranches are issuable if the closing volume weighted average price (</w:t>
      </w:r>
      <w:r>
        <w:rPr>
          <w:rFonts w:ascii="Arial" w:cs="Arial" w:eastAsia="Arial" w:hAnsi="Arial"/>
          <w:sz w:val="18"/>
          <w:szCs w:val="18"/>
          <w:color w:val="auto"/>
        </w:rPr>
        <w:t>“</w:t>
      </w:r>
      <w:r>
        <w:rPr>
          <w:rFonts w:ascii="Times New Roman" w:cs="Times New Roman" w:eastAsia="Times New Roman" w:hAnsi="Times New Roman"/>
          <w:sz w:val="18"/>
          <w:szCs w:val="18"/>
          <w:color w:val="auto"/>
        </w:rPr>
        <w:t>VWAP</w:t>
      </w:r>
      <w:r>
        <w:rPr>
          <w:rFonts w:ascii="Arial" w:cs="Arial" w:eastAsia="Arial" w:hAnsi="Arial"/>
          <w:sz w:val="18"/>
          <w:szCs w:val="18"/>
          <w:color w:val="auto"/>
        </w:rPr>
        <w:t>”</w:t>
      </w:r>
      <w:r>
        <w:rPr>
          <w:rFonts w:ascii="Times New Roman" w:cs="Times New Roman" w:eastAsia="Times New Roman" w:hAnsi="Times New Roman"/>
          <w:sz w:val="18"/>
          <w:szCs w:val="18"/>
          <w:color w:val="auto"/>
        </w:rPr>
        <w:t>) per share of Common Stock quoted on Nasdaq (or the exchange on which the shares of Common Stock are then listed) is greater or equal to $15.00 and $20.00, respectively, over any 20 trading days within any 30 consecutive trading day period.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(expense) income, net in the condensed consolidated statements of operations and comprehensive income (loss). The estimated fair value of the total Contingent Earnout Shares at the Closing on August 26, 2021 was $159.4 million based on a Monte Carlo simulation valuation model using a distribution of potential outcomes on a monthly basis over a ten-year period using the most reliable information available. The estimated fair value of the total Contingent Earnout Shares at December 31, 2021 was $103.7 million.</w:t>
      </w:r>
    </w:p>
    <w:p>
      <w:pPr>
        <w:spacing w:after="0" w:line="14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See Note 4 — Fair Value Measurements for a summary of the change in the fair value of the Contingent Earnout Liability during the three and six months ended June 30, 2022. The remeasurement of the Contingent Earnout Liability to a fair value of $44.0 million as of June 30, 2022 resulted in a non-cash gain of $56.4 million and $59.6 million for the three and six months ended June 30, 2022, respectively, classified within Change in fair value of contingent earnout liability in the condensed consolidated statements of operations and comprehensive income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06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89.2 %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jc w:val="both"/>
        <w:ind w:right="40" w:firstLine="324"/>
        <w:spacing w:after="0" w:line="270" w:lineRule="auto"/>
        <w:rPr>
          <w:sz w:val="20"/>
          <w:szCs w:val="20"/>
          <w:color w:val="auto"/>
        </w:rPr>
      </w:pPr>
      <w:r>
        <w:rPr>
          <w:rFonts w:ascii="Times New Roman" w:cs="Times New Roman" w:eastAsia="Times New Roman" w:hAnsi="Times New Roman"/>
          <w:sz w:val="17"/>
          <w:szCs w:val="17"/>
          <w:color w:val="auto"/>
        </w:rPr>
        <w:t>At Closing, the 2021 Long-Term Incentive Plan, (the “2021 Plan”), and the 2021 Employee Stock Purchase Plan, (the “ESPP”), became effective. As of June 30, 2022, 7,226,977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Common Stock outstanding on December 31 of the preceding year and</w:t>
      </w:r>
    </w:p>
    <w:p>
      <w:pPr>
        <w:spacing w:after="0" w:line="1" w:lineRule="exact"/>
        <w:rPr>
          <w:sz w:val="20"/>
          <w:szCs w:val="20"/>
          <w:color w:val="auto"/>
        </w:rPr>
      </w:pPr>
    </w:p>
    <w:p>
      <w:pPr>
        <w:ind w:right="800" w:firstLine="8"/>
        <w:spacing w:after="0" w:line="290" w:lineRule="auto"/>
        <w:tabs>
          <w:tab w:leader="none" w:pos="2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shares of Common Stock determined by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board of directors. In December 2021, the Company’s board of directors determined that there would be no automatic increase in the number of shares reserved under the 2021 Plan or the ESPP on January 1, 2022.</w:t>
      </w:r>
    </w:p>
    <w:p>
      <w:pPr>
        <w:spacing w:after="0" w:line="11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the 2021 Plan, the Company can grant non-statutory stock options (“NSOs”), incentive stock options (“ISOs),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June 30, 2022, 5,640,354 and 517,506 shares of Common Stock remain reserved for outstanding options issued under the 2015 Plan and 2005 Plan,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 plans allow for the grant of awards that the Company believes aid in aligning the interests of award recipients with those of its stockholders.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compensation committee determines the specific terms of equity incentive grants, including the exercise price per share and vesting period for option awards. Option awards are granted with an exercise price equal to the fair market value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at the date of grant.</w:t>
      </w:r>
    </w:p>
    <w:p>
      <w:pPr>
        <w:spacing w:after="0" w:line="13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6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option plans generally provide for accelerated vesting of the unvested portions of any option award in the event of an involuntary termination, as such term is defined in the relevant stock option agreement, of a grantee</w:t>
      </w:r>
      <w:r>
        <w:rPr>
          <w:rFonts w:ascii="Arial" w:cs="Arial" w:eastAsia="Arial" w:hAnsi="Arial"/>
          <w:sz w:val="18"/>
          <w:szCs w:val="18"/>
          <w:color w:val="auto"/>
        </w:rPr>
        <w:t>’</w:t>
      </w:r>
      <w:r>
        <w:rPr>
          <w:rFonts w:ascii="Times New Roman" w:cs="Times New Roman" w:eastAsia="Times New Roman" w:hAnsi="Times New Roman"/>
          <w:sz w:val="18"/>
          <w:szCs w:val="18"/>
          <w:color w:val="auto"/>
        </w:rPr>
        <w:t>s employment during the period that commences 30 days prior to the effective date of a corporate transaction and that ends 12 months following the effective date of such transaction. Additionally,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may, in its sole discretion, accelerate the vesting of any unvested stock options in the event of a corporate transaction.</w:t>
      </w:r>
    </w:p>
    <w:p>
      <w:pPr>
        <w:spacing w:after="0" w:line="13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2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5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dividend yield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162"/>
        </w:trPr>
        <w:tc>
          <w:tcPr>
            <w:tcW w:w="4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Expected share price volatility (weighted average and range, if</w:t>
            </w:r>
          </w:p>
        </w:tc>
        <w:tc>
          <w:tcPr>
            <w:tcW w:w="1620" w:type="dxa"/>
            <w:vAlign w:val="bottom"/>
            <w:gridSpan w:val="2"/>
          </w:tcPr>
          <w:p>
            <w:pPr>
              <w:ind w:left="420"/>
              <w:spacing w:after="0" w:line="162" w:lineRule="exact"/>
              <w:rPr>
                <w:sz w:val="20"/>
                <w:szCs w:val="20"/>
                <w:color w:val="auto"/>
              </w:rPr>
            </w:pPr>
            <w:r>
              <w:rPr>
                <w:rFonts w:ascii="Times New Roman" w:cs="Times New Roman" w:eastAsia="Times New Roman" w:hAnsi="Times New Roman"/>
                <w:sz w:val="16"/>
                <w:szCs w:val="16"/>
                <w:color w:val="auto"/>
              </w:rPr>
              <w:t>93.9% (89.0% to</w:t>
            </w:r>
          </w:p>
        </w:tc>
        <w:tc>
          <w:tcPr>
            <w:tcW w:w="1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91.0 %</w:t>
            </w:r>
          </w:p>
        </w:tc>
        <w:tc>
          <w:tcPr>
            <w:tcW w:w="100" w:type="dxa"/>
            <w:vAlign w:val="bottom"/>
          </w:tcPr>
          <w:p>
            <w:pPr>
              <w:spacing w:after="0"/>
              <w:rPr>
                <w:sz w:val="14"/>
                <w:szCs w:val="14"/>
                <w:color w:val="auto"/>
              </w:rPr>
            </w:pPr>
          </w:p>
        </w:tc>
        <w:tc>
          <w:tcPr>
            <w:tcW w:w="1720" w:type="dxa"/>
            <w:vAlign w:val="bottom"/>
            <w:gridSpan w:val="2"/>
          </w:tcPr>
          <w:p>
            <w:pPr>
              <w:ind w:left="520"/>
              <w:spacing w:after="0" w:line="162" w:lineRule="exact"/>
              <w:rPr>
                <w:sz w:val="20"/>
                <w:szCs w:val="20"/>
                <w:color w:val="auto"/>
              </w:rPr>
            </w:pPr>
            <w:r>
              <w:rPr>
                <w:rFonts w:ascii="Times New Roman" w:cs="Times New Roman" w:eastAsia="Times New Roman" w:hAnsi="Times New Roman"/>
                <w:sz w:val="16"/>
                <w:szCs w:val="16"/>
                <w:color w:val="auto"/>
              </w:rPr>
              <w:t>95.5% (89.0% to</w:t>
            </w:r>
          </w:p>
        </w:tc>
        <w:tc>
          <w:tcPr>
            <w:tcW w:w="15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91.4% (91.0% to</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applicable)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165"/>
        </w:trPr>
        <w:tc>
          <w:tcPr>
            <w:tcW w:w="4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(weighted average and range, if applicable)</w:t>
            </w:r>
          </w:p>
        </w:tc>
        <w:tc>
          <w:tcPr>
            <w:tcW w:w="1620" w:type="dxa"/>
            <w:vAlign w:val="bottom"/>
            <w:gridSpan w:val="2"/>
            <w:shd w:val="clear" w:color="auto" w:fill="CCEEFF"/>
          </w:tcPr>
          <w:p>
            <w:pPr>
              <w:ind w:left="420"/>
              <w:spacing w:after="0" w:line="165" w:lineRule="exact"/>
              <w:rPr>
                <w:sz w:val="20"/>
                <w:szCs w:val="20"/>
                <w:color w:val="auto"/>
              </w:rPr>
            </w:pPr>
            <w:r>
              <w:rPr>
                <w:rFonts w:ascii="Times New Roman" w:cs="Times New Roman" w:eastAsia="Times New Roman" w:hAnsi="Times New Roman"/>
                <w:sz w:val="16"/>
                <w:szCs w:val="16"/>
                <w:color w:val="auto"/>
              </w:rPr>
              <w:t>2.86% (2.53% to</w:t>
            </w:r>
          </w:p>
        </w:tc>
        <w:tc>
          <w:tcPr>
            <w:tcW w:w="1640" w:type="dxa"/>
            <w:vAlign w:val="bottom"/>
            <w:gridSpan w:val="2"/>
            <w:shd w:val="clear" w:color="auto" w:fill="CCEEFF"/>
          </w:tcPr>
          <w:p>
            <w:pPr>
              <w:ind w:left="440"/>
              <w:spacing w:after="0" w:line="165" w:lineRule="exact"/>
              <w:rPr>
                <w:sz w:val="20"/>
                <w:szCs w:val="20"/>
                <w:color w:val="auto"/>
              </w:rPr>
            </w:pPr>
            <w:r>
              <w:rPr>
                <w:rFonts w:ascii="Times New Roman" w:cs="Times New Roman" w:eastAsia="Times New Roman" w:hAnsi="Times New Roman"/>
                <w:sz w:val="16"/>
                <w:szCs w:val="16"/>
                <w:color w:val="auto"/>
              </w:rPr>
              <w:t>0.99% (0.98% to</w:t>
            </w:r>
          </w:p>
        </w:tc>
        <w:tc>
          <w:tcPr>
            <w:tcW w:w="1720" w:type="dxa"/>
            <w:vAlign w:val="bottom"/>
            <w:gridSpan w:val="2"/>
            <w:shd w:val="clear" w:color="auto" w:fill="CCEEFF"/>
          </w:tcPr>
          <w:p>
            <w:pPr>
              <w:ind w:left="520"/>
              <w:spacing w:after="0" w:line="165" w:lineRule="exact"/>
              <w:rPr>
                <w:sz w:val="20"/>
                <w:szCs w:val="20"/>
                <w:color w:val="auto"/>
              </w:rPr>
            </w:pPr>
            <w:r>
              <w:rPr>
                <w:rFonts w:ascii="Times New Roman" w:cs="Times New Roman" w:eastAsia="Times New Roman" w:hAnsi="Times New Roman"/>
                <w:sz w:val="16"/>
                <w:szCs w:val="16"/>
                <w:color w:val="auto"/>
              </w:rPr>
              <w:t>2.61% (1.89% to</w:t>
            </w:r>
          </w:p>
        </w:tc>
        <w:tc>
          <w:tcPr>
            <w:tcW w:w="15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0.68% (0.62% to</w:t>
            </w:r>
          </w:p>
        </w:tc>
        <w:tc>
          <w:tcPr>
            <w:tcW w:w="0" w:type="dxa"/>
            <w:vAlign w:val="bottom"/>
          </w:tcPr>
          <w:p>
            <w:pPr>
              <w:spacing w:after="0"/>
              <w:rPr>
                <w:sz w:val="1"/>
                <w:szCs w:val="1"/>
                <w:color w:val="auto"/>
              </w:rPr>
            </w:pPr>
          </w:p>
        </w:tc>
      </w:tr>
      <w:tr>
        <w:trPr>
          <w:trHeight w:val="216"/>
        </w:trPr>
        <w:tc>
          <w:tcPr>
            <w:tcW w:w="4320" w:type="dxa"/>
            <w:vAlign w:val="bottom"/>
            <w:vMerge w:val="continue"/>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of options (in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60" w:right="4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Prior to the Merger, as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was not publicly traded, the fair value of the shares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underlying the options was determined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with input from management, after considering independent third-party valuation reports. Subsequent to the Merger, the fair value of the Common Stock has been determined based on the closing price of the shares on the Nasdaq market.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8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based on the historical share volatility of several publicly traded peer companies over a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equal to the expected term of the options, as the Company has a limited trading history to use the volatility of its Common Stock. For purposes of identifying these peer companies, the Company considered the industry, stage of development, size and financial leverage of potential comparable companies.</w:t>
      </w:r>
    </w:p>
    <w:p>
      <w:pPr>
        <w:spacing w:after="0" w:line="152"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2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At June 30, 2022, there were 7,226,977 options remaining available for grant under the 2021 Plan. The Company has sufficient authorized and unissued shares to make all issuances currently available under the 2021 Plan.</w:t>
      </w:r>
    </w:p>
    <w:p>
      <w:pPr>
        <w:spacing w:after="0" w:line="16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show a summary of stock-based compensation expense included in the condensed consolidated statements of operations and comprehensive income (loss) for the three and six months ended June 30, 2022 and 2021, and remaining unrecognized cost as of June 30, 2022 and December 31, 2021:</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4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vMerge w:val="continue"/>
          </w:tcPr>
          <w:p>
            <w:pPr>
              <w:spacing w:after="0"/>
              <w:rPr>
                <w:sz w:val="15"/>
                <w:szCs w:val="15"/>
                <w:color w:val="auto"/>
              </w:rPr>
            </w:pPr>
          </w:p>
        </w:tc>
        <w:tc>
          <w:tcPr>
            <w:tcW w:w="15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5"/>
        </w:trPr>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share-based compensation cost</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0" w:type="dxa"/>
            <w:vAlign w:val="bottom"/>
          </w:tcPr>
          <w:p>
            <w:pPr>
              <w:spacing w:after="0"/>
              <w:rPr>
                <w:sz w:val="1"/>
                <w:szCs w:val="1"/>
                <w:color w:val="auto"/>
              </w:rPr>
            </w:pPr>
          </w:p>
        </w:tc>
      </w:tr>
      <w:tr>
        <w:trPr>
          <w:trHeight w:val="234"/>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weighted average period compensation costs to be recognized (years)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900"/>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 plans during the six months ended June 30, 2022 is presented below:</w:t>
      </w:r>
    </w:p>
    <w:p>
      <w:pPr>
        <w:spacing w:after="0" w:line="25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5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June 30, 2022</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4,754,151</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June 30,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2022.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effective federal tax rate for the three and six months ended June 30, 2022 and 2021 was 0%, primarily as a result of estimated tax losses for the fiscal year to date offset by the increase in the valuation allowance in the net operating loss carryforwards.</w:t>
      </w:r>
    </w:p>
    <w:p>
      <w:pPr>
        <w:spacing w:after="0" w:line="142" w:lineRule="exact"/>
        <w:rPr>
          <w:sz w:val="20"/>
          <w:szCs w:val="20"/>
          <w:color w:val="auto"/>
        </w:rPr>
      </w:pPr>
    </w:p>
    <w:p>
      <w:pPr>
        <w:ind w:right="240" w:firstLine="324"/>
        <w:spacing w:after="0" w:line="265"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and six months ended June 30, 2022 and 2021. The Company has a net operating loss and has provided a valuation allowance against net deferred tax assets due to uncertainties regarding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realize these assets. All losses before income taxes arose in the United States.</w:t>
      </w:r>
    </w:p>
    <w:p>
      <w:pPr>
        <w:spacing w:after="0" w:line="173" w:lineRule="exact"/>
        <w:rPr>
          <w:sz w:val="20"/>
          <w:szCs w:val="20"/>
          <w:color w:val="auto"/>
        </w:rPr>
      </w:pPr>
    </w:p>
    <w:p>
      <w:pPr>
        <w:ind w:right="8420" w:firstLine="8"/>
        <w:spacing w:after="0" w:line="462" w:lineRule="auto"/>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January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7" w:lineRule="exact"/>
        <w:rPr>
          <w:sz w:val="20"/>
          <w:szCs w:val="20"/>
          <w:color w:val="auto"/>
        </w:rPr>
      </w:pPr>
    </w:p>
    <w:p>
      <w:pPr>
        <w:ind w:right="60" w:firstLine="324"/>
        <w:spacing w:after="0" w:line="285" w:lineRule="auto"/>
        <w:rPr>
          <w:sz w:val="20"/>
          <w:szCs w:val="20"/>
          <w:color w:val="auto"/>
        </w:rPr>
      </w:pPr>
      <w:r>
        <w:rPr>
          <w:rFonts w:ascii="Times New Roman" w:cs="Times New Roman" w:eastAsia="Times New Roman" w:hAnsi="Times New Roman"/>
          <w:sz w:val="18"/>
          <w:szCs w:val="18"/>
          <w:color w:val="auto"/>
        </w:rPr>
        <w:t>In connection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entry into the license agreement, the Company granted equity consideration to Duke in the form of 52,693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Under the license agreement, the Company also agreed to pay Duke:</w:t>
      </w:r>
    </w:p>
    <w:p>
      <w:pPr>
        <w:spacing w:after="0" w:line="128" w:lineRule="exact"/>
        <w:rPr>
          <w:sz w:val="20"/>
          <w:szCs w:val="20"/>
          <w:color w:val="auto"/>
        </w:rPr>
      </w:pPr>
    </w:p>
    <w:p>
      <w:pPr>
        <w:ind w:left="660" w:right="6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2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97"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The license agreement remains effective until the later of (i) the last of the patent rights expires or (ii) four years after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prior notice to Duke. The Company agrees to indemnify Duke against certain third-party claims. Payments to Duke under the license agreement were immaterial during the periods presented.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February 2014, the Company entered into a license agreement with Yale University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12mm in diameter), except that it is subject to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6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42"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4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without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prior written consent, but such sublicense is subject to certain conditions.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its entry into the license agreement, the Company paid Yale upfront cash fees. The Company has also agreed to pay Yale:</w:t>
      </w:r>
    </w:p>
    <w:p>
      <w:pPr>
        <w:spacing w:after="0" w:line="185"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between the first anniversary of the agreement until the fifth anniversary for the coating and BVP licenses and until the fourth anniversary for the tubular prostheses license up to a maximum of less than $0.1 million per year;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8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agreements expire on a country-by-country basis on the date on which the last of the patents in such country expires, lapses or is declared invalid. Yale may terminate the agreements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non-payment, uncured material breach, failure to obtain adequate insurance, bringing or assisting in bringing of a patent challenge against Yale, abandonment of the research and development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products or insolvency. The Company may terminate the license agreements (i) on 90 days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prior written notice to Yale, provided the Company is not in breach of the license agreements and has made all required payments to Yale thereunder and (ii) on written notice to Yale following an uncured material breach. With respect to the license agreements related to small-diameter vessels and BVP,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620" w:firstLine="324"/>
        <w:spacing w:after="0" w:line="285"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financial condition, results of operations, or cash flows.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request in such capacity. The indemnification period covers all pertinent events and occurrences during the director</w:t>
      </w:r>
      <w:r>
        <w:rPr>
          <w:rFonts w:ascii="Arial" w:cs="Arial" w:eastAsia="Arial" w:hAnsi="Arial"/>
          <w:sz w:val="18"/>
          <w:szCs w:val="18"/>
          <w:color w:val="auto"/>
        </w:rPr>
        <w:t>’</w:t>
      </w:r>
      <w:r>
        <w:rPr>
          <w:rFonts w:ascii="Times New Roman" w:cs="Times New Roman" w:eastAsia="Times New Roman" w:hAnsi="Times New Roman"/>
          <w:sz w:val="18"/>
          <w:szCs w:val="18"/>
          <w:color w:val="auto"/>
        </w:rPr>
        <w:t>s or officer</w:t>
      </w:r>
      <w:r>
        <w:rPr>
          <w:rFonts w:ascii="Arial" w:cs="Arial" w:eastAsia="Arial" w:hAnsi="Arial"/>
          <w:sz w:val="18"/>
          <w:szCs w:val="18"/>
          <w:color w:val="auto"/>
        </w:rPr>
        <w:t>’</w:t>
      </w:r>
      <w:r>
        <w:rPr>
          <w:rFonts w:ascii="Times New Roman" w:cs="Times New Roman" w:eastAsia="Times New Roman" w:hAnsi="Times New Roman"/>
          <w:sz w:val="18"/>
          <w:szCs w:val="18"/>
          <w:color w:val="auto"/>
        </w:rPr>
        <w:t>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187" w:lineRule="exact"/>
        <w:rPr>
          <w:sz w:val="20"/>
          <w:szCs w:val="20"/>
          <w:color w:val="auto"/>
        </w:rPr>
      </w:pPr>
    </w:p>
    <w:p>
      <w:pPr>
        <w:ind w:right="140" w:firstLine="324"/>
        <w:spacing w:after="0" w:line="260"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of the Merger converted into 15,812,735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In August 2021, Fresenius Medical Care invested $25 million as part of the PIPE Financing and received an additional 2.5 million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9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40" w:firstLine="8"/>
        <w:spacing w:after="0" w:line="252"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or the satisfaction of its obligations, under the distribution agreement. In addition, Fresenius Medical Care may terminate the distribution agreement for convenience on a country-by-country basis upon not less than 12 months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227" w:lineRule="exact"/>
        <w:rPr>
          <w:sz w:val="20"/>
          <w:szCs w:val="20"/>
          <w:color w:val="auto"/>
        </w:rPr>
      </w:pPr>
    </w:p>
    <w:p>
      <w:pPr>
        <w:ind w:right="200" w:firstLine="324"/>
        <w:spacing w:after="0" w:line="265" w:lineRule="auto"/>
        <w:rPr>
          <w:sz w:val="20"/>
          <w:szCs w:val="20"/>
          <w:color w:val="auto"/>
        </w:rPr>
      </w:pPr>
      <w:r>
        <w:rPr>
          <w:rFonts w:ascii="Times New Roman" w:cs="Times New Roman" w:eastAsia="Times New Roman" w:hAnsi="Times New Roman"/>
          <w:sz w:val="18"/>
          <w:szCs w:val="18"/>
          <w:color w:val="auto"/>
        </w:rPr>
        <w:t xml:space="preserve">The Company’s President and Chief Executive Officer, Laura Niklason M.D., PhD., serves as an Adjunct Professor in Anesthesia at Yale University. As of June 30, 2022 and December 31, 2021, the Company was a party to license agreements with Yale University as described in Note 11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Commitments and Contingencies, above.</w:t>
      </w:r>
    </w:p>
    <w:p>
      <w:pPr>
        <w:spacing w:after="0" w:line="17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related party expenses included in the statements of operations and comprehensive income (loss) for the three and six months ended June 30,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on Form 10-K for the year ended December 31, 2021 (“Annual Report”), filed with the Securities and Exchange Commission (the “SEC”) on March 29, 2022.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We are pioneering the development and manufacture of off-the-shelf, universally implantable, bioengineered human tissues, complex tissue systems, and organs with the goal of improving the lives of patients and transforming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complex tissue systems, and organs for use in the treatment of diseases and conditions across a range of anatomic locations in multiple therapeutic areas.</w:t>
      </w:r>
    </w:p>
    <w:p>
      <w:pPr>
        <w:spacing w:after="0" w:line="1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human, acellular vessels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peripheral arterial disease (“PAD”); and coronary artery bypass grafting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generated no product revenue and incurred operating losses and negative cash flows from operations in each year since our inception in 2004. As of June 30, 2022 and December 31, 2021, we had an accumulated deficit of $397.5 million and $414.6 million, respectively, and working capital of $182.0 million and $218.3 million, respectively. Our operating losses were approximately $18.5 million and $40.3 million for the three and six months ended June 30, 2022, respectively, and $19.3 million and $39.0 million for the three and six months ended June 30, 2021, respectively. Net cash flows used in operating activities were $35.4 million and $29.2 million during the six months ended June 30, 2022 and 2021,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cash and cash equivalents and short-term investments of $189.0 million. We believe our cash and cash equivalents and short-term investments on hand will be sufficient to fund operations, including clinical trial expenses and capital expenditure requirements,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spacing w:after="0" w:line="13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and short-term investments,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35" w:lineRule="exact"/>
        <w:rPr>
          <w:sz w:val="20"/>
          <w:szCs w:val="20"/>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for our 6 millimeter HAV for vascular repair, reconstruction and replacement, including for vascular trauma and AV access for hemodialysis;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HAV via U.S. market launches in vascular trauma and hemodialysis AV access;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demand following any receipt of marketing approval;</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84"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134" w:lineRule="exact"/>
        <w:rPr>
          <w:rFonts w:ascii="Times New Roman" w:cs="Times New Roman" w:eastAsia="Times New Roman" w:hAnsi="Times New Roman"/>
          <w:sz w:val="18"/>
          <w:szCs w:val="18"/>
          <w:color w:val="231F20"/>
        </w:rPr>
      </w:pPr>
    </w:p>
    <w:p>
      <w:pPr>
        <w:ind w:left="660" w:right="100" w:hanging="328"/>
        <w:spacing w:after="0" w:line="266"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Securities Exchange Act of 1934 (the “Exchange Act”) and rules implemented by the SEC and The Nasdaq Stock Market LLC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Public Company Costs</w:t>
      </w:r>
    </w:p>
    <w:p>
      <w:pPr>
        <w:spacing w:after="0" w:line="18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On August 26, 2021 (the “Closing Date”), Legacy Humacyte and AHAC consummated a merger pursuant to that certain Business Combination Agreement, dated as of February 17, 2021 (the “Merger Agreement”), by and among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(the “Merger”). On the Closing Date, AHAC changed its name to Humacyte, Inc. and Legacy Humacyte changed its name to Humacyte Global, Inc. Operations prior to the Merger included in this Quarterly Report are those of Legacy Humacyte.</w:t>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13"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(1) each outstanding share of common stock of Legacy Humacyte (“Legacy Humacyte common stock”) was cancelled and converted into the right to receive approximately 0.26260 shares of the Company’s common stock, par value $0.0001 per share (“Common Stock”), and (2) each outstanding share of preferred stock of Legacy Humacyte (“Legacy Humacyte preferred stock”) was cancelled and converted into the aggregate number of shares of Common Stock that would be issued upon conversion of the shares of Legacy Humacyte preferred stock based on the applicable conversion ratio immediately prior to the Effective Time, multiplied by approximately 0.26260, resulting in the issuance of a total of 75,656,935 shares of Common Stock. Prior holders of shares of Legacy Humacyte common stock and Legacy Humacyte preferred stock also received the contingent right to receive certain Contingent Earnout Shares (as defined below), for each share owned by each such Legacy Humacyte stockholder that was outstanding immediately prior to the closing of the Merger (the “Closing”). In addition, certain investors purchased an aggregate of 17,500,000 shares of Common Stock (such investors, the “PIPE Investors”) in a private placement that closed concurrently with the Closing for an aggregate purchase price of $175 million (the “PIPE Financing”). Additionally, at the Closing, 2,500,000 shares of AHAC’s Class B common stock (“Founder Shares”) automatically converted into shares of Common Stock on a one-for-one basis.</w:t>
      </w:r>
    </w:p>
    <w:p>
      <w:pPr>
        <w:spacing w:after="0" w:line="15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Following the Closing Date, former holders of Legacy Humacyte common stock and Legacy Humacyte preferred stock may receive up to 15,000,000 additional shares of Common Stock (“Contingent Earnout Shares”) in the aggregate in two equal tranches if the volume-weighted average closing sale price of our Common Stock is greater than or equal to $15.00 and $20.00, respectively, for any 20 trading days within any 30 consecutive trading day period.</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the Company has retroactively adjusted all common and preferred share and related price information to give effect to the exchange ratio established in the Merger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our business, as supply chains have been disrupted, and facilities and production have been suspended. The future progression of the COVID-19 pandemic, including any existing or potential variants of the virus which causes COVID-19, and its effects on our business and operations are uncertain. The COVID-19 pandemic may affect our ability to initiate and complete preclinical studies, delay our clinical trials or future clinical trials, disrupt regulatory activities, or have other adverse effects on our business and operations. The pandemic has already caused significant disruptions in the financial markets, and may continue to cause such disruptions, which could impact our ability to raise additional funds to support our operations. Moreover, the pandemic has significantly impacted economies worldwide and could result in adverse effects on our business and operations.</w:t>
      </w:r>
    </w:p>
    <w:p>
      <w:pPr>
        <w:spacing w:after="0" w:line="16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date, the COVID-19 pandemic has not resulted in material financial impacts or impairment losses in the carrying values of our assets and we are not aware of any specific related event or circumstance that would require us to revise the estimates reflected in our financial statements. The extent to which the COVID-19 pandemic will directly or indirectly impact our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the emergence of new virus variants, and the duration and intensity of the related economic impact of the COVID-19 pandemic.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products. All of our revenue has been derived from government and other grants. Since inception we have been awarded grants from the California Institute of Regenerative Medicine (“CIRM”), the National Institutes of Health (“NIH”), and the Department of Defense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8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18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III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II and Phase III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6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9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U.S. Food and Drug Administration (“FDA”) and non-U.S. regulators;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product candidates that obtain marketing approval;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if any, of our product candidates.</w:t>
      </w:r>
    </w:p>
    <w:p>
      <w:pPr>
        <w:spacing w:after="0" w:line="18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term loan agreement with Silicon Valley Bank and SVB Innovation Credit Fund VIII, L.P. (the “Loan Agreement”), finance leases, and our Paycheck Protection Program (“PPP”) loan during the periods each were outstanding, (iv) a change in fair value of private placement common stock warrant liabilities related to private placement warrants originally issued in a private placement to AHAC Sponsor LLC (“Private Placement Warrants”), which we assumed in connection with the Merger, and which are subject to remeasurement to fair value at each balance sheet date resulting in a non-cash gain or loss, and (v) a non-cash gain on PPP loan forgiveness during the three months ended June 30, 2021.</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June 30, 2022 and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Not meaningful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8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revenue was approximately $1.3 million and $0.7 million, respectively, and related to our grant from DoD. The increase in revenue of $0.6 million, or 89%, relates to the timing of reimbursement of certain allowable costs related to our grant from DoD.</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14,568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1%, from $14.6 million for the three months ended June 30, 2021 to $14.7 million for the three months ended June 30, 2022. The increase was primarily driven by (i) increased salaries and benefits of $0.5 million to support our expanding research and development initiatives, (ii) a $0.3 million increase in other research and development expenses, partially offset by (i) a $0.5 million decrease in non-cash stock compensation expense, and (ii) a $0.2 million decrease in the purchase of materials and supplies.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$5.2 million and $5.4 million for the three months ended June 30, 2022 and 2021, respectively. The decrease in general and administrative expenses during this period of $0.2 million, or 4%, was primarily driven by a $0.9 million decrease in non-cash stock compensation expense due to higher costs in 2021 resulting from restructuring of the management team to accommodate the transition to being a public company, partially offset by (i) a $0.3 million increase in insurance costs, and (ii) a $0.4 million increase in salaries and benefits and recruiting costs due to higher headcount.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net</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Total other income was $55.4 million and $2.1 million for the three months ended June 30, 2022 and 2021, respectively. The increase of $53.3 million in income resulted from a $56.4 million non-cash gain primarily related to the remeasurement of the contingent earnout liability as of June 30, 2022, partially offset by a non-cash $3.3 million gain on PPP loan forgiveness we recognized during the three months ended June 30, 2021.</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Not meaningful</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87"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revenue was approximately $1.5 million and $0.8 million, respectively, and related to our grant from DoD. The increase in revenue of $0.7 million, or 82%, relates to the timing of reimbursement of certain allowable costs related to our grant from DoD.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29,705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from $29.7 million for the six months ended June 30, 2021 to $31.0 million for the six months ended June 30, 2022. The increase of $1.3 million, or 4%, was primarily driven by (i) increased salaries and benefits of $1.2 million to support our expanding research and development initiatives, (ii) a $0.4 million increase in the purchase of materials and supplies, and (iii) a $0.6 million increase in other research and development expenses, partially offset by a $0.9 million decrease in non-cash stock compensation expense.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$10.9 million and $10.2 million for the six months ended June 30, 2022 and 2021, respectively. The increase in general and administrative expenses during this period of $0.7 million, or 7%, was primarily driven by expenses associated with the transition to public company status, including (i) a $0.9 million increase in salaries and benefits and recruiting costs primarily due to higher headcount, (ii) increased professional fees of $0.6 million primarily related to increased legal and audit fees, and (iii) a $0.5 million increase in insurance costs, partially offset by a $1.5 million decrease in non-cash stock compensation expense due to higher costs in 2021 resulting from restructuring of the management team to accommodate the transition to being a public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net</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Total other income was $57.3 million and $1.5 million for the six months ended June 30, 2022 and 2021, respectively. The increase of $55.8 million in income resulted from (i) a $59.6 million non-cash gain related to the remeasurement of the contingent earnout liability as of June 30, 2022, (ii) a $0.3 million increase in interest income, and a $0.3 million non-cash gain related to the remeasurement of our private placement warrant liability, partially offset by (i) a $3.3 million gain on PPP loan forgiveness we recognized during the six months ended June 30, 2021 and (ii) a $1.2 million increase in interest expense related to our loan facility with Silicon Valley Bank, which commenced in March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and convertible debt, proceeds from the Merger and related PIPE Financing, borrowings under loan facilities and, to a lesser extent, through grants from governmental and other agencies. Since our inception, we have incurred significant operating losses and negative cash flows. As of June 30, 2022 and December 31, 2021, we had an accumulated deficit of $397.5 million and $414.6 million, respectively.</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2022 and December 31, 2021, we had cash and cash equivalents and short-term investments of $189.0 million and $225.5 million, respectively. We believe our cash and cash equivalents and short-term investments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will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As of June 30, 2022 and December 31, 2021, we had working capital of </w:t>
      </w:r>
      <w:r>
        <w:rPr>
          <w:rFonts w:ascii="Times New Roman" w:cs="Times New Roman" w:eastAsia="Times New Roman" w:hAnsi="Times New Roman"/>
          <w:sz w:val="18"/>
          <w:szCs w:val="18"/>
          <w:color w:val="000000"/>
        </w:rPr>
        <w:t>$182.0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$218.3 million</w:t>
      </w:r>
      <w:r>
        <w:rPr>
          <w:rFonts w:ascii="Times New Roman" w:cs="Times New Roman" w:eastAsia="Times New Roman" w:hAnsi="Times New Roman"/>
          <w:sz w:val="18"/>
          <w:szCs w:val="18"/>
          <w:color w:val="231F20"/>
        </w:rPr>
        <w:t xml:space="preserve">, respectively. As of June 30, 2022, we had </w:t>
      </w:r>
      <w:r>
        <w:rPr>
          <w:rFonts w:ascii="Times New Roman" w:cs="Times New Roman" w:eastAsia="Times New Roman" w:hAnsi="Times New Roman"/>
          <w:sz w:val="18"/>
          <w:szCs w:val="18"/>
          <w:color w:val="000000"/>
        </w:rPr>
        <w:t xml:space="preserve">$30.0 million </w:t>
      </w:r>
      <w:r>
        <w:rPr>
          <w:rFonts w:ascii="Times New Roman" w:cs="Times New Roman" w:eastAsia="Times New Roman" w:hAnsi="Times New Roman"/>
          <w:sz w:val="18"/>
          <w:szCs w:val="18"/>
          <w:color w:val="231F20"/>
        </w:rPr>
        <w:t>outstanding principal and</w:t>
      </w:r>
      <w:r>
        <w:rPr>
          <w:rFonts w:ascii="Times New Roman" w:cs="Times New Roman" w:eastAsia="Times New Roman" w:hAnsi="Times New Roman"/>
          <w:sz w:val="18"/>
          <w:szCs w:val="18"/>
          <w:color w:val="000000"/>
        </w:rPr>
        <w:t xml:space="preserve"> $20.0 million </w:t>
      </w:r>
      <w:r>
        <w:rPr>
          <w:rFonts w:ascii="Times New Roman" w:cs="Times New Roman" w:eastAsia="Times New Roman" w:hAnsi="Times New Roman"/>
          <w:sz w:val="18"/>
          <w:szCs w:val="18"/>
          <w:color w:val="231F20"/>
        </w:rPr>
        <w:t>of contingent borrowing capacity under our Loan Agreement. We do not currently have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committed external source of funds beyond the Loan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0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known material cash requirements include: (1) the purchase of supplies and services that are primarily for research and development; (2) debt repayments (for additional information, see below and Note 7 — Debt to our accompanying unaudited condensed consolidated financial statements contained elsewhere in this Quarterly Report); (3) employee wages, benefits, and incentives; and (4) financing and operating lease payments (for additional information see below).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48"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As of June 30, 2022, we had non-cancellable purchase com</w:t>
      </w:r>
      <w:r>
        <w:rPr>
          <w:rFonts w:ascii="Times New Roman" w:cs="Times New Roman" w:eastAsia="Times New Roman" w:hAnsi="Times New Roman"/>
          <w:sz w:val="17"/>
          <w:szCs w:val="17"/>
          <w:color w:val="231F20"/>
        </w:rPr>
        <w:t>mitments of $16.1 million for supplies and services that are primarily for 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development. We have existing license agreements with Duke University and Yale University and have a distribution agreement with Fresenius Medical Care Holdings, Inc. The amount and timing of any potential milestone payments, license fee payments, royalties and other payments that we may be required to make under these agreements are unknown or uncertain at June 30, 2022. For additional information regarding our agreement with Fresenius Medical Care, and our agreements with Duke University and Yale University, see Note 12 — Related Party Transactions and Note 11 — Commitments and Contingencies, respectively, to our accompanying unaudited condensed consolidated financial statements contained elsewhere in this Quarterly Report.</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March 2021, we entered into the Loan Agreement with Silicon Valley Bank and SVB Innovation Credit Fund VIII, L.P., as amended in June and September 2021, which provides a term loan facility of up to $50.0 million, with a maturity date of March 1, 2025. The initial term loan tranche of $20.0 million was funded upon the closing of the Loan Agreement, and on October 13, 2021, we borrowed an additional $10.0 million under the Loan Agreement. The additional $20.0 million becomes accessible in two tranches of $10.0 million each contingent on the achievement of certain business and clinical development milestones. As a result of the additional borrowing in October 2021, the commencement of repayment of principal was deferred until no earlier than July 2023 and potentially later if the remaining tranches are drawn. As of June 30, 2022, principal of $30.0 million was outstanding under the Loan Agreement and we were in compliance with all covenants in all material respects. Assuming no additional borrowings under the Loan Agreement, we expect to make interest payments of approximately $5.2 million under the Loan Agreement from July 1, 2022 through March 1, 2025, approximately $2.7 million of which we expect to pay within one year of June 30, 2022.</w:t>
      </w:r>
    </w:p>
    <w:p>
      <w:pPr>
        <w:spacing w:after="0" w:line="148" w:lineRule="exact"/>
        <w:rPr>
          <w:sz w:val="20"/>
          <w:szCs w:val="20"/>
          <w:color w:val="auto"/>
        </w:rPr>
      </w:pPr>
    </w:p>
    <w:p>
      <w:pPr>
        <w:ind w:right="360" w:firstLine="324"/>
        <w:spacing w:after="0" w:line="289" w:lineRule="auto"/>
        <w:rPr>
          <w:sz w:val="20"/>
          <w:szCs w:val="20"/>
          <w:color w:val="auto"/>
        </w:rPr>
      </w:pPr>
      <w:r>
        <w:rPr>
          <w:rFonts w:ascii="Times New Roman" w:cs="Times New Roman" w:eastAsia="Times New Roman" w:hAnsi="Times New Roman"/>
          <w:sz w:val="17"/>
          <w:szCs w:val="17"/>
          <w:color w:val="231F20"/>
        </w:rPr>
        <w:t>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17"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231F20"/>
        </w:rPr>
        <w:t>Borrowings under the Loan Agreement bear interest at a rate of 7.5% or the sum of the Wall Street Journal Prime Rate plus 4.25%, whichever is greater. In addition, the lenders were granted warrants to purchase common stock. Interest-only payments on the principal amount outstanding are due monthly beginning in the first month after the loan is dispersed. We are required to repay principal beginning on July 1, 2023, unless we draw the remaining two loan tranches, in which case repayment of the outstanding principal amount will begin no later than April 1, 2024. Additionally, we are obligated to pay to the lenders a final payment fee of $1.5 million upon the maturity of the loan.</w:t>
      </w:r>
    </w:p>
    <w:p>
      <w:pPr>
        <w:spacing w:after="0" w:line="156"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231F20"/>
        </w:rPr>
        <w:t>Our contractual obligations under the Loan Agreement as of June 30, 2022 include no cash payments related to principal within one year and $30.0 million of principal payments within one to three years.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In April 2020, we received loan proceeds in the amount of approximately $3.3 million under the PPP. The loan and accrued interest were forgivable after a 24-week period as long as we used the loan proceeds for eligible purposes, including payroll, benefits, rent and utilities, and maintained its payroll levels. On May 25, 2021, the Small Business Administration approved the forgiveness of the outstanding amount of the PPP loan and we recognized a gain from loan extinguishment in the amount of $3.3 million during the three months ended June 30, 2021.</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20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Our future contractual obligations under our lease agreements as of June 30, 2022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HAV for use in vascular trauma and hemodialysis AV access and submit biologics license applications for FDA approval, (ii) if marketing approval is obtained, to launch and commercialize our HAVs for hemodialysis AV access and vascular repair in the U.S. market, including subsequent launches in key international markets, (iii) advance our pipeline in major markets, including PAD Phase III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9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 timing and outcome of regulatory review of our product candidates, particularly for marketing approval of our HAVs in the United States;</w:t>
      </w:r>
    </w:p>
    <w:p>
      <w:pPr>
        <w:spacing w:after="0" w:line="196"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34"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Loan Agreement.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Quarterly Report entitled “Risk Factors” for additional risks associated with our substantial capital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180" w:right="240" w:hanging="172"/>
        <w:spacing w:after="0" w:line="229" w:lineRule="auto"/>
        <w:tabs>
          <w:tab w:leader="none" w:pos="199"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depreciation, amortization related to our leases and our debt discount, stock-based compensation expense, in 2022 includes the change in fair value of our contingent earnout liability and our common stock warrant liabilities, and in 2021 includes a gain on PPP loan forgiveness.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increase in net cash used in operating activities from the six months ended June 30, 2021 to the six months ended June 30, 2022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increased spending on pre-clinical, clinical and pre-commercial activities as well as payroll and personnel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Net cash used in investing activities for each of </w:t>
      </w:r>
      <w:r>
        <w:rPr>
          <w:rFonts w:ascii="Times New Roman" w:cs="Times New Roman" w:eastAsia="Times New Roman" w:hAnsi="Times New Roman"/>
          <w:sz w:val="18"/>
          <w:szCs w:val="18"/>
          <w:color w:val="000000"/>
        </w:rPr>
        <w:t>the six months ended June 30, 2022 and 2021 consisted of the purchases of laboratory equipment.</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decrease in net cash provided by financing activities for the six months ended June 30, 2022 was primarily due to $19.7 million of net proceeds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connection with </w:t>
      </w:r>
      <w:r>
        <w:rPr>
          <w:rFonts w:ascii="Times New Roman" w:cs="Times New Roman" w:eastAsia="Times New Roman" w:hAnsi="Times New Roman"/>
          <w:sz w:val="18"/>
          <w:szCs w:val="18"/>
          <w:color w:val="231F20"/>
        </w:rPr>
        <w:t>draws under our loan facility with Silicon Valley Bank in March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U.S. generally accepted accounting principles.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2021 and 2020,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its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15d-15(f) under the Exchange Act)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risk factors are disclosed in Part I, Item 1A of our Annual Report. There have been no material changes during the six months ended June 30, 2022 from or updates to the risk factors discussed in Part I, Item 1A, </w:t>
      </w:r>
      <w:hyperlink r:id="rId67">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8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 adopted pursuant to Section 302 of the Sarbanes-Oxley Act of 2002.</w:t>
      </w:r>
    </w:p>
    <w:p>
      <w:pPr>
        <w:spacing w:after="0" w:line="55" w:lineRule="exact"/>
        <w:rPr>
          <w:sz w:val="20"/>
          <w:szCs w:val="20"/>
          <w:color w:val="auto"/>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38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Humacyte, Inc.’s Quarterly Report on Form 10-Q for the quarter ended June 30, 2022, formatted in</w:t>
            </w:r>
          </w:p>
        </w:tc>
      </w:tr>
      <w:tr>
        <w:trPr>
          <w:trHeight w:val="203"/>
        </w:trPr>
        <w:tc>
          <w:tcPr>
            <w:tcW w:w="146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(unaudited), (iii) Condensed Consolidated</w:t>
            </w:r>
          </w:p>
        </w:tc>
      </w:tr>
      <w:tr>
        <w:trPr>
          <w:trHeight w:val="234"/>
        </w:trPr>
        <w:tc>
          <w:tcPr>
            <w:tcW w:w="1460" w:type="dxa"/>
            <w:vAlign w:val="bottom"/>
          </w:tcPr>
          <w:p>
            <w:pPr>
              <w:spacing w:after="0"/>
              <w:rPr>
                <w:sz w:val="20"/>
                <w:szCs w:val="20"/>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Statements of Changes in Redeemable Convertible Preferred Stock and Stockholders’ Equity (Deficit) (unaudited), (iv) Condensed</w:t>
            </w:r>
          </w:p>
        </w:tc>
      </w:tr>
    </w:tbl>
    <w:p>
      <w:pPr>
        <w:ind w:left="1480" w:right="160"/>
        <w:spacing w:after="0" w:line="245" w:lineRule="auto"/>
        <w:rPr>
          <w:sz w:val="20"/>
          <w:szCs w:val="20"/>
          <w:color w:val="auto"/>
        </w:rPr>
      </w:pPr>
      <w:r>
        <w:rPr>
          <w:rFonts w:ascii="Times New Roman" w:cs="Times New Roman" w:eastAsia="Times New Roman" w:hAnsi="Times New Roman"/>
          <w:sz w:val="18"/>
          <w:szCs w:val="18"/>
          <w:color w:val="auto"/>
        </w:rPr>
        <w:t>Consolidated Statements of Cash Flows (unaudited), (v) Notes to Condensed Consolidated Financial Statements (unaudited), and (vi) Cover Page.</w:t>
      </w:r>
    </w:p>
    <w:p>
      <w:pPr>
        <w:spacing w:after="0" w:line="72" w:lineRule="exact"/>
        <w:rPr>
          <w:sz w:val="20"/>
          <w:szCs w:val="20"/>
          <w:color w:val="auto"/>
        </w:rPr>
      </w:pPr>
    </w:p>
    <w:p>
      <w:pPr>
        <w:ind w:left="1480" w:hanging="1454"/>
        <w:spacing w:after="0"/>
        <w:tabs>
          <w:tab w:leader="none" w:pos="14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12th day of August, 2022.</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6"/>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6"/>
        </w:trPr>
        <w:tc>
          <w:tcPr>
            <w:tcW w:w="2960" w:type="dxa"/>
            <w:vAlign w:val="bottom"/>
          </w:tcPr>
          <w:p>
            <w:pPr>
              <w:spacing w:after="0"/>
              <w:rPr>
                <w:sz w:val="24"/>
                <w:szCs w:val="24"/>
                <w:color w:val="auto"/>
              </w:rPr>
            </w:pP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6"/>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5"/>
        </w:trPr>
        <w:tc>
          <w:tcPr>
            <w:tcW w:w="2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240"/>
          </w:cols>
          <w:pgMar w:left="320" w:top="5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June 30, 2022;</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August 12,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June 30, 2022;</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12, 2022</w:t>
            </w:r>
          </w:p>
        </w:tc>
        <w:tc>
          <w:tcPr>
            <w:tcW w:w="19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June 30, 2022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12, 2022</w:t>
            </w:r>
          </w:p>
        </w:tc>
        <w:tc>
          <w:tcPr>
            <w:tcW w:w="23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4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4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June 30, 2022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12, 2022</w:t>
            </w:r>
          </w:p>
        </w:tc>
        <w:tc>
          <w:tcPr>
            <w:tcW w:w="200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30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30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Roman"/>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67" Type="http://schemas.openxmlformats.org/officeDocument/2006/relationships/hyperlink" Target="http://www.sec.gov/ix?doc=/Archives/edgar/data/1818382/000181838222000011/huma-20211231.htm#i4096a696b2df45cb8f9afa41738694d7_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2022-08-13T11:22:45Z</dcterms:created>
  <dcterms:modified xsi:type="dcterms:W3CDTF">2022-08-13T11:22:45Z</dcterms:modified>
</cp:coreProperties>
</file>