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86"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As filed with the Securities and Exchange Commission on September 17,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134620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125730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Humacyte, Inc.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74295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ectPr>
          <w:pgSz w:w="11900" w:h="16838" w:orient="portrait"/>
          <w:cols w:equalWidth="0" w:num="1">
            <w:col w:w="9740"/>
          </w:cols>
          <w:pgMar w:left="980" w:top="665" w:right="1179" w:bottom="1440" w:gutter="0" w:footer="0" w:header="0"/>
        </w:sectPr>
      </w:pPr>
    </w:p>
    <w:p>
      <w:pPr>
        <w:spacing w:after="0" w:line="315"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58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2836</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(Primary Standard Industrial</w:t>
      </w:r>
    </w:p>
    <w:p>
      <w:pPr>
        <w:spacing w:after="0" w:line="32"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85-1763759</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Number)</w:t>
      </w:r>
    </w:p>
    <w:p>
      <w:pPr>
        <w:spacing w:after="0" w:line="108" w:lineRule="exact"/>
        <w:rPr>
          <w:sz w:val="24"/>
          <w:szCs w:val="24"/>
          <w:color w:val="auto"/>
        </w:rPr>
      </w:pPr>
    </w:p>
    <w:p>
      <w:pPr>
        <w:sectPr>
          <w:pgSz w:w="11900" w:h="16838" w:orient="portrait"/>
          <w:cols w:equalWidth="0" w:num="3">
            <w:col w:w="3240" w:space="720"/>
            <w:col w:w="2800" w:space="720"/>
            <w:col w:w="2260"/>
          </w:cols>
          <w:pgMar w:left="980" w:top="665" w:right="1179" w:bottom="1440" w:gutter="0" w:footer="0" w:header="0"/>
          <w:type w:val="continuous"/>
        </w:sectPr>
      </w:pPr>
    </w:p>
    <w:p>
      <w:pPr>
        <w:jc w:val="center"/>
        <w:ind w:right="-279"/>
        <w:spacing w:after="0"/>
        <w:rPr>
          <w:sz w:val="20"/>
          <w:szCs w:val="20"/>
          <w:color w:val="auto"/>
        </w:rPr>
      </w:pPr>
      <w:r>
        <w:rPr>
          <w:rFonts w:ascii="Arial" w:cs="Arial" w:eastAsia="Arial" w:hAnsi="Arial"/>
          <w:sz w:val="16"/>
          <w:szCs w:val="16"/>
          <w:b w:val="1"/>
          <w:bCs w:val="1"/>
          <w:color w:val="auto"/>
        </w:rPr>
        <w:t>2525 East North Carolina Highway 54</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Durham, NC 27713</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(919) 313-9633</w:t>
      </w:r>
    </w:p>
    <w:p>
      <w:pPr>
        <w:sectPr>
          <w:pgSz w:w="11900" w:h="16838" w:orient="portrait"/>
          <w:cols w:equalWidth="0" w:num="1">
            <w:col w:w="9740"/>
          </w:cols>
          <w:pgMar w:left="980" w:top="665" w:right="1179" w:bottom="1440" w:gutter="0" w:footer="0" w:header="0"/>
          <w:type w:val="continuous"/>
        </w:sectPr>
      </w:pPr>
    </w:p>
    <w:p>
      <w:pPr>
        <w:spacing w:after="0" w:line="116" w:lineRule="exact"/>
        <w:rPr>
          <w:sz w:val="24"/>
          <w:szCs w:val="24"/>
          <w:color w:val="auto"/>
        </w:rPr>
      </w:pPr>
    </w:p>
    <w:p>
      <w:pPr>
        <w:ind w:left="980"/>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192"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Dale A. Sander</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2525 East North Carolina Highway 54</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Durham, NC 27713</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(919) 313-9633</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74295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9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With copies to:</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Kerry S. Burke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Brian K. Rosenzweig</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Covington &amp; Burling LLP</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One CityCenter</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850 Tenth Street, NW</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20001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(202) 662-6000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74295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7" w:lineRule="exact"/>
        <w:rPr>
          <w:sz w:val="24"/>
          <w:szCs w:val="24"/>
          <w:color w:val="auto"/>
        </w:rPr>
      </w:pPr>
    </w:p>
    <w:p>
      <w:pPr>
        <w:ind w:right="220" w:firstLine="324"/>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As soon as practicable after this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effective.</w:t>
      </w:r>
    </w:p>
    <w:p>
      <w:pPr>
        <w:spacing w:after="0" w:line="44"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47" w:lineRule="exact"/>
        <w:rPr>
          <w:sz w:val="24"/>
          <w:szCs w:val="24"/>
          <w:color w:val="auto"/>
        </w:rPr>
      </w:pPr>
    </w:p>
    <w:p>
      <w:pPr>
        <w:ind w:right="340" w:firstLine="324"/>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2" w:lineRule="exact"/>
        <w:rPr>
          <w:sz w:val="24"/>
          <w:szCs w:val="24"/>
          <w:color w:val="auto"/>
        </w:rPr>
      </w:pPr>
    </w:p>
    <w:p>
      <w:pPr>
        <w:ind w:right="40" w:firstLine="324"/>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1" w:lineRule="exact"/>
        <w:rPr>
          <w:sz w:val="24"/>
          <w:szCs w:val="24"/>
          <w:color w:val="auto"/>
        </w:rPr>
      </w:pPr>
    </w:p>
    <w:p>
      <w:pPr>
        <w:ind w:right="20" w:firstLine="324"/>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665" w:right="11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8"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380" w:type="dxa"/>
            <w:vAlign w:val="bottom"/>
          </w:tcPr>
          <w:p>
            <w:pPr>
              <w:spacing w:after="0" w:line="242" w:lineRule="exact"/>
              <w:rPr>
                <w:sz w:val="20"/>
                <w:szCs w:val="20"/>
                <w:color w:val="auto"/>
              </w:rPr>
            </w:pPr>
            <w:r>
              <w:rPr>
                <w:rFonts w:ascii="Arial" w:cs="Arial" w:eastAsia="Arial" w:hAnsi="Arial"/>
                <w:sz w:val="18"/>
                <w:szCs w:val="18"/>
                <w:color w:val="auto"/>
              </w:rPr>
              <w:t>Large accelerated filer</w:t>
            </w:r>
            <w:r>
              <w:rPr>
                <w:rFonts w:ascii="Arial Unicode MS" w:cs="Arial Unicode MS" w:eastAsia="Arial Unicode MS" w:hAnsi="Arial Unicode MS"/>
                <w:sz w:val="18"/>
                <w:szCs w:val="18"/>
                <w:color w:val="auto"/>
              </w:rPr>
              <w:t>☐</w:t>
            </w:r>
          </w:p>
        </w:tc>
        <w:tc>
          <w:tcPr>
            <w:tcW w:w="2980" w:type="dxa"/>
            <w:vAlign w:val="bottom"/>
          </w:tcPr>
          <w:p>
            <w:pPr>
              <w:ind w:left="15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2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20" w:type="dxa"/>
            <w:vAlign w:val="bottom"/>
            <w:vMerge w:val="restart"/>
          </w:tcPr>
          <w:p>
            <w:pPr>
              <w:ind w:left="1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line="216" w:lineRule="exact"/>
              <w:rPr>
                <w:sz w:val="20"/>
                <w:szCs w:val="20"/>
                <w:color w:val="auto"/>
              </w:rPr>
            </w:pPr>
            <w:r>
              <w:rPr>
                <w:rFonts w:ascii="Arial" w:cs="Arial" w:eastAsia="Arial" w:hAnsi="Arial"/>
                <w:sz w:val="18"/>
                <w:szCs w:val="18"/>
                <w:color w:val="auto"/>
              </w:rPr>
              <w:t xml:space="preserve">Non-accelerated filer </w:t>
            </w:r>
            <w:r>
              <w:rPr>
                <w:rFonts w:ascii="Arial Unicode MS" w:cs="Arial Unicode MS" w:eastAsia="Arial Unicode MS" w:hAnsi="Arial Unicode MS"/>
                <w:sz w:val="18"/>
                <w:szCs w:val="18"/>
                <w:color w:val="auto"/>
              </w:rPr>
              <w:t>⌧</w:t>
            </w:r>
          </w:p>
        </w:tc>
        <w:tc>
          <w:tcPr>
            <w:tcW w:w="3680" w:type="dxa"/>
            <w:vAlign w:val="bottom"/>
            <w:gridSpan w:val="2"/>
          </w:tcPr>
          <w:p>
            <w:pPr>
              <w:ind w:left="15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380" w:type="dxa"/>
            <w:vAlign w:val="bottom"/>
          </w:tcPr>
          <w:p>
            <w:pPr>
              <w:spacing w:after="0"/>
              <w:rPr>
                <w:sz w:val="24"/>
                <w:szCs w:val="24"/>
                <w:color w:val="auto"/>
              </w:rPr>
            </w:pPr>
          </w:p>
        </w:tc>
        <w:tc>
          <w:tcPr>
            <w:tcW w:w="3680" w:type="dxa"/>
            <w:vAlign w:val="bottom"/>
            <w:gridSpan w:val="2"/>
          </w:tcPr>
          <w:p>
            <w:pPr>
              <w:ind w:left="1560"/>
              <w:spacing w:after="0"/>
              <w:rPr>
                <w:sz w:val="20"/>
                <w:szCs w:val="20"/>
                <w:color w:val="auto"/>
              </w:rPr>
            </w:pPr>
            <w:r>
              <w:rPr>
                <w:rFonts w:ascii="Arial" w:cs="Arial" w:eastAsia="Arial" w:hAnsi="Arial"/>
                <w:sz w:val="18"/>
                <w:szCs w:val="18"/>
                <w:color w:val="auto"/>
                <w:w w:val="98"/>
              </w:rPr>
              <w:t>Emerging growth company</w:t>
            </w:r>
          </w:p>
        </w:tc>
        <w:tc>
          <w:tcPr>
            <w:tcW w:w="320" w:type="dxa"/>
            <w:vAlign w:val="bottom"/>
          </w:tcPr>
          <w:p>
            <w:pPr>
              <w:ind w:left="1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right="360" w:firstLine="324"/>
        <w:spacing w:after="0" w:line="23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Unicode MS" w:cs="Arial Unicode MS" w:eastAsia="Arial Unicode MS" w:hAnsi="Arial Unicode MS"/>
          <w:sz w:val="16"/>
          <w:szCs w:val="16"/>
          <w:color w:val="auto"/>
        </w:rPr>
        <w:t>☐</w:t>
      </w:r>
    </w:p>
    <w:p>
      <w:pPr>
        <w:spacing w:after="0" w:line="4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CALCULATION OF REGISTRATION FEE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shd w:val="clear" w:color="auto" w:fill="000000"/>
          </w:tcPr>
          <w:p>
            <w:pPr>
              <w:spacing w:after="0"/>
              <w:rPr>
                <w:sz w:val="3"/>
                <w:szCs w:val="3"/>
                <w:color w:val="auto"/>
              </w:rPr>
            </w:pPr>
          </w:p>
        </w:tc>
      </w:tr>
      <w:tr>
        <w:trPr>
          <w:trHeight w:val="178"/>
        </w:trPr>
        <w:tc>
          <w:tcPr>
            <w:tcW w:w="356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1"/>
              </w:rPr>
              <w:t>Proposed Maximum</w:t>
            </w:r>
          </w:p>
        </w:tc>
        <w:tc>
          <w:tcPr>
            <w:tcW w:w="16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1"/>
              </w:rPr>
              <w:t>Proposed Maximum</w:t>
            </w:r>
          </w:p>
        </w:tc>
        <w:tc>
          <w:tcPr>
            <w:tcW w:w="15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r>
      <w:tr>
        <w:trPr>
          <w:trHeight w:val="208"/>
        </w:trPr>
        <w:tc>
          <w:tcPr>
            <w:tcW w:w="3560" w:type="dxa"/>
            <w:vAlign w:val="bottom"/>
            <w:tcBorders>
              <w:right w:val="single" w:sz="8" w:color="auto"/>
            </w:tcBorders>
          </w:tcPr>
          <w:p>
            <w:pPr>
              <w:ind w:left="960"/>
              <w:spacing w:after="0"/>
              <w:rPr>
                <w:sz w:val="20"/>
                <w:szCs w:val="20"/>
                <w:color w:val="auto"/>
              </w:rPr>
            </w:pPr>
            <w:r>
              <w:rPr>
                <w:rFonts w:ascii="Arial" w:cs="Arial" w:eastAsia="Arial" w:hAnsi="Arial"/>
                <w:sz w:val="18"/>
                <w:szCs w:val="18"/>
                <w:b w:val="1"/>
                <w:bCs w:val="1"/>
                <w:color w:val="auto"/>
              </w:rPr>
              <w:t>Title of Each Class of</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Aggregate Offering</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Aggregate Offering</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Amount of</w:t>
            </w:r>
          </w:p>
        </w:tc>
        <w:tc>
          <w:tcPr>
            <w:tcW w:w="20" w:type="dxa"/>
            <w:vAlign w:val="bottom"/>
            <w:shd w:val="clear" w:color="auto" w:fill="000000"/>
          </w:tcPr>
          <w:p>
            <w:pPr>
              <w:spacing w:after="0"/>
              <w:rPr>
                <w:sz w:val="18"/>
                <w:szCs w:val="18"/>
                <w:color w:val="auto"/>
              </w:rPr>
            </w:pPr>
          </w:p>
        </w:tc>
      </w:tr>
      <w:tr>
        <w:trPr>
          <w:trHeight w:val="242"/>
        </w:trPr>
        <w:tc>
          <w:tcPr>
            <w:tcW w:w="356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Securities to be Registered</w:t>
            </w:r>
          </w:p>
        </w:tc>
        <w:tc>
          <w:tcPr>
            <w:tcW w:w="1420" w:type="dxa"/>
            <w:vAlign w:val="bottom"/>
            <w:tcBorders>
              <w:bottom w:val="single" w:sz="8" w:color="auto"/>
              <w:right w:val="single" w:sz="8" w:color="auto"/>
            </w:tcBorders>
          </w:tcPr>
          <w:p>
            <w:pPr>
              <w:jc w:val="center"/>
              <w:spacing w:after="0" w:line="242" w:lineRule="exact"/>
              <w:rPr>
                <w:sz w:val="20"/>
                <w:szCs w:val="20"/>
                <w:color w:val="auto"/>
              </w:rPr>
            </w:pPr>
            <w:r>
              <w:rPr>
                <w:rFonts w:ascii="Arial" w:cs="Arial" w:eastAsia="Arial" w:hAnsi="Arial"/>
                <w:sz w:val="18"/>
                <w:szCs w:val="18"/>
                <w:b w:val="1"/>
                <w:bCs w:val="1"/>
                <w:color w:val="auto"/>
                <w:w w:val="85"/>
              </w:rPr>
              <w:t>Registered</w:t>
            </w:r>
            <w:r>
              <w:rPr>
                <w:rFonts w:ascii="Arial" w:cs="Arial" w:eastAsia="Arial" w:hAnsi="Arial"/>
                <w:sz w:val="26"/>
                <w:szCs w:val="26"/>
                <w:b w:val="1"/>
                <w:bCs w:val="1"/>
                <w:color w:val="auto"/>
                <w:w w:val="85"/>
                <w:vertAlign w:val="superscript"/>
              </w:rPr>
              <w:t>(1)</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c>
          <w:tcPr>
            <w:tcW w:w="20" w:type="dxa"/>
            <w:vAlign w:val="bottom"/>
            <w:tcBorders>
              <w:bottom w:val="single" w:sz="8" w:color="auto"/>
            </w:tcBorders>
            <w:shd w:val="clear" w:color="auto" w:fill="000000"/>
          </w:tcPr>
          <w:p>
            <w:pPr>
              <w:spacing w:after="0"/>
              <w:rPr>
                <w:sz w:val="21"/>
                <w:szCs w:val="21"/>
                <w:color w:val="auto"/>
              </w:rPr>
            </w:pPr>
          </w:p>
        </w:tc>
      </w:tr>
      <w:tr>
        <w:trPr>
          <w:trHeight w:val="210"/>
        </w:trPr>
        <w:tc>
          <w:tcPr>
            <w:tcW w:w="3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Primary Offering:</w:t>
            </w: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Common stock, par value $0.0001 per share</w:t>
            </w:r>
          </w:p>
        </w:tc>
        <w:tc>
          <w:tcPr>
            <w:tcW w:w="1420" w:type="dxa"/>
            <w:vAlign w:val="bottom"/>
            <w:tcBorders>
              <w:bottom w:val="single" w:sz="8" w:color="auto"/>
              <w:right w:val="single" w:sz="8" w:color="auto"/>
            </w:tcBorders>
          </w:tcPr>
          <w:p>
            <w:pPr>
              <w:jc w:val="center"/>
              <w:ind w:right="153"/>
              <w:spacing w:after="0" w:line="210" w:lineRule="exact"/>
              <w:rPr>
                <w:sz w:val="20"/>
                <w:szCs w:val="20"/>
                <w:color w:val="auto"/>
              </w:rPr>
            </w:pPr>
            <w:r>
              <w:rPr>
                <w:rFonts w:ascii="Arial" w:cs="Arial" w:eastAsia="Arial" w:hAnsi="Arial"/>
                <w:sz w:val="17"/>
                <w:szCs w:val="17"/>
                <w:color w:val="auto"/>
              </w:rPr>
              <w:t xml:space="preserve">5,177,500 </w:t>
            </w:r>
            <w:r>
              <w:rPr>
                <w:rFonts w:ascii="Arial" w:cs="Arial" w:eastAsia="Arial" w:hAnsi="Arial"/>
                <w:sz w:val="24"/>
                <w:szCs w:val="24"/>
                <w:color w:val="auto"/>
                <w:vertAlign w:val="superscript"/>
              </w:rPr>
              <w:t>(2)</w:t>
            </w:r>
          </w:p>
        </w:tc>
        <w:tc>
          <w:tcPr>
            <w:tcW w:w="1740" w:type="dxa"/>
            <w:vAlign w:val="bottom"/>
            <w:tcBorders>
              <w:bottom w:val="single" w:sz="8" w:color="auto"/>
              <w:right w:val="single" w:sz="8" w:color="auto"/>
            </w:tcBorders>
          </w:tcPr>
          <w:p>
            <w:pPr>
              <w:jc w:val="center"/>
              <w:ind w:right="432"/>
              <w:spacing w:after="0" w:line="210" w:lineRule="exact"/>
              <w:rPr>
                <w:sz w:val="20"/>
                <w:szCs w:val="20"/>
                <w:color w:val="auto"/>
              </w:rPr>
            </w:pPr>
            <w:r>
              <w:rPr>
                <w:rFonts w:ascii="Arial" w:cs="Arial" w:eastAsia="Arial" w:hAnsi="Arial"/>
                <w:sz w:val="17"/>
                <w:szCs w:val="17"/>
                <w:color w:val="auto"/>
              </w:rPr>
              <w:t xml:space="preserve">$11.50 </w:t>
            </w:r>
            <w:r>
              <w:rPr>
                <w:rFonts w:ascii="Arial" w:cs="Arial" w:eastAsia="Arial" w:hAnsi="Arial"/>
                <w:sz w:val="24"/>
                <w:szCs w:val="24"/>
                <w:color w:val="auto"/>
                <w:vertAlign w:val="superscript"/>
              </w:rPr>
              <w:t>(3)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$59,541,250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$6,495.96</w:t>
            </w:r>
          </w:p>
        </w:tc>
        <w:tc>
          <w:tcPr>
            <w:tcW w:w="20" w:type="dxa"/>
            <w:vAlign w:val="bottom"/>
          </w:tcPr>
          <w:p>
            <w:pPr>
              <w:spacing w:after="0"/>
              <w:rPr>
                <w:sz w:val="18"/>
                <w:szCs w:val="18"/>
                <w:color w:val="auto"/>
              </w:rPr>
            </w:pPr>
          </w:p>
        </w:tc>
      </w:tr>
      <w:tr>
        <w:trPr>
          <w:trHeight w:val="210"/>
        </w:trPr>
        <w:tc>
          <w:tcPr>
            <w:tcW w:w="3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Secondary Offering:</w:t>
            </w: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Common stock, par value $0.0001 per share</w:t>
            </w:r>
          </w:p>
        </w:tc>
        <w:tc>
          <w:tcPr>
            <w:tcW w:w="1420" w:type="dxa"/>
            <w:vAlign w:val="bottom"/>
            <w:tcBorders>
              <w:bottom w:val="single" w:sz="8" w:color="auto"/>
              <w:right w:val="single" w:sz="8" w:color="auto"/>
            </w:tcBorders>
          </w:tcPr>
          <w:p>
            <w:pPr>
              <w:jc w:val="center"/>
              <w:ind w:right="133"/>
              <w:spacing w:after="0" w:line="210" w:lineRule="exact"/>
              <w:rPr>
                <w:sz w:val="20"/>
                <w:szCs w:val="20"/>
                <w:color w:val="auto"/>
              </w:rPr>
            </w:pPr>
            <w:r>
              <w:rPr>
                <w:rFonts w:ascii="Arial" w:cs="Arial" w:eastAsia="Arial" w:hAnsi="Arial"/>
                <w:sz w:val="17"/>
                <w:szCs w:val="17"/>
                <w:color w:val="auto"/>
              </w:rPr>
              <w:t>90,069,340</w:t>
            </w:r>
            <w:r>
              <w:rPr>
                <w:rFonts w:ascii="Arial" w:cs="Arial" w:eastAsia="Arial" w:hAnsi="Arial"/>
                <w:sz w:val="24"/>
                <w:szCs w:val="24"/>
                <w:color w:val="auto"/>
                <w:vertAlign w:val="superscript"/>
              </w:rPr>
              <w:t>(4)</w:t>
            </w:r>
          </w:p>
        </w:tc>
        <w:tc>
          <w:tcPr>
            <w:tcW w:w="1740" w:type="dxa"/>
            <w:vAlign w:val="bottom"/>
            <w:tcBorders>
              <w:bottom w:val="single" w:sz="8" w:color="auto"/>
              <w:right w:val="single" w:sz="8" w:color="auto"/>
            </w:tcBorders>
          </w:tcPr>
          <w:p>
            <w:pPr>
              <w:jc w:val="center"/>
              <w:ind w:right="452"/>
              <w:spacing w:after="0" w:line="210" w:lineRule="exact"/>
              <w:rPr>
                <w:sz w:val="20"/>
                <w:szCs w:val="20"/>
                <w:color w:val="auto"/>
              </w:rPr>
            </w:pPr>
            <w:r>
              <w:rPr>
                <w:rFonts w:ascii="Arial" w:cs="Arial" w:eastAsia="Arial" w:hAnsi="Arial"/>
                <w:sz w:val="17"/>
                <w:szCs w:val="17"/>
                <w:color w:val="auto"/>
              </w:rPr>
              <w:t>$14.09</w:t>
            </w:r>
            <w:r>
              <w:rPr>
                <w:rFonts w:ascii="Arial" w:cs="Arial" w:eastAsia="Arial" w:hAnsi="Arial"/>
                <w:sz w:val="24"/>
                <w:szCs w:val="24"/>
                <w:color w:val="auto"/>
                <w:vertAlign w:val="superscript"/>
              </w:rPr>
              <w:t>(5)</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$1,269,077,000.60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$138,456.31</w:t>
            </w:r>
          </w:p>
        </w:tc>
        <w:tc>
          <w:tcPr>
            <w:tcW w:w="20" w:type="dxa"/>
            <w:vAlign w:val="bottom"/>
          </w:tcPr>
          <w:p>
            <w:pPr>
              <w:spacing w:after="0"/>
              <w:rPr>
                <w:sz w:val="18"/>
                <w:szCs w:val="18"/>
                <w:color w:val="auto"/>
              </w:rPr>
            </w:pPr>
          </w:p>
        </w:tc>
      </w:tr>
      <w:tr>
        <w:trPr>
          <w:trHeight w:val="209"/>
        </w:trPr>
        <w:tc>
          <w:tcPr>
            <w:tcW w:w="3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$1,328,618,250.60</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$144,952.27</w:t>
            </w:r>
          </w:p>
        </w:tc>
        <w:tc>
          <w:tcPr>
            <w:tcW w:w="20" w:type="dxa"/>
            <w:vAlign w:val="bottom"/>
          </w:tcPr>
          <w:p>
            <w:pPr>
              <w:spacing w:after="0"/>
              <w:rPr>
                <w:sz w:val="18"/>
                <w:szCs w:val="18"/>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of the Securities Act of 1933, as amended (the “Securities Act”), there are also being registered an indeterminable number of additional shares of common stock as may be issuable with respect to the shares being issued hereunder as a result of stock splits, stock dividends or similar transactions.</w:t>
      </w:r>
    </w:p>
    <w:p>
      <w:pPr>
        <w:spacing w:after="0" w:line="62"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Consists of: (i) 177,500 shares of common stock that may be issued upon exercise of Private Placement Warrants (as defined below) and (ii) 5,000,000 shares of common stock that may be issued upon exercise of Public Warrants (as defined below).</w:t>
      </w:r>
    </w:p>
    <w:p>
      <w:pPr>
        <w:spacing w:after="0" w:line="24"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upon the exercise price per share of common stock issuable upon exercise of the Warrants (as defined below).</w:t>
      </w:r>
    </w:p>
    <w:p>
      <w:pPr>
        <w:spacing w:after="0" w:line="103" w:lineRule="exact"/>
        <w:rPr>
          <w:rFonts w:ascii="Arial" w:cs="Arial" w:eastAsia="Arial" w:hAnsi="Arial"/>
          <w:sz w:val="18"/>
          <w:szCs w:val="18"/>
          <w:color w:val="auto"/>
        </w:rPr>
      </w:pPr>
    </w:p>
    <w:p>
      <w:pPr>
        <w:ind w:left="340" w:right="6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Consists of the following shares of common stock registered for resale by the selling stockholders (as defined below): (i) 17,500,000 PIPE Shares (as defined below), (ii) 71,759,179 shares of common stock pursuant to that certain Investor Rights and Lock-up Agreement (as defined below) and (iii) 810,161 shares of common stock purchased by a selling stockholder.</w:t>
      </w:r>
    </w:p>
    <w:p>
      <w:pPr>
        <w:spacing w:after="0" w:line="43" w:lineRule="exact"/>
        <w:rPr>
          <w:rFonts w:ascii="Arial" w:cs="Arial" w:eastAsia="Arial" w:hAnsi="Arial"/>
          <w:sz w:val="17"/>
          <w:szCs w:val="17"/>
          <w:color w:val="auto"/>
        </w:rPr>
      </w:pPr>
    </w:p>
    <w:p>
      <w:pPr>
        <w:ind w:left="340" w:right="20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computing the amount of the registration fee pursuant to Rule 457(c) of the Securities Act. The price per share and aggregate offering price are based on the average of the high and low prices of the common stock on September 10, 2021, as reported on the Nasdaq Global Select Market under the symbol “HUMA.”</w:t>
      </w:r>
    </w:p>
    <w:p>
      <w:pPr>
        <w:spacing w:after="0" w:line="40"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517" w:right="979" w:bottom="1440" w:gutter="0" w:footer="0" w:header="0"/>
        </w:sectPr>
      </w:pPr>
    </w:p>
    <w:bookmarkStart w:id="2" w:name="page3"/>
    <w:bookmarkEnd w:id="2"/>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1900" w:h="16838" w:orient="portrait"/>
          <w:cols w:equalWidth="0" w:num="1">
            <w:col w:w="10180"/>
          </w:cols>
          <w:pgMar w:left="700" w:top="517" w:right="1019" w:bottom="1440" w:gutter="0" w:footer="0" w:header="0"/>
        </w:sect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5"/>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0000"/>
                <w:w w:val="97"/>
              </w:rPr>
              <w:t>registrationstatementfiled</w:t>
            </w:r>
          </w:p>
        </w:tc>
        <w:tc>
          <w:tcPr>
            <w:tcW w:w="400" w:type="dxa"/>
            <w:vAlign w:val="bottom"/>
            <w:textDirection w:val="btLr"/>
          </w:tcPr>
          <w:p>
            <w:pPr>
              <w:ind w:left="28"/>
              <w:spacing w:after="0"/>
              <w:rPr>
                <w:sz w:val="20"/>
                <w:szCs w:val="20"/>
                <w:color w:val="auto"/>
              </w:rPr>
            </w:pPr>
            <w:r>
              <w:rPr>
                <w:rFonts w:ascii="Arial" w:cs="Arial" w:eastAsia="Arial" w:hAnsi="Arial"/>
                <w:sz w:val="18"/>
                <w:szCs w:val="18"/>
                <w:b w:val="1"/>
                <w:bCs w:val="1"/>
                <w:color w:val="FF0000"/>
              </w:rPr>
              <w:t>itseekanoffertobuythese</w:t>
            </w:r>
          </w:p>
        </w:tc>
      </w:tr>
      <w:tr>
        <w:trPr>
          <w:trHeight w:val="710"/>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0000"/>
              </w:rPr>
              <w:t>untilthe</w:t>
            </w:r>
          </w:p>
        </w:tc>
        <w:tc>
          <w:tcPr>
            <w:tcW w:w="400" w:type="dxa"/>
            <w:vAlign w:val="bottom"/>
            <w:textDirection w:val="btLr"/>
          </w:tcPr>
          <w:p>
            <w:pPr>
              <w:ind w:left="27"/>
              <w:spacing w:after="0"/>
              <w:rPr>
                <w:sz w:val="20"/>
                <w:szCs w:val="20"/>
                <w:color w:val="auto"/>
              </w:rPr>
            </w:pPr>
            <w:r>
              <w:rPr>
                <w:rFonts w:ascii="Arial" w:cs="Arial" w:eastAsia="Arial" w:hAnsi="Arial"/>
                <w:sz w:val="18"/>
                <w:szCs w:val="18"/>
                <w:b w:val="1"/>
                <w:bCs w:val="1"/>
                <w:color w:val="FF0000"/>
                <w:w w:val="98"/>
              </w:rPr>
              <w:t>nordoes</w:t>
            </w:r>
          </w:p>
        </w:tc>
      </w:tr>
      <w:tr>
        <w:trPr>
          <w:trHeight w:val="2507"/>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0000"/>
                <w:w w:val="97"/>
              </w:rPr>
              <w:t>Thesesecuritiesmaynotbesold</w:t>
            </w:r>
          </w:p>
        </w:tc>
        <w:tc>
          <w:tcPr>
            <w:tcW w:w="400" w:type="dxa"/>
            <w:vAlign w:val="bottom"/>
            <w:textDirection w:val="btLr"/>
          </w:tcPr>
          <w:p>
            <w:pPr>
              <w:ind w:left="23"/>
              <w:spacing w:after="0"/>
              <w:rPr>
                <w:sz w:val="20"/>
                <w:szCs w:val="20"/>
                <w:color w:val="auto"/>
              </w:rPr>
            </w:pPr>
            <w:r>
              <w:rPr>
                <w:rFonts w:ascii="Arial" w:cs="Arial" w:eastAsia="Arial" w:hAnsi="Arial"/>
                <w:sz w:val="18"/>
                <w:szCs w:val="18"/>
                <w:b w:val="1"/>
                <w:bCs w:val="1"/>
                <w:color w:val="FF0000"/>
              </w:rPr>
              <w:t>prospectusisnotanoffertosell</w:t>
            </w:r>
          </w:p>
        </w:tc>
      </w:tr>
      <w:tr>
        <w:trPr>
          <w:trHeight w:val="966"/>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0000"/>
                <w:w w:val="95"/>
              </w:rPr>
              <w:t>bechanged.</w:t>
            </w:r>
          </w:p>
        </w:tc>
        <w:tc>
          <w:tcPr>
            <w:tcW w:w="400" w:type="dxa"/>
            <w:vAlign w:val="bottom"/>
            <w:textDirection w:val="btLr"/>
          </w:tcPr>
          <w:p>
            <w:pPr>
              <w:ind w:left="21"/>
              <w:spacing w:after="0"/>
              <w:rPr>
                <w:sz w:val="20"/>
                <w:szCs w:val="20"/>
                <w:color w:val="auto"/>
              </w:rPr>
            </w:pPr>
            <w:r>
              <w:rPr>
                <w:rFonts w:ascii="Arial" w:cs="Arial" w:eastAsia="Arial" w:hAnsi="Arial"/>
                <w:sz w:val="18"/>
                <w:szCs w:val="18"/>
                <w:b w:val="1"/>
                <w:bCs w:val="1"/>
                <w:color w:val="FF0000"/>
                <w:w w:val="98"/>
              </w:rPr>
              <w:t>preliminary</w:t>
            </w:r>
          </w:p>
        </w:tc>
      </w:tr>
      <w:tr>
        <w:trPr>
          <w:trHeight w:val="5642"/>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0000"/>
              </w:rPr>
              <w:t>Theinformationinthispreliminaryprospectusisnotcompleteandmay</w:t>
            </w:r>
          </w:p>
        </w:tc>
        <w:tc>
          <w:tcPr>
            <w:tcW w:w="400" w:type="dxa"/>
            <w:vAlign w:val="bottom"/>
            <w:textDirection w:val="btLr"/>
          </w:tcPr>
          <w:p>
            <w:pPr>
              <w:ind w:left="247"/>
              <w:spacing w:after="0"/>
              <w:rPr>
                <w:sz w:val="20"/>
                <w:szCs w:val="20"/>
                <w:color w:val="auto"/>
              </w:rPr>
            </w:pPr>
            <w:r>
              <w:rPr>
                <w:rFonts w:ascii="Arial" w:cs="Arial" w:eastAsia="Arial" w:hAnsi="Arial"/>
                <w:sz w:val="13"/>
                <w:szCs w:val="13"/>
                <w:b w:val="1"/>
                <w:bCs w:val="1"/>
                <w:color w:val="FF0000"/>
                <w:w w:val="70"/>
              </w:rPr>
              <w:t>withtheSecuritiesandExchangeCommissionisdeclaredeffective.Thissecuritiesinanyjurisdictionwheretheofferorsaleisnotpermitted.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FF0000"/>
        </w:rPr>
        <w:t>SUBJECT TO COMPLETION, DATED SEPTEMBER 17,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128905</wp:posOffset>
            </wp:positionV>
            <wp:extent cx="299148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148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Up to 90,069,340 Shares of Common Stock</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Up to 5,177,500 Shares of Common Stock Issuable Upon Exercise of Warrants</w:t>
      </w:r>
    </w:p>
    <w:p>
      <w:pPr>
        <w:spacing w:after="0" w:line="184"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This prospectus relates to the issuance by us of an aggregate of up to 5,177,500 shares of our common stock, $0.0001 par value per share (the “common stock”), which consists of (i) up to 177,500 shares of common stock that are issuable upon the exercise of private placement warrants (the “Private Placement Warrants”) originally issued in a private placement to AHAC Sponsor LLC (the “Sponsor”), Oppenheimer &amp; Co. Inc. (“Oppenheimer”) and Northland Securities, Inc. (“Northland”), in connection with the initial public offering of Alpha Healthcare Acquisition Corp. (“AHAC”), and (ii) up to 5,000,000 shares of common stock that are issuable upon the exercise of public warrants (the “Public Warrants” and, together with the Private Warrants, the “Warrants”). We will receive the proceeds from the exercise of any Warrants for cash.</w:t>
      </w:r>
    </w:p>
    <w:p>
      <w:pPr>
        <w:spacing w:after="0" w:line="8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This prospectus also relates to the offer and sale from time to time by the selling stockholders named in this prospectus or their permitted transferees (the “selling stockholders”) of up to 90,069,340 shares of common stock, which consists of (i) up to 17,500,000 shares of common stock issued on August 26, 2021 in a private placement pursuant to subscription agreements, dated February 17, 2021 (the “PIPE Shares”), (ii) up to 71,759,179 shares of common stock, required to be registered pursuant to that certain Investor Rights and Lock-up Agreement, dated August 26, 2021 (the “Investor Rights and Lock-up Agreement”), by and among us and certain of the selling stockholders and (iii) up to 810,161 shares of common stock purchased by a selling stockholder. We will not receive any proceeds from the sale of shares of common stock by the selling stockholders pursuant to this prospectus.</w:t>
      </w:r>
    </w:p>
    <w:p>
      <w:pPr>
        <w:spacing w:after="0" w:line="12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selling stockholders may offer, sell or distribute all or a portion of the securities hereby registered publicly or through private transactions at prevailing market prices or at negotiated prices. We will not receive any of the proceeds from such sales of the shares of common stock, but we will receive the proceeds from the exercise of any Warrants for cash. We will bear all costs, expenses and fees in connection with the registration of these securities, including with regard to compliance with state securities or “blue sky” laws. The selling stockholders will bear all commissions and discounts, if any, attributable to their sale of shares of common stock. See the section titled “Plan of Distribution.”</w:t>
      </w:r>
    </w:p>
    <w:p>
      <w:pPr>
        <w:spacing w:after="0" w:line="11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“HUMA.” On September 16, 2021, the last reported sales price of our common stock was $14.21 per share.</w:t>
      </w:r>
    </w:p>
    <w:p>
      <w:pPr>
        <w:spacing w:after="0" w:line="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are an “emerging growth company” and a “smaller reporting company” as defined under the U.S. federal securities laws. See “Prospectus Summary — Implications of Being an Emerging Growth Company and a Smaller Reporting Company.” This prospectus complies with the requirements that apply to an issuer that is an emerging growth company and a smaller reporting company.</w:t>
      </w:r>
    </w:p>
    <w:p>
      <w:pPr>
        <w:spacing w:after="0" w:line="115"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Investing in our common stock involves risks. See “Risk Factors” beginning on page 4 of this prospectus to read about factors you should consider before investing in our common stock.</w:t>
      </w:r>
    </w:p>
    <w:p>
      <w:pPr>
        <w:spacing w:after="0" w:line="94"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99" w:lineRule="exact"/>
        <w:rPr>
          <w:sz w:val="20"/>
          <w:szCs w:val="20"/>
          <w:color w:val="auto"/>
        </w:rPr>
      </w:pPr>
    </w:p>
    <w:tbl>
      <w:tblPr>
        <w:tblLayout w:type="fixed"/>
        <w:tblInd w:w="320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80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1345565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600" w:space="200"/>
            <w:col w:w="9380"/>
          </w:cols>
          <w:pgMar w:left="700" w:top="517" w:right="10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30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620" w:type="dxa"/>
            <w:vAlign w:val="bottom"/>
          </w:tcPr>
          <w:p>
            <w:pPr>
              <w:spacing w:after="0"/>
              <w:rPr>
                <w:sz w:val="17"/>
                <w:szCs w:val="17"/>
                <w:color w:val="auto"/>
              </w:rPr>
            </w:pPr>
          </w:p>
        </w:tc>
      </w:tr>
      <w:tr>
        <w:trPr>
          <w:trHeight w:val="817"/>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80" w:type="dxa"/>
            <w:vAlign w:val="bottom"/>
            <w:gridSpan w:val="8"/>
          </w:tcPr>
          <w:p>
            <w:pPr>
              <w:ind w:left="62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r>
      <w:tr>
        <w:trPr>
          <w:trHeight w:val="364"/>
        </w:trPr>
        <w:tc>
          <w:tcPr>
            <w:tcW w:w="224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7060" w:type="dxa"/>
            <w:vAlign w:val="bottom"/>
            <w:gridSpan w:val="1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2660" w:type="dxa"/>
            <w:vAlign w:val="bottom"/>
            <w:tcBorders>
              <w:bottom w:val="single" w:sz="8" w:color="0000EE"/>
            </w:tcBorders>
            <w:gridSpan w:val="16"/>
          </w:tcPr>
          <w:p>
            <w:pPr>
              <w:spacing w:after="0" w:line="19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MARKET AND INDUSTRY DATA</w:t>
              </w:r>
            </w:hyperlink>
          </w:p>
        </w:tc>
        <w:tc>
          <w:tcPr>
            <w:tcW w:w="6640" w:type="dxa"/>
            <w:vAlign w:val="bottom"/>
            <w:gridSpan w:val="1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9300" w:type="dxa"/>
            <w:vAlign w:val="bottom"/>
            <w:gridSpan w:val="2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TRADEMARKS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FORWARD-LOOKING STATEMENTS</w:t>
              </w:r>
            </w:hyperlink>
          </w:p>
        </w:tc>
        <w:tc>
          <w:tcPr>
            <w:tcW w:w="6360" w:type="dxa"/>
            <w:vAlign w:val="bottom"/>
            <w:gridSpan w:val="1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PROSPECTUS SUMMARY</w:t>
              </w:r>
            </w:hyperlink>
          </w:p>
        </w:tc>
        <w:tc>
          <w:tcPr>
            <w:tcW w:w="7200" w:type="dxa"/>
            <w:vAlign w:val="bottom"/>
            <w:gridSpan w:val="1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300" w:type="dxa"/>
            <w:vAlign w:val="bottom"/>
            <w:gridSpan w:val="2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THE OFFERING</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8020" w:type="dxa"/>
            <w:vAlign w:val="bottom"/>
            <w:gridSpan w:val="2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300" w:type="dxa"/>
            <w:vAlign w:val="bottom"/>
            <w:gridSpan w:val="2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USE OF PROCEEDS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DETERMINATION OF OFFERING PRICE</w:t>
              </w:r>
            </w:hyperlink>
          </w:p>
        </w:tc>
        <w:tc>
          <w:tcPr>
            <w:tcW w:w="606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6020" w:type="dxa"/>
            <w:vAlign w:val="bottom"/>
            <w:tcBorders>
              <w:bottom w:val="single" w:sz="8" w:color="0000EE"/>
            </w:tcBorders>
            <w:gridSpan w:val="24"/>
          </w:tcPr>
          <w:p>
            <w:pPr>
              <w:spacing w:after="0" w:line="196"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MARKET INFORMATION FOR COMMON STOCK AND DIVIDEND POLICY</w:t>
              </w:r>
            </w:hyperlink>
          </w:p>
        </w:tc>
        <w:tc>
          <w:tcPr>
            <w:tcW w:w="328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9300" w:type="dxa"/>
            <w:vAlign w:val="bottom"/>
            <w:gridSpan w:val="2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UNAUDITED PRO FORMA CONDENSED COMBINED FINANCIAL INFORMATION</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93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BUSINESS</w:t>
              </w:r>
            </w:hyperlink>
          </w:p>
        </w:tc>
        <w:tc>
          <w:tcPr>
            <w:tcW w:w="8100" w:type="dxa"/>
            <w:vAlign w:val="bottom"/>
            <w:tcBorders>
              <w:top w:val="single" w:sz="8" w:color="0000EE"/>
            </w:tcBorders>
            <w:gridSpan w:val="24"/>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9300" w:type="dxa"/>
            <w:vAlign w:val="bottom"/>
            <w:gridSpan w:val="2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MANAGEMENT</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32">
              <w:r>
                <w:rPr>
                  <w:rFonts w:ascii="Arial" w:cs="Arial" w:eastAsia="Arial" w:hAnsi="Arial"/>
                  <w:sz w:val="18"/>
                  <w:szCs w:val="18"/>
                  <w:color w:val="0000EE"/>
                  <w:w w:val="96"/>
                </w:rPr>
                <w:t>EXECUTIVE COMPENSATION</w:t>
              </w:r>
            </w:hyperlink>
          </w:p>
        </w:tc>
        <w:tc>
          <w:tcPr>
            <w:tcW w:w="684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216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146">
              <w:r>
                <w:rPr>
                  <w:rFonts w:ascii="Arial" w:cs="Arial" w:eastAsia="Arial" w:hAnsi="Arial"/>
                  <w:sz w:val="18"/>
                  <w:szCs w:val="18"/>
                  <w:color w:val="0000EE"/>
                  <w:w w:val="96"/>
                </w:rPr>
                <w:t>BENEFICIAL OWNERSHIP</w:t>
              </w:r>
            </w:hyperlink>
          </w:p>
        </w:tc>
        <w:tc>
          <w:tcPr>
            <w:tcW w:w="7140" w:type="dxa"/>
            <w:vAlign w:val="bottom"/>
            <w:gridSpan w:val="1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548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CERTAIN RELATIONSHIPS AND RELATED PARTY TRANSACTIONS</w:t>
              </w:r>
            </w:hyperlink>
          </w:p>
        </w:tc>
        <w:tc>
          <w:tcPr>
            <w:tcW w:w="382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25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DESCRIPTION OF SECURITIES</w:t>
              </w:r>
            </w:hyperlink>
          </w:p>
        </w:tc>
        <w:tc>
          <w:tcPr>
            <w:tcW w:w="6780" w:type="dxa"/>
            <w:vAlign w:val="bottom"/>
            <w:gridSpan w:val="1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9300" w:type="dxa"/>
            <w:vAlign w:val="bottom"/>
            <w:gridSpan w:val="2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SELLING STOCKHOLDERS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00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162">
              <w:r>
                <w:rPr>
                  <w:rFonts w:ascii="Arial" w:cs="Arial" w:eastAsia="Arial" w:hAnsi="Arial"/>
                  <w:sz w:val="18"/>
                  <w:szCs w:val="18"/>
                  <w:color w:val="0000EE"/>
                  <w:w w:val="96"/>
                </w:rPr>
                <w:t>MATERIAL U.S. FEDERAL INCOME AND ESTATE TAX CONSIDERATIONS</w:t>
              </w:r>
            </w:hyperlink>
          </w:p>
        </w:tc>
        <w:tc>
          <w:tcPr>
            <w:tcW w:w="330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166">
              <w:r>
                <w:rPr>
                  <w:rFonts w:ascii="Arial" w:cs="Arial" w:eastAsia="Arial" w:hAnsi="Arial"/>
                  <w:sz w:val="18"/>
                  <w:szCs w:val="18"/>
                  <w:color w:val="0000EE"/>
                  <w:w w:val="97"/>
                </w:rPr>
                <w:t>PLAN OF DISTRIBUTION</w:t>
              </w:r>
            </w:hyperlink>
          </w:p>
        </w:tc>
        <w:tc>
          <w:tcPr>
            <w:tcW w:w="7240" w:type="dxa"/>
            <w:vAlign w:val="bottom"/>
            <w:gridSpan w:val="1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9300" w:type="dxa"/>
            <w:vAlign w:val="bottom"/>
            <w:gridSpan w:val="27"/>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LEGAL MATTERS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68">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17"/>
                <w:szCs w:val="17"/>
                <w:color w:val="auto"/>
              </w:rPr>
            </w:pPr>
          </w:p>
        </w:tc>
        <w:tc>
          <w:tcPr>
            <w:tcW w:w="7840" w:type="dxa"/>
            <w:vAlign w:val="bottom"/>
            <w:gridSpan w:val="2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r>
      <w:tr>
        <w:trPr>
          <w:trHeight w:val="196"/>
        </w:trPr>
        <w:tc>
          <w:tcPr>
            <w:tcW w:w="506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168">
              <w:r>
                <w:rPr>
                  <w:rFonts w:ascii="Arial" w:cs="Arial" w:eastAsia="Arial" w:hAnsi="Arial"/>
                  <w:sz w:val="18"/>
                  <w:szCs w:val="18"/>
                  <w:color w:val="0000EE"/>
                  <w:w w:val="96"/>
                </w:rPr>
                <w:t>CHANGE IN THE REGISTRANT'S CERTIFYING ACCOUNTANT</w:t>
              </w:r>
            </w:hyperlink>
          </w:p>
        </w:tc>
        <w:tc>
          <w:tcPr>
            <w:tcW w:w="424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r>
      <w:tr>
        <w:trPr>
          <w:trHeight w:val="196"/>
        </w:trPr>
        <w:tc>
          <w:tcPr>
            <w:tcW w:w="9300" w:type="dxa"/>
            <w:vAlign w:val="bottom"/>
            <w:gridSpan w:val="27"/>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WHERE YOU CAN FIND MORE INFORMATION</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20"/>
        </w:trPr>
        <w:tc>
          <w:tcPr>
            <w:tcW w:w="3820" w:type="dxa"/>
            <w:vAlign w:val="bottom"/>
            <w:gridSpan w:val="19"/>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446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170">
              <w:r>
                <w:rPr>
                  <w:rFonts w:ascii="Arial" w:cs="Arial" w:eastAsia="Arial" w:hAnsi="Arial"/>
                  <w:sz w:val="18"/>
                  <w:szCs w:val="18"/>
                  <w:color w:val="0000EE"/>
                  <w:w w:val="97"/>
                </w:rPr>
                <w:t>INDEX TO CONSOLIDATED FINANCIAL STATEMENTS</w:t>
              </w:r>
            </w:hyperlink>
          </w:p>
        </w:tc>
        <w:tc>
          <w:tcPr>
            <w:tcW w:w="4840" w:type="dxa"/>
            <w:vAlign w:val="bottom"/>
            <w:gridSpan w:val="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This prospectus is part of a registration statement on Form S-1 that we filed with the SEC using the “shelf” registration process. Under this shelf registration process, the selling stockholders may, from time to time, sell the securities offered by them described in this prospectus. We will not receive any proceeds from the sale by such selling stockholders of the securities offered by them described in this prospectus. This prospectus also relates to the issuance by us of the shares of common stock issuable upon the exercise of any Warrants. We will not receive any proceeds from the sale of shares of common stock underlying the Warrants pursuant to this prospectus.</w:t>
      </w:r>
    </w:p>
    <w:p>
      <w:pPr>
        <w:spacing w:after="0" w:line="134"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Neither we nor the selling stockholders have authorized anyone to provide you with information that is different from or in addition to the information contained in this prospectus or in any applicable prospectus supplement or in any related free writing prospectus prepared by or on behalf of us or to which we have referred you. Accordingly, neither we nor any selling stockholder takes any responsibility for, or can provide any assurance as to the reliability of, any information that others may give. Neither we nor any selling stockholder will make any offers to sell or seek any offers to buy these securities in any jurisdiction where the offer or sale is not permitted. You should assume that the information contained in this prospectus, any applicable prospectus supplement, and any related free writing prospectus is accurate only as of the respective dates of such documents, regardless of the time of delivery of the respective documents or any sale of securities offered hereby. Our business, financial condition, results of operations and prospects may have changed materially since those dates.</w:t>
      </w:r>
    </w:p>
    <w:p>
      <w:pPr>
        <w:spacing w:after="0" w:line="14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this prospectus and any applicable prospectus supplement or post-effective amendment to the registration statement together with the additional information to which we refer you in the section of this prospectus titled “Where You Can Find More Information.”</w:t>
      </w:r>
    </w:p>
    <w:p>
      <w:pPr>
        <w:spacing w:after="0" w:line="14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August 26, 2021 (the “Closing Date”), Humacyte, Inc. (“Legacy Humacyte”) and AHAC consummated the previously announced business combination pursuant to that certain Business Combination Agreement, dated as of February 17, 2021 (the “Business Combination Agreement”), by and among Legacy Humacyte, AHAC and Hunter Merger Sub (“Merger Sub”), a Delaware corporation and wholly owned subsidiary of AHAC. As contemplated by the Business Combination Agreement, Merger Sub merged with and into Legacy Humacyte, with Legacy Humacyte continuing as the surviving corporation and as a wholly owned subsidiary of AHAC (the “Business Combination”). On the Closing Date, AHAC changed its name to Humacyte, Inc. and Legacy Humacyte changed its name to Humacyte Global, Inc.</w:t>
      </w:r>
    </w:p>
    <w:p>
      <w:pPr>
        <w:spacing w:after="0" w:line="16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Unless the context indicates otherwise, references in this prospectus to the “Company,” “Humacyte,” “we,” “us,” “our” and similar terms refer to Humacyte, Inc. (formerly known as Alpha Healthcare Acquisition Corp.) and its consolidated subsidiaries (including Humacyte Global, Inc.) following the Business Combination. References to “AHAC” refer to Alpha Healthcare Acquisition Corp. prior to the Business Combination.</w:t>
      </w:r>
    </w:p>
    <w:p>
      <w:pPr>
        <w:spacing w:after="0" w:line="14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Notwithstanding the legal form of the Business Combination pursuant to the Business Combination Agreement, the Business Combination will be accounted for as a reverse recapitalization in accordance with U.S. generally accepted accounting principles (“GAAP”). Under this method of accounting, AHAC will be treated as the acquired company for financial reporting purposes, whereas Legacy Humacyte will be treated as the accounting acquiror. In accordance with this accounting method, the Business Combination will be treated as the equivalent of Legacy Humacyte issuing stock for the net assets of AHAC, accompanied by a recapitalization. The net assets of AHAC will be stated at historical cost, with no goodwill or other intangible assets recorded, and operations prior to the Business Combination will be those of Humacyte.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20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Certain information contained in this document relates to or is based on studies, publications, surveys and other data obtained from third-party sources and Humacyte’s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w:t>
      </w:r>
    </w:p>
    <w:p>
      <w:pPr>
        <w:spacing w:after="0" w:line="18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This document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This prospectus contains statements that are forward-looking and as such are not historical facts. This includes,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prospectus,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we discusses our strategies or plans, we are making projections, forecasts or forward-looking statements. Such statements are based on the beliefs of, as well as assumptions made by and information currently available to, Humacyte’s management.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in this prospectus may include, for example, statements about:</w:t>
      </w:r>
    </w:p>
    <w:p>
      <w:pPr>
        <w:spacing w:after="0" w:line="185" w:lineRule="exact"/>
        <w:rPr>
          <w:sz w:val="20"/>
          <w:szCs w:val="20"/>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anticipated growth rate and market opportunities;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listing of our securities on Nasdaq;</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84"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and ability to execute product development, process development, preclinical development efforts successfully and on our anticipated timelines;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use our proprietary scientific technology platform to build a pipeline of additional product candidates;</w:t>
      </w:r>
    </w:p>
    <w:p>
      <w:pPr>
        <w:spacing w:after="0" w:line="184" w:lineRule="exact"/>
        <w:rPr>
          <w:rFonts w:ascii="Arial" w:cs="Arial" w:eastAsia="Arial" w:hAnsi="Arial"/>
          <w:sz w:val="18"/>
          <w:szCs w:val="18"/>
          <w:color w:val="auto"/>
        </w:rPr>
      </w:pPr>
    </w:p>
    <w:p>
      <w:pPr>
        <w:jc w:val="both"/>
        <w:ind w:left="680" w:right="140" w:hanging="321"/>
        <w:spacing w:after="0" w:line="263"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and ability to obtain marketing approval from the U.S. Food and Drug Administration (“FDA”) and other regulatory authorities, including the European Medicines Agency (“EMA”), for our bioengineered human, acellular tissue-based vessels (“HAVs”) and other product candidates;</w:t>
      </w:r>
    </w:p>
    <w:p>
      <w:pPr>
        <w:spacing w:after="0" w:line="143" w:lineRule="exact"/>
        <w:rPr>
          <w:rFonts w:ascii="Arial" w:cs="Arial" w:eastAsia="Arial" w:hAnsi="Arial"/>
          <w:sz w:val="18"/>
          <w:szCs w:val="18"/>
          <w:color w:val="auto"/>
        </w:rPr>
      </w:pPr>
    </w:p>
    <w:p>
      <w:pPr>
        <w:jc w:val="both"/>
        <w:ind w:left="680" w:right="60" w:hanging="321"/>
        <w:spacing w:after="0" w:line="263"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design, initiate and successfully complete clinical trials and other studies for our product candidates and our plans and expectations regarding our ongoing or planned clinical trials, including for our ongoing V005 Phase II/III clinical trial and V007 Phase III clinical trial;</w:t>
      </w:r>
    </w:p>
    <w:p>
      <w:pPr>
        <w:spacing w:after="0" w:line="156"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and ability to commercialize our HAVs and other product candidates, if approved by regulatory authorities;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size of the target populations for our product candidates;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assessment of the competitive landscape;</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degree of market acceptance of HAVs, if approved, and the availability of third-party coverage and reimbursement;</w:t>
      </w:r>
    </w:p>
    <w:p>
      <w:pPr>
        <w:spacing w:after="0" w:line="196" w:lineRule="exact"/>
        <w:rPr>
          <w:rFonts w:ascii="Arial" w:cs="Arial" w:eastAsia="Arial" w:hAnsi="Arial"/>
          <w:sz w:val="17"/>
          <w:szCs w:val="17"/>
          <w:color w:val="auto"/>
        </w:rPr>
      </w:pPr>
    </w:p>
    <w:p>
      <w:pPr>
        <w:ind w:left="68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manufacture HAVs and other product candidates in sufficient quantities to satisfy our clinical trial and commercial needs;</w:t>
      </w:r>
    </w:p>
    <w:p>
      <w:pPr>
        <w:spacing w:after="0" w:line="129" w:lineRule="exact"/>
        <w:rPr>
          <w:rFonts w:ascii="Arial" w:cs="Arial" w:eastAsia="Arial" w:hAnsi="Arial"/>
          <w:sz w:val="18"/>
          <w:szCs w:val="18"/>
          <w:color w:val="auto"/>
        </w:rPr>
      </w:pPr>
    </w:p>
    <w:p>
      <w:pPr>
        <w:ind w:left="680" w:right="100" w:hanging="321"/>
        <w:spacing w:after="0" w:line="308" w:lineRule="auto"/>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regarding our strategic partnership with Fresenius Medical Care Holdings, Inc. (“Fresenius Medical Care”) to sell, market and distribute our 6 millimeter HAV for certain specified indications and in specified markets;</w:t>
      </w:r>
    </w:p>
    <w:p>
      <w:pPr>
        <w:spacing w:after="0" w:line="119" w:lineRule="exact"/>
        <w:rPr>
          <w:rFonts w:ascii="Arial" w:cs="Arial" w:eastAsia="Arial" w:hAnsi="Arial"/>
          <w:sz w:val="17"/>
          <w:szCs w:val="17"/>
          <w:color w:val="auto"/>
        </w:rPr>
      </w:pPr>
    </w:p>
    <w:p>
      <w:pPr>
        <w:ind w:left="680" w:right="26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other third parties on which we rely, including our third-party manufacturers, our licensors, our suppliers and the organizations conducting our clinical trials;</w:t>
      </w:r>
    </w:p>
    <w:p>
      <w:pPr>
        <w:spacing w:after="0" w:line="129" w:lineRule="exact"/>
        <w:rPr>
          <w:rFonts w:ascii="Arial" w:cs="Arial" w:eastAsia="Arial" w:hAnsi="Arial"/>
          <w:sz w:val="18"/>
          <w:szCs w:val="18"/>
          <w:color w:val="auto"/>
        </w:rPr>
      </w:pPr>
    </w:p>
    <w:p>
      <w:pPr>
        <w:ind w:left="680" w:right="20" w:hanging="321"/>
        <w:spacing w:after="0" w:line="308" w:lineRule="auto"/>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105" w:lineRule="exact"/>
        <w:rPr>
          <w:rFonts w:ascii="Arial" w:cs="Arial" w:eastAsia="Arial" w:hAnsi="Arial"/>
          <w:sz w:val="17"/>
          <w:szCs w:val="17"/>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confidentiality of our trade secrets, particularly with respect to our manufacturing process;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8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applicable laws and regulatory requirements, including FDA regulations, healthcare laws and regulations, and anti-corruption laws;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retain and motivate qualified personnel and to manage our growth effectively;</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and capital requirements;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 maintain effective internal controls; and</w:t>
      </w:r>
    </w:p>
    <w:p>
      <w:pPr>
        <w:spacing w:after="0" w:line="184"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our manufacturing efforts, and our preclinical and clinical studies and preclinical and clinical trials.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These forward-looking statements are only predictions based on our current expectations and projections about future events and are subject to a number of risks, uncertainties and assumptions, including those described in “Risk Factors” and elsewhere in this prospectus. Moreover, we operate in a competitive industry, and new risks emerge from time to time. It is not possible for the management of Humacyte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spacing w:after="0" w:line="15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forward-looking statements included in this prospectus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Humacyte does not undertake any obligation to update publicly any forward-looking statements for any reason after the date of this prospectus to conform these statements to actual results or to changes in expectations, except as required by law.</w:t>
      </w:r>
    </w:p>
    <w:p>
      <w:pPr>
        <w:spacing w:after="0" w:line="16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You should read this prospectus, the documents that have been filed as exhibits to the registration statement of which this prospectus forms a part, and any accompanying prospectus supplement with the understanding that the actual future results, levels of activity, performance, events and circumstances of Humacyte may be materially different from what is expected.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381635</wp:posOffset>
            </wp:positionV>
            <wp:extent cx="6416040" cy="7882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6040" cy="788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89" w:lineRule="exact"/>
        <w:rPr>
          <w:sz w:val="20"/>
          <w:szCs w:val="20"/>
          <w:color w:val="auto"/>
        </w:rPr>
      </w:pPr>
    </w:p>
    <w:p>
      <w:pPr>
        <w:ind w:left="20" w:firstLine="324"/>
        <w:spacing w:after="0" w:line="279" w:lineRule="auto"/>
        <w:rPr>
          <w:sz w:val="20"/>
          <w:szCs w:val="20"/>
          <w:color w:val="auto"/>
        </w:rPr>
      </w:pPr>
      <w:r>
        <w:rPr>
          <w:rFonts w:ascii="Arial" w:cs="Arial" w:eastAsia="Arial" w:hAnsi="Arial"/>
          <w:sz w:val="17"/>
          <w:szCs w:val="17"/>
          <w:i w:val="1"/>
          <w:iCs w:val="1"/>
          <w:color w:val="auto"/>
        </w:rPr>
        <w:t>This summary highlights selected information contained in this prospectus. This summary does not contain all the information that you should consider before investing in our common stock. You should read the entire prospectus carefully, including the “Risk Factors,” “Forward-Looking Statements” and “Management’s Discussion and Analysis of Financial Condition and Results of Operations” sections, and our historical financial statements and the accompanying notes included in this prospectus.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Company Overview</w:t>
      </w:r>
    </w:p>
    <w:p>
      <w:pPr>
        <w:spacing w:after="0" w:line="189" w:lineRule="exact"/>
        <w:rPr>
          <w:sz w:val="20"/>
          <w:szCs w:val="20"/>
          <w:color w:val="auto"/>
        </w:rPr>
      </w:pPr>
    </w:p>
    <w:p>
      <w:pPr>
        <w:ind w:left="20" w:right="260" w:firstLine="324"/>
        <w:spacing w:after="0" w:line="255" w:lineRule="auto"/>
        <w:rPr>
          <w:sz w:val="20"/>
          <w:szCs w:val="20"/>
          <w:color w:val="auto"/>
        </w:rPr>
      </w:pPr>
      <w:r>
        <w:rPr>
          <w:rFonts w:ascii="Arial" w:cs="Arial" w:eastAsia="Arial" w:hAnsi="Arial"/>
          <w:sz w:val="18"/>
          <w:szCs w:val="18"/>
          <w:color w:val="auto"/>
        </w:rPr>
        <w:t>Humacyte is pioneering the development and manufacture of off-the-shelf, universally implantable, bioengineered human tissues with the goal of improving the lives of patients and transforming the practice of medicine. Humacyte believes its technology has the potential to overcome limitations in existing standards of care and address the lack of significant innovation in products that support tissue repair, reconstruction and replacement. Humacyte is leveraging its novel, scalable technology platform to develop proprietary, bioengineered, acellular human tissues for use in the treatment of diseases and conditions across a range of anatomic locations in multiple therapeutic areas.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Business Combination</w:t>
      </w:r>
    </w:p>
    <w:p>
      <w:pPr>
        <w:spacing w:after="0" w:line="189" w:lineRule="exact"/>
        <w:rPr>
          <w:sz w:val="20"/>
          <w:szCs w:val="20"/>
          <w:color w:val="auto"/>
        </w:rPr>
      </w:pPr>
    </w:p>
    <w:p>
      <w:pPr>
        <w:ind w:left="20" w:right="100" w:firstLine="324"/>
        <w:spacing w:after="0" w:line="257" w:lineRule="auto"/>
        <w:rPr>
          <w:sz w:val="20"/>
          <w:szCs w:val="20"/>
          <w:color w:val="auto"/>
        </w:rPr>
      </w:pPr>
      <w:r>
        <w:rPr>
          <w:rFonts w:ascii="Arial" w:cs="Arial" w:eastAsia="Arial" w:hAnsi="Arial"/>
          <w:sz w:val="18"/>
          <w:szCs w:val="18"/>
          <w:color w:val="auto"/>
        </w:rPr>
        <w:t>On the Closing Date, Legacy Humacyte and AHAC consummated the previously announced Business Combination pursuant to the Business Combination Agreement, by and among Legacy Humacyte, AHAC and Merger Sub. As contemplated by the Business Combination Agreement, Merger Sub merged with and into Legacy Humacyte, with Legacy Humacyte continuing as the surviving corporation and as a wholly owned subsidiary of AHAC. On the Closing Date, AHAC changed its name to Humacyte, Inc. and Legacy Humacyte changed its name to Humacyte Global, Inc.</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 of the Business Combination (the “Effective Time”):</w:t>
      </w:r>
    </w:p>
    <w:p>
      <w:pPr>
        <w:spacing w:after="0" w:line="185" w:lineRule="exact"/>
        <w:rPr>
          <w:sz w:val="20"/>
          <w:szCs w:val="20"/>
          <w:color w:val="auto"/>
        </w:rPr>
      </w:pPr>
    </w:p>
    <w:p>
      <w:pPr>
        <w:ind w:left="700" w:right="360" w:hanging="328"/>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outstanding share of common stock of Legacy Humacyte (the “Legacy Humacyte common stock”) was cancelled and converted into the right to receive approximately 0.26260 shares of our common stock;</w:t>
      </w:r>
    </w:p>
    <w:p>
      <w:pPr>
        <w:spacing w:after="0" w:line="129" w:lineRule="exact"/>
        <w:rPr>
          <w:rFonts w:ascii="Arial" w:cs="Arial" w:eastAsia="Arial" w:hAnsi="Arial"/>
          <w:sz w:val="18"/>
          <w:szCs w:val="18"/>
          <w:color w:val="auto"/>
        </w:rPr>
      </w:pPr>
    </w:p>
    <w:p>
      <w:pPr>
        <w:ind w:left="700" w:right="140" w:hanging="328"/>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outstanding share of preferred stock of Legacy Humacyte (the “Legacy Humacyte preferred stock”) was cancelled and converted into the right to receive the aggregate number of shares of our common stock that would be issued upon conversion of the shares of Legacy Humacyte preferred stock based on the applicable conversion ratio immediately prior to the Effective Time, multiplied by approximately 0.26260; and</w:t>
      </w:r>
    </w:p>
    <w:p>
      <w:pPr>
        <w:spacing w:after="0" w:line="159" w:lineRule="exact"/>
        <w:rPr>
          <w:rFonts w:ascii="Arial" w:cs="Arial" w:eastAsia="Arial" w:hAnsi="Arial"/>
          <w:sz w:val="18"/>
          <w:szCs w:val="18"/>
          <w:color w:val="auto"/>
        </w:rPr>
      </w:pPr>
    </w:p>
    <w:p>
      <w:pPr>
        <w:ind w:left="700" w:right="80" w:hanging="328"/>
        <w:spacing w:after="0" w:line="279"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outstanding option or warrant to purchase Legacy Humacyte common stock was converted into an option or warrant, as applicable, to purchase a number of shares of our common stock equal to the number of shares of Legacy Humacyte common stock subject to such option or warrant multiplied by approximately 0.26260, at an exercise price per share equal to the current exercise price per share for such option or warrant divided by approximately 0.26260;</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each case, rounded down to the nearest whole share.</w:t>
      </w:r>
    </w:p>
    <w:p>
      <w:pPr>
        <w:spacing w:after="0" w:line="185" w:lineRule="exact"/>
        <w:rPr>
          <w:sz w:val="20"/>
          <w:szCs w:val="20"/>
          <w:color w:val="auto"/>
        </w:rPr>
      </w:pPr>
    </w:p>
    <w:p>
      <w:pPr>
        <w:ind w:left="20" w:right="60" w:firstLine="324"/>
        <w:spacing w:after="0" w:line="263" w:lineRule="auto"/>
        <w:rPr>
          <w:sz w:val="20"/>
          <w:szCs w:val="20"/>
          <w:color w:val="auto"/>
        </w:rPr>
      </w:pPr>
      <w:r>
        <w:rPr>
          <w:rFonts w:ascii="Arial" w:cs="Arial" w:eastAsia="Arial" w:hAnsi="Arial"/>
          <w:sz w:val="18"/>
          <w:szCs w:val="18"/>
          <w:color w:val="auto"/>
        </w:rPr>
        <w:t>Prior holders of shares of Legacy Humacyte common stock and Legacy Humacyte preferred stock also will be eligible to receive up to an aggregate of 15,000,000 shares of our common stock based on the share price performance of our common stock in accordance with the terms of the Business Combination Agreement.</w:t>
      </w:r>
    </w:p>
    <w:p>
      <w:pPr>
        <w:spacing w:after="0" w:line="157" w:lineRule="exact"/>
        <w:rPr>
          <w:sz w:val="20"/>
          <w:szCs w:val="20"/>
          <w:color w:val="auto"/>
        </w:rPr>
      </w:pPr>
    </w:p>
    <w:p>
      <w:pPr>
        <w:ind w:left="20" w:firstLine="324"/>
        <w:spacing w:after="0" w:line="257" w:lineRule="auto"/>
        <w:rPr>
          <w:sz w:val="20"/>
          <w:szCs w:val="20"/>
          <w:color w:val="auto"/>
        </w:rPr>
      </w:pPr>
      <w:r>
        <w:rPr>
          <w:rFonts w:ascii="Arial" w:cs="Arial" w:eastAsia="Arial" w:hAnsi="Arial"/>
          <w:sz w:val="18"/>
          <w:szCs w:val="18"/>
          <w:color w:val="auto"/>
        </w:rPr>
        <w:t>Concurrently with the execution of the Business Combination Agreement, AHAC entered into subscription agreements (the “Subscription Agreements”) with certain investors (the “PIPE Investors”). Pursuant to the Subscription Agreements, the PIPE Investors purchased an aggregate of 17,500,000 shares of common stock (the “PIPE Shares”) in a private placement at a price of $10.00 per share for an aggregate purchase price of $175 million (the “PIPE Investment”). The PIPE Investment was consummated in connection with the consummation of the Business Combination.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left="20" w:right="180" w:firstLine="324"/>
        <w:spacing w:after="0" w:line="275" w:lineRule="auto"/>
        <w:rPr>
          <w:sz w:val="20"/>
          <w:szCs w:val="20"/>
          <w:color w:val="auto"/>
        </w:rPr>
      </w:pPr>
      <w:r>
        <w:rPr>
          <w:rFonts w:ascii="Arial" w:cs="Arial" w:eastAsia="Arial" w:hAnsi="Arial"/>
          <w:sz w:val="17"/>
          <w:szCs w:val="17"/>
          <w:color w:val="auto"/>
        </w:rPr>
        <w:t>We were incorporated in Delaware on July 1, 2020, under the name Alpha Healthcare Acquisition Corp., in order to effectuate a merger, capital stock exchange, asset acquisition, stock purchase, reorganization or similar business combination with one or more businesses or entities. AHAC completed its initial public offering on September 22, 2020. On August 26, 2021, AHAC and Legacy Humacyte consummated the transactions contemplated by the Business Combination Agreement. In connection with the closing of the Business Combination, we changed our name to Humacyte, Inc.</w:t>
      </w:r>
    </w:p>
    <w:p>
      <w:pPr>
        <w:sectPr>
          <w:pgSz w:w="11900" w:h="16838" w:orient="portrait"/>
          <w:cols w:equalWidth="0" w:num="1">
            <w:col w:w="9900"/>
          </w:cols>
          <w:pgMar w:left="980" w:top="12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641223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381635</wp:posOffset>
            </wp:positionV>
            <wp:extent cx="6416040" cy="36131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6040" cy="3613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right="60" w:firstLine="324"/>
        <w:spacing w:after="0" w:line="277" w:lineRule="auto"/>
        <w:rPr>
          <w:sz w:val="20"/>
          <w:szCs w:val="20"/>
          <w:color w:val="auto"/>
        </w:rPr>
      </w:pPr>
      <w:r>
        <w:rPr>
          <w:rFonts w:ascii="Arial" w:cs="Arial" w:eastAsia="Arial" w:hAnsi="Arial"/>
          <w:sz w:val="18"/>
          <w:szCs w:val="18"/>
          <w:color w:val="auto"/>
        </w:rPr>
        <w:t>The mailing address of our principal executive office is 2525 East North Carolina Highway 54, Durham, North Carolina 27713, and our telephone number is (919) 313-9633.</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202" w:lineRule="exact"/>
        <w:rPr>
          <w:sz w:val="20"/>
          <w:szCs w:val="20"/>
          <w:color w:val="auto"/>
        </w:rPr>
      </w:pPr>
    </w:p>
    <w:p>
      <w:pPr>
        <w:ind w:left="20" w:firstLine="324"/>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and therefore we intend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(the “Sarbanes-Oxley Act”), reduced disclosure obligations regarding executive compensation in this prospectus, our periodic reports and our proxy statements, and exemptions from the requirements of holding a nonbinding advisory vote on executive compensation and any golden parachute payments not previously approved. We will remain an emerging growth company until the earlier of (1) December 31, 2025 (the last day of the fiscal year following the fifth anniversary of the consummation of AHAC’s initial public offering), (2) the last day of the fiscal year in which we have total annual gross revenues of at least $1.07 billion, (3) the last day of the fiscal year in which we are deemed to be a “large accelerated filer,” as defined in the Securities Exchange Act of 1934, as amended (the “Exchange Act”), and (4) the date on which we have issued more than $1.0 billion in nonconvertible debt securities during the prior three-year period.</w:t>
      </w:r>
    </w:p>
    <w:p>
      <w:pPr>
        <w:spacing w:after="0" w:line="141" w:lineRule="exact"/>
        <w:rPr>
          <w:sz w:val="20"/>
          <w:szCs w:val="20"/>
          <w:color w:val="auto"/>
        </w:rPr>
      </w:pPr>
    </w:p>
    <w:p>
      <w:pPr>
        <w:ind w:left="20" w:right="40" w:firstLine="324"/>
        <w:spacing w:after="0" w:line="272"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including, among other things, providing only two years of audited financial statements. We will remain a smaller reporting company for so long as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357505</wp:posOffset>
            </wp:positionV>
            <wp:extent cx="641223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 w:name="page11"/>
    <w:bookmarkEnd w:id="10"/>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4200" w:type="dxa"/>
            <w:vAlign w:val="bottom"/>
            <w:tcBorders>
              <w:top w:val="single" w:sz="8" w:color="auto"/>
              <w:left w:val="single" w:sz="8" w:color="auto"/>
            </w:tcBorders>
          </w:tcPr>
          <w:p>
            <w:pPr>
              <w:spacing w:after="0"/>
              <w:rPr>
                <w:sz w:val="24"/>
                <w:szCs w:val="24"/>
                <w:color w:val="auto"/>
              </w:rPr>
            </w:pPr>
          </w:p>
        </w:tc>
        <w:tc>
          <w:tcPr>
            <w:tcW w:w="59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THE OFFERING</w:t>
            </w:r>
          </w:p>
        </w:tc>
      </w:tr>
      <w:tr>
        <w:trPr>
          <w:trHeight w:val="392"/>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Issuance of Common Stock</w:t>
            </w:r>
          </w:p>
        </w:tc>
        <w:tc>
          <w:tcPr>
            <w:tcW w:w="5900" w:type="dxa"/>
            <w:vAlign w:val="bottom"/>
            <w:tcBorders>
              <w:right w:val="single" w:sz="8" w:color="auto"/>
            </w:tcBorders>
          </w:tcPr>
          <w:p>
            <w:pPr>
              <w:spacing w:after="0"/>
              <w:rPr>
                <w:sz w:val="24"/>
                <w:szCs w:val="24"/>
                <w:color w:val="auto"/>
              </w:rPr>
            </w:pPr>
          </w:p>
        </w:tc>
      </w:tr>
      <w:tr>
        <w:trPr>
          <w:trHeight w:val="418"/>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Shares of common stock offered by us</w:t>
            </w: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 to 5,177,500 shares of our common stock, which consists of (i) up to</w:t>
            </w:r>
          </w:p>
        </w:tc>
      </w:tr>
      <w:tr>
        <w:trPr>
          <w:trHeight w:val="216"/>
        </w:trPr>
        <w:tc>
          <w:tcPr>
            <w:tcW w:w="420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177,500 shares of common stock that are issuable upon the exercise of Private</w:t>
            </w:r>
          </w:p>
        </w:tc>
      </w:tr>
      <w:tr>
        <w:trPr>
          <w:trHeight w:val="216"/>
        </w:trPr>
        <w:tc>
          <w:tcPr>
            <w:tcW w:w="420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Placement Warrants and (ii) up to 5,000,000 shares of common stock that are</w:t>
            </w:r>
          </w:p>
        </w:tc>
      </w:tr>
      <w:tr>
        <w:trPr>
          <w:trHeight w:val="230"/>
        </w:trPr>
        <w:tc>
          <w:tcPr>
            <w:tcW w:w="4200" w:type="dxa"/>
            <w:vAlign w:val="bottom"/>
            <w:tcBorders>
              <w:left w:val="single" w:sz="8" w:color="auto"/>
            </w:tcBorders>
          </w:tcPr>
          <w:p>
            <w:pPr>
              <w:spacing w:after="0"/>
              <w:rPr>
                <w:sz w:val="20"/>
                <w:szCs w:val="20"/>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issuable upon the exercise of Public Warrants.</w:t>
            </w:r>
          </w:p>
        </w:tc>
      </w:tr>
      <w:tr>
        <w:trPr>
          <w:trHeight w:val="418"/>
        </w:trPr>
        <w:tc>
          <w:tcPr>
            <w:tcW w:w="101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Shares of common stock outstanding prior to the exercise 103,003,384 shares (as of September 16, 2021)</w:t>
            </w:r>
          </w:p>
        </w:tc>
      </w:tr>
      <w:tr>
        <w:trPr>
          <w:trHeight w:val="230"/>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of all Warrants</w:t>
            </w:r>
          </w:p>
        </w:tc>
        <w:tc>
          <w:tcPr>
            <w:tcW w:w="5900" w:type="dxa"/>
            <w:vAlign w:val="bottom"/>
            <w:tcBorders>
              <w:right w:val="single" w:sz="8" w:color="auto"/>
            </w:tcBorders>
          </w:tcPr>
          <w:p>
            <w:pPr>
              <w:spacing w:after="0"/>
              <w:rPr>
                <w:sz w:val="20"/>
                <w:szCs w:val="20"/>
                <w:color w:val="auto"/>
              </w:rPr>
            </w:pPr>
          </w:p>
        </w:tc>
      </w:tr>
      <w:tr>
        <w:trPr>
          <w:trHeight w:val="418"/>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0"/>
              </w:rPr>
              <w:t>Shares of common stock outstanding assuming exercise</w:t>
            </w: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108,180,884 shares (based on total shares outstanding as of September 16,</w:t>
            </w:r>
          </w:p>
        </w:tc>
      </w:tr>
      <w:tr>
        <w:trPr>
          <w:trHeight w:val="230"/>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of all Warrants</w:t>
            </w: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2021)</w:t>
            </w:r>
          </w:p>
        </w:tc>
      </w:tr>
      <w:tr>
        <w:trPr>
          <w:trHeight w:val="432"/>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Exercise price of Warrants</w:t>
            </w: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$11.50 per share, subject to adjustment as described herein.</w:t>
            </w:r>
          </w:p>
        </w:tc>
      </w:tr>
      <w:tr>
        <w:trPr>
          <w:trHeight w:val="418"/>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Use of Proceeds</w:t>
            </w: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We will receive up to an aggregate of approximately $59.5 million from the</w:t>
            </w:r>
          </w:p>
        </w:tc>
      </w:tr>
      <w:tr>
        <w:trPr>
          <w:trHeight w:val="216"/>
        </w:trPr>
        <w:tc>
          <w:tcPr>
            <w:tcW w:w="420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exercise of all of the Warrants, assuming the exercise in full of all of the</w:t>
            </w:r>
          </w:p>
        </w:tc>
      </w:tr>
      <w:tr>
        <w:trPr>
          <w:trHeight w:val="216"/>
        </w:trPr>
        <w:tc>
          <w:tcPr>
            <w:tcW w:w="420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Warrants for cash. We expect to use the net proceeds from the exercise of the</w:t>
            </w:r>
          </w:p>
        </w:tc>
      </w:tr>
      <w:tr>
        <w:trPr>
          <w:trHeight w:val="216"/>
        </w:trPr>
        <w:tc>
          <w:tcPr>
            <w:tcW w:w="420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Warrants for general corporate purposes. See the section titled “Use of</w:t>
            </w:r>
          </w:p>
        </w:tc>
      </w:tr>
      <w:tr>
        <w:trPr>
          <w:trHeight w:val="230"/>
        </w:trPr>
        <w:tc>
          <w:tcPr>
            <w:tcW w:w="4200" w:type="dxa"/>
            <w:vAlign w:val="bottom"/>
            <w:tcBorders>
              <w:left w:val="single" w:sz="8" w:color="auto"/>
            </w:tcBorders>
          </w:tcPr>
          <w:p>
            <w:pPr>
              <w:spacing w:after="0"/>
              <w:rPr>
                <w:sz w:val="20"/>
                <w:szCs w:val="20"/>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Proceeds.”</w:t>
            </w:r>
          </w:p>
        </w:tc>
      </w:tr>
      <w:tr>
        <w:trPr>
          <w:trHeight w:val="432"/>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Resale of Common Stock</w:t>
            </w:r>
          </w:p>
        </w:tc>
        <w:tc>
          <w:tcPr>
            <w:tcW w:w="5900" w:type="dxa"/>
            <w:vAlign w:val="bottom"/>
            <w:tcBorders>
              <w:right w:val="single" w:sz="8" w:color="auto"/>
            </w:tcBorders>
          </w:tcPr>
          <w:p>
            <w:pPr>
              <w:spacing w:after="0"/>
              <w:rPr>
                <w:sz w:val="24"/>
                <w:szCs w:val="24"/>
                <w:color w:val="auto"/>
              </w:rPr>
            </w:pPr>
          </w:p>
        </w:tc>
      </w:tr>
      <w:tr>
        <w:trPr>
          <w:trHeight w:val="418"/>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Shares of common stock offered by the selling</w:t>
            </w: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Up to (i) 17,500,000 PIPE Shares, (ii) up to 71,759,179 shares of common</w:t>
            </w:r>
          </w:p>
        </w:tc>
      </w:tr>
      <w:tr>
        <w:trPr>
          <w:trHeight w:val="216"/>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stockholders</w:t>
            </w: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stock pursuant to the Investor Rights and Lock-up Agreement and (iii) up to</w:t>
            </w:r>
          </w:p>
        </w:tc>
      </w:tr>
      <w:tr>
        <w:trPr>
          <w:trHeight w:val="230"/>
        </w:trPr>
        <w:tc>
          <w:tcPr>
            <w:tcW w:w="4200" w:type="dxa"/>
            <w:vAlign w:val="bottom"/>
            <w:tcBorders>
              <w:left w:val="single" w:sz="8" w:color="auto"/>
            </w:tcBorders>
          </w:tcPr>
          <w:p>
            <w:pPr>
              <w:spacing w:after="0"/>
              <w:rPr>
                <w:sz w:val="20"/>
                <w:szCs w:val="20"/>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810,161 shares of common stock purchased by a selling stockholder.</w:t>
            </w:r>
          </w:p>
        </w:tc>
      </w:tr>
      <w:tr>
        <w:trPr>
          <w:trHeight w:val="418"/>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Use of Proceeds</w:t>
            </w: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We will not receive any of the proceeds from the sale of common stock by the</w:t>
            </w:r>
          </w:p>
        </w:tc>
      </w:tr>
      <w:tr>
        <w:trPr>
          <w:trHeight w:val="230"/>
        </w:trPr>
        <w:tc>
          <w:tcPr>
            <w:tcW w:w="4200" w:type="dxa"/>
            <w:vAlign w:val="bottom"/>
            <w:tcBorders>
              <w:left w:val="single" w:sz="8" w:color="auto"/>
            </w:tcBorders>
          </w:tcPr>
          <w:p>
            <w:pPr>
              <w:spacing w:after="0"/>
              <w:rPr>
                <w:sz w:val="20"/>
                <w:szCs w:val="20"/>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selling stockholders.</w:t>
            </w:r>
          </w:p>
        </w:tc>
      </w:tr>
      <w:tr>
        <w:trPr>
          <w:trHeight w:val="418"/>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Lock-up Restrictions</w:t>
            </w: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Certain of the shares of common stock issued in connection with the Business</w:t>
            </w:r>
          </w:p>
        </w:tc>
      </w:tr>
      <w:tr>
        <w:trPr>
          <w:trHeight w:val="216"/>
        </w:trPr>
        <w:tc>
          <w:tcPr>
            <w:tcW w:w="420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Combination are subject to restrictions on transfer until the termination of</w:t>
            </w:r>
          </w:p>
        </w:tc>
      </w:tr>
      <w:tr>
        <w:trPr>
          <w:trHeight w:val="216"/>
        </w:trPr>
        <w:tc>
          <w:tcPr>
            <w:tcW w:w="420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applicable lock-up periods. See “Certain Relationships and Related Party</w:t>
            </w:r>
          </w:p>
        </w:tc>
      </w:tr>
      <w:tr>
        <w:trPr>
          <w:trHeight w:val="230"/>
        </w:trPr>
        <w:tc>
          <w:tcPr>
            <w:tcW w:w="4200" w:type="dxa"/>
            <w:vAlign w:val="bottom"/>
            <w:tcBorders>
              <w:left w:val="single" w:sz="8" w:color="auto"/>
            </w:tcBorders>
          </w:tcPr>
          <w:p>
            <w:pPr>
              <w:spacing w:after="0"/>
              <w:rPr>
                <w:sz w:val="20"/>
                <w:szCs w:val="20"/>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Transactions — Humacyte Related Party Transactions” for further discussion.</w:t>
            </w:r>
          </w:p>
        </w:tc>
      </w:tr>
      <w:tr>
        <w:trPr>
          <w:trHeight w:val="418"/>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Risk Factors</w:t>
            </w: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Before investing in our securities, you should carefully read and consider the</w:t>
            </w:r>
          </w:p>
        </w:tc>
      </w:tr>
      <w:tr>
        <w:trPr>
          <w:trHeight w:val="216"/>
        </w:trPr>
        <w:tc>
          <w:tcPr>
            <w:tcW w:w="420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information set forth in the section titled “Risk Factors” beginning on page 4</w:t>
            </w:r>
          </w:p>
        </w:tc>
      </w:tr>
      <w:tr>
        <w:trPr>
          <w:trHeight w:val="230"/>
        </w:trPr>
        <w:tc>
          <w:tcPr>
            <w:tcW w:w="4200" w:type="dxa"/>
            <w:vAlign w:val="bottom"/>
            <w:tcBorders>
              <w:left w:val="single" w:sz="8" w:color="auto"/>
            </w:tcBorders>
          </w:tcPr>
          <w:p>
            <w:pPr>
              <w:spacing w:after="0"/>
              <w:rPr>
                <w:sz w:val="20"/>
                <w:szCs w:val="20"/>
                <w:color w:val="auto"/>
              </w:rPr>
            </w:pP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 this prospectus.</w:t>
            </w:r>
          </w:p>
        </w:tc>
      </w:tr>
      <w:tr>
        <w:trPr>
          <w:trHeight w:val="432"/>
        </w:trPr>
        <w:tc>
          <w:tcPr>
            <w:tcW w:w="42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Nasdaq Ticker Symbol</w:t>
            </w:r>
          </w:p>
        </w:tc>
        <w:tc>
          <w:tcPr>
            <w:tcW w:w="5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Our common stock is listed on Nasdaq under “HUMA.”</w:t>
            </w:r>
          </w:p>
        </w:tc>
      </w:tr>
      <w:tr>
        <w:trPr>
          <w:trHeight w:val="537"/>
        </w:trPr>
        <w:tc>
          <w:tcPr>
            <w:tcW w:w="4200" w:type="dxa"/>
            <w:vAlign w:val="bottom"/>
            <w:tcBorders>
              <w:left w:val="single" w:sz="8" w:color="auto"/>
              <w:bottom w:val="single" w:sz="8" w:color="auto"/>
            </w:tcBorders>
          </w:tcPr>
          <w:p>
            <w:pPr>
              <w:spacing w:after="0"/>
              <w:rPr>
                <w:sz w:val="24"/>
                <w:szCs w:val="24"/>
                <w:color w:val="auto"/>
              </w:rPr>
            </w:pPr>
          </w:p>
        </w:tc>
        <w:tc>
          <w:tcPr>
            <w:tcW w:w="5900" w:type="dxa"/>
            <w:vAlign w:val="bottom"/>
            <w:tcBorders>
              <w:bottom w:val="single" w:sz="8" w:color="auto"/>
              <w:right w:val="single" w:sz="8" w:color="auto"/>
            </w:tcBorders>
          </w:tcPr>
          <w:p>
            <w:pPr>
              <w:spacing w:after="0"/>
              <w:rPr>
                <w:sz w:val="24"/>
                <w:szCs w:val="24"/>
                <w:color w:val="auto"/>
              </w:rPr>
            </w:pPr>
          </w:p>
        </w:tc>
      </w:tr>
      <w:tr>
        <w:trPr>
          <w:trHeight w:val="645"/>
        </w:trPr>
        <w:tc>
          <w:tcPr>
            <w:tcW w:w="4200" w:type="dxa"/>
            <w:vAlign w:val="bottom"/>
          </w:tcPr>
          <w:p>
            <w:pPr>
              <w:spacing w:after="0"/>
              <w:rPr>
                <w:sz w:val="24"/>
                <w:szCs w:val="24"/>
                <w:color w:val="auto"/>
              </w:rPr>
            </w:pPr>
          </w:p>
        </w:tc>
        <w:tc>
          <w:tcPr>
            <w:tcW w:w="5900" w:type="dxa"/>
            <w:vAlign w:val="bottom"/>
          </w:tcPr>
          <w:p>
            <w:pPr>
              <w:ind w:left="800"/>
              <w:spacing w:after="0"/>
              <w:rPr>
                <w:sz w:val="20"/>
                <w:szCs w:val="20"/>
                <w:color w:val="auto"/>
              </w:rPr>
            </w:pPr>
            <w:r>
              <w:rPr>
                <w:rFonts w:ascii="Arial" w:cs="Arial" w:eastAsia="Arial" w:hAnsi="Arial"/>
                <w:sz w:val="18"/>
                <w:szCs w:val="18"/>
                <w:color w:val="auto"/>
              </w:rPr>
              <w:t>3</w:t>
            </w:r>
          </w:p>
        </w:tc>
      </w:tr>
      <w:tr>
        <w:trPr>
          <w:trHeight w:val="547"/>
        </w:trPr>
        <w:tc>
          <w:tcPr>
            <w:tcW w:w="420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125" w:right="8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i w:val="1"/>
          <w:iCs w:val="1"/>
          <w:color w:val="auto"/>
        </w:rPr>
        <w:t>An investment in our common stock involves a high degree of risk. Before you make a decision to buy our common stock, in addition to the risks and uncertainties discussed in the section titled “Forward-Looking Statements,”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common stock.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8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is a summary of principal risk to which our business, operations and financial performance are subject. Each of these risks is more fully described in the individual risk factors immediately following this summary.</w:t>
      </w:r>
    </w:p>
    <w:p>
      <w:pPr>
        <w:spacing w:after="0" w:line="143" w:lineRule="exact"/>
        <w:rPr>
          <w:sz w:val="20"/>
          <w:szCs w:val="20"/>
          <w:color w:val="auto"/>
        </w:rPr>
      </w:pPr>
    </w:p>
    <w:p>
      <w:pPr>
        <w:ind w:left="680" w:right="20" w:hanging="321"/>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generated product revenue and have incurred significant losses to date. We expect to continue to incur losses for the foreseeable future and may never generate product revenue or be profitable. We will need to raise additional capital to finance our operations, which we may not be able to do on acceptable terms or at all.</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our existing indebtedness may limit our ability to incur future debt.</w:t>
      </w:r>
    </w:p>
    <w:p>
      <w:pPr>
        <w:spacing w:after="0" w:line="184" w:lineRule="exact"/>
        <w:rPr>
          <w:rFonts w:ascii="Arial" w:cs="Arial" w:eastAsia="Arial" w:hAnsi="Arial"/>
          <w:sz w:val="18"/>
          <w:szCs w:val="18"/>
          <w:color w:val="auto"/>
        </w:rPr>
      </w:pPr>
    </w:p>
    <w:p>
      <w:pPr>
        <w:ind w:left="680" w:right="4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clinical trials fail to demonstrate safety and efficacy to the satisfaction of the FDA or similar regulatory authorities outside the United States or do not otherwise produce favorable results, we may incur significant additional costs or experience significant delays in completing, or ultimately be unable to complete, the development and commercialization of our product candidates.</w:t>
      </w:r>
    </w:p>
    <w:p>
      <w:pPr>
        <w:spacing w:after="0" w:line="146" w:lineRule="exact"/>
        <w:rPr>
          <w:rFonts w:ascii="Arial" w:cs="Arial" w:eastAsia="Arial" w:hAnsi="Arial"/>
          <w:sz w:val="18"/>
          <w:szCs w:val="18"/>
          <w:color w:val="auto"/>
        </w:rPr>
      </w:pPr>
    </w:p>
    <w:p>
      <w:pPr>
        <w:ind w:left="680" w:right="64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delays or difficulties in the enrollment of patients in our clinical trials, which may delay or prevent additional clinical trials and our receipt of necessary marketing approvals.</w:t>
      </w:r>
    </w:p>
    <w:p>
      <w:pPr>
        <w:spacing w:after="0" w:line="143"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Lack of experience by investigators and surgeons with our HAVs can lead to incorrect implantation or follow-up procedures which could harm the results of our clinical trials and market acceptance of our HAVs, if approved.</w:t>
      </w:r>
    </w:p>
    <w:p>
      <w:pPr>
        <w:spacing w:after="0" w:line="129" w:lineRule="exact"/>
        <w:rPr>
          <w:rFonts w:ascii="Arial" w:cs="Arial" w:eastAsia="Arial" w:hAnsi="Arial"/>
          <w:sz w:val="18"/>
          <w:szCs w:val="18"/>
          <w:color w:val="auto"/>
        </w:rPr>
      </w:pPr>
    </w:p>
    <w:p>
      <w:pPr>
        <w:ind w:left="680" w:right="260" w:hanging="321"/>
        <w:spacing w:after="0" w:line="308"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near-term prospects are dependent on the success of our 6 millimeter HAV, and if we are unable to successfully develop and commercialize it, our business, operating results and financial condition will be materially harmed.</w:t>
      </w:r>
    </w:p>
    <w:p>
      <w:pPr>
        <w:spacing w:after="0" w:line="105" w:lineRule="exact"/>
        <w:rPr>
          <w:rFonts w:ascii="Arial" w:cs="Arial" w:eastAsia="Arial" w:hAnsi="Arial"/>
          <w:sz w:val="17"/>
          <w:szCs w:val="17"/>
          <w:color w:val="auto"/>
        </w:rPr>
      </w:pPr>
    </w:p>
    <w:p>
      <w:pPr>
        <w:ind w:left="680" w:right="24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proprietary scientific technology platform to build a pipeline of additional product candidates.</w:t>
      </w:r>
    </w:p>
    <w:p>
      <w:pPr>
        <w:spacing w:after="0" w:line="143" w:lineRule="exact"/>
        <w:rPr>
          <w:rFonts w:ascii="Arial" w:cs="Arial" w:eastAsia="Arial" w:hAnsi="Arial"/>
          <w:sz w:val="18"/>
          <w:szCs w:val="18"/>
          <w:color w:val="auto"/>
        </w:rPr>
      </w:pPr>
    </w:p>
    <w:p>
      <w:pPr>
        <w:jc w:val="both"/>
        <w:ind w:left="680" w:right="100" w:hanging="321"/>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our HAVs receive marketing approval in the future for one or more of our product candidates, they may fail to achieve the degree of market acceptance by physicians, patients, third-party payors and others in the medical community necessary for commercial success.</w:t>
      </w:r>
    </w:p>
    <w:p>
      <w:pPr>
        <w:spacing w:after="0" w:line="143" w:lineRule="exact"/>
        <w:rPr>
          <w:rFonts w:ascii="Arial" w:cs="Arial" w:eastAsia="Arial" w:hAnsi="Arial"/>
          <w:sz w:val="18"/>
          <w:szCs w:val="18"/>
          <w:color w:val="auto"/>
        </w:rPr>
      </w:pPr>
    </w:p>
    <w:p>
      <w:pPr>
        <w:ind w:left="68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146" w:lineRule="exact"/>
        <w:rPr>
          <w:rFonts w:ascii="Arial" w:cs="Arial" w:eastAsia="Arial" w:hAnsi="Arial"/>
          <w:sz w:val="18"/>
          <w:szCs w:val="18"/>
          <w:color w:val="auto"/>
        </w:rPr>
      </w:pPr>
    </w:p>
    <w:p>
      <w:pPr>
        <w:ind w:left="680" w:right="18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distribution agreement with Fresenius Medical Care imposes obligations on us that may restrict our ability to operate our business in ways we believe to be in our long-term best interest.</w:t>
      </w:r>
    </w:p>
    <w:p>
      <w:pPr>
        <w:spacing w:after="0" w:line="143" w:lineRule="exact"/>
        <w:rPr>
          <w:rFonts w:ascii="Arial" w:cs="Arial" w:eastAsia="Arial" w:hAnsi="Arial"/>
          <w:sz w:val="18"/>
          <w:szCs w:val="18"/>
          <w:color w:val="auto"/>
        </w:rPr>
      </w:pPr>
    </w:p>
    <w:p>
      <w:pPr>
        <w:ind w:left="68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receive approval for a product candidate that is not subject to our distribution agreement with Fresenius Medical Care, and we are unable to establish our own marketing, sales and distribution capabilities or are unable to enter into agreements with third parties do so, we may not be able to generate product revenue and will have to alter our development and commercialization plans.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52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outbreak of COVID-19 may continue to adversely impact our business, including our manufacturing efforts, and our preclinical studies and clinical trials.</w:t>
      </w:r>
    </w:p>
    <w:p>
      <w:pPr>
        <w:spacing w:after="0" w:line="143" w:lineRule="exact"/>
        <w:rPr>
          <w:rFonts w:ascii="Arial" w:cs="Arial" w:eastAsia="Arial" w:hAnsi="Arial"/>
          <w:sz w:val="18"/>
          <w:szCs w:val="18"/>
          <w:color w:val="auto"/>
        </w:rPr>
      </w:pPr>
    </w:p>
    <w:p>
      <w:pPr>
        <w:ind w:left="680" w:right="100" w:hanging="321"/>
        <w:spacing w:after="0" w:line="286"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manufacture of our product candidates is complex, we have not manufactured commercial product, and we may encounter difficulties in production. If we or any third-party manufacturer encounter such difficulties, our ability to supply our product candidates for clinical trials or, if approved, for commercial sale could be delayed or halted entirely.</w:t>
      </w:r>
    </w:p>
    <w:p>
      <w:pPr>
        <w:spacing w:after="0" w:line="124" w:lineRule="exact"/>
        <w:rPr>
          <w:rFonts w:ascii="Arial" w:cs="Arial" w:eastAsia="Arial" w:hAnsi="Arial"/>
          <w:sz w:val="17"/>
          <w:szCs w:val="17"/>
          <w:color w:val="auto"/>
        </w:rPr>
      </w:pPr>
    </w:p>
    <w:p>
      <w:pPr>
        <w:ind w:left="680" w:right="60" w:hanging="321"/>
        <w:spacing w:after="0" w:line="26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spacing w:after="0" w:line="143" w:lineRule="exact"/>
        <w:rPr>
          <w:rFonts w:ascii="Arial" w:cs="Arial" w:eastAsia="Arial" w:hAnsi="Arial"/>
          <w:sz w:val="18"/>
          <w:szCs w:val="18"/>
          <w:color w:val="auto"/>
        </w:rPr>
      </w:pPr>
    </w:p>
    <w:p>
      <w:pPr>
        <w:ind w:left="680" w:right="20" w:hanging="321"/>
        <w:spacing w:after="0" w:line="26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third-party suppliers, including sole source suppliers, to provide certain components for our product candidates. Any failure by a third-party supplier to supply these components for manufacture may delay or impair our ability to complete our clinical trials and to commercialize our product candidates.</w:t>
      </w:r>
    </w:p>
    <w:p>
      <w:pPr>
        <w:spacing w:after="0" w:line="156" w:lineRule="exact"/>
        <w:rPr>
          <w:rFonts w:ascii="Arial" w:cs="Arial" w:eastAsia="Arial" w:hAnsi="Arial"/>
          <w:sz w:val="18"/>
          <w:szCs w:val="18"/>
          <w:color w:val="auto"/>
        </w:rPr>
      </w:pPr>
    </w:p>
    <w:p>
      <w:pPr>
        <w:ind w:left="680" w:right="220" w:hanging="321"/>
        <w:spacing w:after="0" w:line="259"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intend to rely on our strategic, global partnership with Fresenius Medical Care to undertake, or assist with, the marketing, sale and distribution of certain of our product candidates in certain markets if we receive marketing approval from relevant regulatory authorities. Disruption of this arrangement could materially adversely affect our business, prospects, operating results and financial condition.</w:t>
      </w:r>
    </w:p>
    <w:p>
      <w:pPr>
        <w:spacing w:after="0" w:line="146" w:lineRule="exact"/>
        <w:rPr>
          <w:rFonts w:ascii="Arial" w:cs="Arial" w:eastAsia="Arial" w:hAnsi="Arial"/>
          <w:sz w:val="18"/>
          <w:szCs w:val="18"/>
          <w:color w:val="auto"/>
        </w:rPr>
      </w:pPr>
    </w:p>
    <w:p>
      <w:pPr>
        <w:ind w:left="680" w:right="500" w:hanging="321"/>
        <w:spacing w:after="0" w:line="308"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successfully commercialize our products may be impaired if we are unable to obtain and maintain effective intellectual property rights for our proprietary scientific technology platform and product candidates.</w:t>
      </w:r>
    </w:p>
    <w:p>
      <w:pPr>
        <w:spacing w:after="0" w:line="105" w:lineRule="exact"/>
        <w:rPr>
          <w:rFonts w:ascii="Arial" w:cs="Arial" w:eastAsia="Arial" w:hAnsi="Arial"/>
          <w:sz w:val="17"/>
          <w:szCs w:val="17"/>
          <w:color w:val="auto"/>
        </w:rPr>
      </w:pPr>
    </w:p>
    <w:p>
      <w:pPr>
        <w:ind w:left="680" w:right="100" w:hanging="321"/>
        <w:spacing w:after="0" w:line="26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20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If our clinical trials fail to demonstrate safety and efficacy to the satisfaction of the FDA or similar regulatory authorities outside the United States or do not otherwise produce favorable results, we may incur significant additional costs or experience significant delays in completing, or ultimately be unable to complete, the development and commercialization of our product candidates. If we experience significant delays or significant additional costs, our business will be materially harmed.</w:t>
      </w:r>
    </w:p>
    <w:p>
      <w:pPr>
        <w:spacing w:after="0" w:line="11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with all regulated biologics, before obtaining marketing approval for any of our product candidates, we must conduct extensive clinical trials to demonstrate the safety and efficacy of our product candidates in humans. Clinical testing is expensive and time-consuming, and its outcomes are uncertain. We believe the novelty of our research and development efforts, which are focused on the development of bioengineered human, acellular, tissue-based vessels for use across a wide spectrum of applications in vascular surgery, augments this uncertainty. The scientific discoveries that form the basis for our efforts to develop our product candidates are relatively new, and the scientific evidence to support the feasibility of developing product candidates based on these discoveries is both preliminary and limited. At this time, no products based on HAVs have been approved in the United States or in Europe. The clinical trial requirements of the FDA and other regulatory agencies and the criteria these regulators use to determine the safety and efficacy of a product candidate vary substantially according to the type, complexity, novelty and intended use and market of the potential product, and we may not succeed in obtaining marketing approval even if we view our clinical trials as successful. Data obtained from preclinical and clinical activities, and manufacturing comparability studies, are also subject to varying interpretations, which may delay, limit or prevent marketing approval. In such circumstances, we could experience significant delays, or be prevented from, developing or commercializing our HAVs, and our business, prospects, operating results and financial condition could be materially harmed.</w:t>
      </w:r>
    </w:p>
    <w:p>
      <w:pPr>
        <w:spacing w:after="0" w:line="133"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Our V006 trial did not meet its primary endpoint, and if we fail to achieve the primary endpoint of our other ongoing or future clinical trials, or if safety issues arise, or if our comparability demonstration between our former and new manufacturing process fails or is not accepted by the FDA, or if the results from our clinical trials are otherwise inadequate to support regulatory approval of our product candidates, we may incur significant additional costs or experience significant delays in completing, or ultimately be unable to complete, the development and commercialization of our product candidates.</w:t>
      </w:r>
    </w:p>
    <w:p>
      <w:pPr>
        <w:spacing w:after="0" w:line="149" w:lineRule="exact"/>
        <w:rPr>
          <w:sz w:val="20"/>
          <w:szCs w:val="20"/>
          <w:color w:val="auto"/>
        </w:rPr>
      </w:pPr>
    </w:p>
    <w:p>
      <w:pPr>
        <w:ind w:right="740" w:firstLine="324"/>
        <w:spacing w:after="0" w:line="342" w:lineRule="auto"/>
        <w:rPr>
          <w:sz w:val="20"/>
          <w:szCs w:val="20"/>
          <w:color w:val="auto"/>
        </w:rPr>
      </w:pPr>
      <w:r>
        <w:rPr>
          <w:rFonts w:ascii="Arial" w:cs="Arial" w:eastAsia="Arial" w:hAnsi="Arial"/>
          <w:sz w:val="16"/>
          <w:szCs w:val="16"/>
          <w:color w:val="auto"/>
        </w:rPr>
        <w:t>Even if we receive FDA approval for our HAVs, we may face a number of difficulties if the results of our clinical trials are unfavorable, inconclusive, or only modestly favorable or if there are safety concerns, such as adverse events (“AEs”) or serious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adverse events (“SAEs”), which could include clotting, mechanical failure, immunological rejection, or infection, that could outweigh potential benefits associated with such product candidates. This could result in:</w:t>
      </w:r>
    </w:p>
    <w:p>
      <w:pPr>
        <w:spacing w:after="0" w:line="143" w:lineRule="exact"/>
        <w:rPr>
          <w:sz w:val="20"/>
          <w:szCs w:val="20"/>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approval for indications or patient populations that are not as broad as intended or desired;</w:t>
      </w:r>
    </w:p>
    <w:p>
      <w:pPr>
        <w:spacing w:after="0" w:line="184" w:lineRule="exact"/>
        <w:rPr>
          <w:rFonts w:ascii="Arial" w:cs="Arial" w:eastAsia="Arial" w:hAnsi="Arial"/>
          <w:sz w:val="18"/>
          <w:szCs w:val="18"/>
          <w:color w:val="auto"/>
        </w:rPr>
      </w:pPr>
    </w:p>
    <w:p>
      <w:pPr>
        <w:ind w:left="680" w:right="52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approval with, or later becoming subject to, labelling that includes significant use or distribution restrictions or significant safety warnings;</w:t>
      </w:r>
    </w:p>
    <w:p>
      <w:pPr>
        <w:spacing w:after="0" w:line="129" w:lineRule="exact"/>
        <w:rPr>
          <w:rFonts w:ascii="Arial" w:cs="Arial" w:eastAsia="Arial" w:hAnsi="Arial"/>
          <w:sz w:val="18"/>
          <w:szCs w:val="18"/>
          <w:color w:val="auto"/>
        </w:rPr>
      </w:pPr>
    </w:p>
    <w:p>
      <w:pPr>
        <w:ind w:left="680" w:hanging="321"/>
        <w:spacing w:after="0" w:line="342"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being subject to a Risk Evaluation and Mitigation Strategy (“REMS”) or equivalent requirement from a comparable foreign regulatory agency, to ensure that the benefits of a biological product outweigh its risks or to change the way the product is used;</w:t>
      </w:r>
    </w:p>
    <w:p>
      <w:pPr>
        <w:spacing w:after="0" w:line="96" w:lineRule="exact"/>
        <w:rPr>
          <w:rFonts w:ascii="Arial" w:cs="Arial" w:eastAsia="Arial" w:hAnsi="Arial"/>
          <w:sz w:val="16"/>
          <w:szCs w:val="16"/>
          <w:color w:val="auto"/>
        </w:rPr>
      </w:pPr>
    </w:p>
    <w:p>
      <w:pPr>
        <w:ind w:left="680" w:right="3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required to perform additional clinical trials to support approval or comparability or being subject to additional post-marketing testing requirements;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having regulatory authorities withdraw their approval of the product;</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sued; or</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suffering damage to our reputation.</w:t>
      </w:r>
    </w:p>
    <w:p>
      <w:pPr>
        <w:spacing w:after="0" w:line="19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Any of these events could cause us to incur significant additional costs, significant delays and prevent us from achieving or maintaining market acceptance of or commercializing one or more of our product candidates.</w:t>
      </w:r>
    </w:p>
    <w:p>
      <w:pPr>
        <w:spacing w:after="0" w:line="130"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If we experience failures or delays in our preclinical and clinical programs, we would be prevented from developing and commercializing our product candidates in a timely matter, if at all.</w:t>
      </w:r>
    </w:p>
    <w:p>
      <w:pPr>
        <w:spacing w:after="0" w:line="130"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A number of factors impact the timing of our preclinical and clinical programs and the development and commercialization of our product candidates. We cannot guarantee that any clinical trials will be conducted as planned or completed on schedule, if at all. Events that prevent successful or timely completion of the development of our product candidates beyond unfavorable or inconclusive clinical trial results include, among others, the following:</w:t>
      </w:r>
    </w:p>
    <w:p>
      <w:pPr>
        <w:spacing w:after="0" w:line="160" w:lineRule="exact"/>
        <w:rPr>
          <w:sz w:val="20"/>
          <w:szCs w:val="20"/>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testing, validation, manufacturing or delivery of our product candidates to the clinical sites;</w:t>
      </w:r>
    </w:p>
    <w:p>
      <w:pPr>
        <w:spacing w:after="0" w:line="184"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reaching — or inability to reach — agreement with the FDA or other regulatory agencies on trial design, including final confirmation from the FDA as to the parameters of our V005 trial;</w:t>
      </w:r>
    </w:p>
    <w:p>
      <w:pPr>
        <w:spacing w:after="0" w:line="129" w:lineRule="exact"/>
        <w:rPr>
          <w:rFonts w:ascii="Arial" w:cs="Arial" w:eastAsia="Arial" w:hAnsi="Arial"/>
          <w:sz w:val="18"/>
          <w:szCs w:val="18"/>
          <w:color w:val="auto"/>
        </w:rPr>
      </w:pPr>
    </w:p>
    <w:p>
      <w:pPr>
        <w:ind w:left="680" w:right="200" w:hanging="321"/>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research organizations (“CROs”) and clinical trial sites;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(“IRB”) approval at each clinical trial site;</w:t>
      </w:r>
    </w:p>
    <w:p>
      <w:pPr>
        <w:spacing w:after="0" w:line="184" w:lineRule="exact"/>
        <w:rPr>
          <w:rFonts w:ascii="Arial" w:cs="Arial" w:eastAsia="Arial" w:hAnsi="Arial"/>
          <w:sz w:val="18"/>
          <w:szCs w:val="18"/>
          <w:color w:val="auto"/>
        </w:rPr>
      </w:pPr>
    </w:p>
    <w:p>
      <w:pPr>
        <w:ind w:left="680" w:right="640" w:hanging="321"/>
        <w:spacing w:after="0" w:line="26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recruiting suitable patients in sufficient volume to participate in our clinical trials and in having those patients complete participation in our clinical trials or return for follow-up, including delays related to the ongoing COVID-19 pandemic;</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occurrence of SAEs associated with any of our product candidates that are viewed to outweigh their potential benefits;</w:t>
      </w:r>
    </w:p>
    <w:p>
      <w:pPr>
        <w:spacing w:after="0" w:line="209" w:lineRule="exact"/>
        <w:rPr>
          <w:rFonts w:ascii="Arial" w:cs="Arial" w:eastAsia="Arial" w:hAnsi="Arial"/>
          <w:sz w:val="17"/>
          <w:szCs w:val="17"/>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including after an inspection of our clinical trial sites;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CROs, other third parties or us to adhere to clinical trial requirements;</w:t>
      </w:r>
    </w:p>
    <w:p>
      <w:pPr>
        <w:spacing w:after="0" w:line="184"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perform in accordance with the FDA’s good clinical practices (“GCP”) or current good tissue practices (“cGTP”), or applicable regulatory guidelines in other countries;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 sites dropping out of, or being removed from, a trial; or</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 or data.</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inability to successfully complete development of our product candidates would likely result in significant additional costs to us and impair our ability to generate revenue. Clinical trial delays could also allow our competitors to bring products to market before we do, which could materially impair our ability to successfully commercialize our product candidates and may harm our business and prospects.</w:t>
      </w:r>
    </w:p>
    <w:p>
      <w:pPr>
        <w:spacing w:after="0" w:line="16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progress in early stage clinical trials may not be indicative of long-term efficacy in late stage clinical trials, and our progress in trials for one product candidate may not be indicative of progress in trials for another product candidate.</w:t>
      </w:r>
    </w:p>
    <w:p>
      <w:pPr>
        <w:spacing w:after="0" w:line="10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product candidates in our pipeline are at various stages of development. Trial designs and results from previous studies are not necessarily predictive of our future clinical trial designs or results, and initial results of ongoing trials may not be confirmed upon full analysis of the complete trial data. A number of companies in the biotechnology industry have suffered significant setbacks in late-stage clinical trials even after achieving promising results in earlier stage clinical trials, and we may experience similar setbacks. Favorable results in clinical trials for one of our product candidates also do not necessarily indicate that we will obtain positive results in clinical trials related to other product candidates. The novelty of our proprietary scientific technology platform adds another layer of risk that early-stage clinical trials may not be indicative of long-term efficacy in our late-stage clinical trials. If we are unable to demonstrate favorable results in future clinical trials for our various product candidates, we expect that our business, prospects, operating results and financial condition will be materially adversely affected.</w:t>
      </w:r>
    </w:p>
    <w:p>
      <w:pPr>
        <w:spacing w:after="0" w:line="140" w:lineRule="exact"/>
        <w:rPr>
          <w:sz w:val="20"/>
          <w:szCs w:val="20"/>
          <w:color w:val="auto"/>
        </w:rPr>
      </w:pPr>
    </w:p>
    <w:p>
      <w:pPr>
        <w:ind w:right="120" w:firstLine="324"/>
        <w:spacing w:after="0" w:line="284" w:lineRule="auto"/>
        <w:rPr>
          <w:sz w:val="20"/>
          <w:szCs w:val="20"/>
          <w:color w:val="auto"/>
        </w:rPr>
      </w:pPr>
      <w:r>
        <w:rPr>
          <w:rFonts w:ascii="Arial" w:cs="Arial" w:eastAsia="Arial" w:hAnsi="Arial"/>
          <w:sz w:val="16"/>
          <w:szCs w:val="16"/>
          <w:color w:val="auto"/>
        </w:rPr>
        <w:t>Additionally, several of our past, planned and ongoing clinical trials utilize an “open-label” trial design. An “open-label” clinical trial is one where both the patient and investigator know whether the patient is receiving the investigational product candidate. Some open-label clinical trials test only the investigational product candidate without a comparator.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label trial may not be predictive of future clinical trial results with any of our product candidates when studied in an environment with an active control.</w:t>
      </w:r>
    </w:p>
    <w:p>
      <w:pPr>
        <w:spacing w:after="0" w:line="15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3"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although we may not have received or had the opportunity to fully and carefully evaluate all data at the time such preliminary or topline results are released.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27" w:lineRule="exact"/>
        <w:rPr>
          <w:sz w:val="20"/>
          <w:szCs w:val="20"/>
          <w:color w:val="auto"/>
        </w:rPr>
      </w:pPr>
    </w:p>
    <w:p>
      <w:pPr>
        <w:jc w:val="both"/>
        <w:ind w:right="300" w:firstLine="324"/>
        <w:spacing w:after="0" w:line="275" w:lineRule="auto"/>
        <w:rPr>
          <w:sz w:val="20"/>
          <w:szCs w:val="20"/>
          <w:color w:val="auto"/>
        </w:rPr>
      </w:pPr>
      <w:r>
        <w:rPr>
          <w:rFonts w:ascii="Arial" w:cs="Arial" w:eastAsia="Arial" w:hAnsi="Arial"/>
          <w:sz w:val="17"/>
          <w:szCs w:val="17"/>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In addition, the information we choose to publicly disclose regarding a particular clinical trial is based on what is typically extensive information, and you or others may not agree with what we determine is material or otherwise appropriate information to include in our disclosure.</w:t>
      </w:r>
    </w:p>
    <w:p>
      <w:pPr>
        <w:spacing w:after="0" w:line="13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SAEs occur at an unacceptable rate or other unacceptable side effects are identified in our HAVs we may need to delay, abandon or limit development and marketing of our product candidates.</w:t>
      </w:r>
    </w:p>
    <w:p>
      <w:pPr>
        <w:spacing w:after="0" w:line="143"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Our HAVs may prove to have undesirable or unintended side effects, toxicities or other characteristics that may preclude us from obtaining marketing approval. The reported SAEs related to the HAV for hemodialysis access, a patient population which typically</w:t>
      </w:r>
    </w:p>
    <w:p>
      <w:pPr>
        <w:sectPr>
          <w:pgSz w:w="11900" w:h="16838" w:orient="portrait"/>
          <w:cols w:equalWidth="0" w:num="1">
            <w:col w:w="9900"/>
          </w:cols>
          <w:pgMar w:left="980" w:top="125" w:right="101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has a high prevalence of existing medical conditions, are detailed in the table below which summarizes results from our V006 HUMANITY Phase III study in which subjects were randomized to receive either a HAV or a commercially available expanded polytetrafluoroethylene (“ePTFE”) graft.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SAEs Reported in V006 Phase III Clinical Study in AV Access</w:t>
      </w:r>
    </w:p>
    <w:p>
      <w:pPr>
        <w:spacing w:after="0" w:line="22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7"/>
          </w:tcPr>
          <w:p>
            <w:pPr>
              <w:ind w:left="360"/>
              <w:spacing w:after="0"/>
              <w:rPr>
                <w:sz w:val="20"/>
                <w:szCs w:val="20"/>
                <w:color w:val="auto"/>
              </w:rPr>
            </w:pPr>
            <w:r>
              <w:rPr>
                <w:rFonts w:ascii="Arial" w:cs="Arial" w:eastAsia="Arial" w:hAnsi="Arial"/>
                <w:sz w:val="14"/>
                <w:szCs w:val="14"/>
                <w:b w:val="1"/>
                <w:bCs w:val="1"/>
                <w:color w:val="auto"/>
              </w:rPr>
              <w:t>Number of SAEs</w:t>
            </w:r>
          </w:p>
        </w:tc>
        <w:tc>
          <w:tcPr>
            <w:tcW w:w="0" w:type="dxa"/>
            <w:vAlign w:val="bottom"/>
          </w:tcPr>
          <w:p>
            <w:pPr>
              <w:spacing w:after="0"/>
              <w:rPr>
                <w:sz w:val="1"/>
                <w:szCs w:val="1"/>
                <w:color w:val="auto"/>
              </w:rPr>
            </w:pPr>
          </w:p>
        </w:tc>
      </w:tr>
      <w:tr>
        <w:trPr>
          <w:trHeight w:val="171"/>
        </w:trPr>
        <w:tc>
          <w:tcPr>
            <w:tcW w:w="5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 of SAE</w:t>
            </w:r>
          </w:p>
        </w:tc>
        <w:tc>
          <w:tcPr>
            <w:tcW w:w="1960" w:type="dxa"/>
            <w:vAlign w:val="bottom"/>
            <w:gridSpan w:val="7"/>
          </w:tcPr>
          <w:p>
            <w:pPr>
              <w:ind w:left="260"/>
              <w:spacing w:after="0"/>
              <w:rPr>
                <w:sz w:val="20"/>
                <w:szCs w:val="20"/>
                <w:color w:val="auto"/>
              </w:rPr>
            </w:pPr>
            <w:r>
              <w:rPr>
                <w:rFonts w:ascii="Arial" w:cs="Arial" w:eastAsia="Arial" w:hAnsi="Arial"/>
                <w:sz w:val="14"/>
                <w:szCs w:val="14"/>
                <w:b w:val="1"/>
                <w:bCs w:val="1"/>
                <w:color w:val="auto"/>
              </w:rPr>
              <w:t>(% of total subjects)</w:t>
            </w:r>
          </w:p>
        </w:tc>
        <w:tc>
          <w:tcPr>
            <w:tcW w:w="0" w:type="dxa"/>
            <w:vAlign w:val="bottom"/>
          </w:tcPr>
          <w:p>
            <w:pPr>
              <w:spacing w:after="0"/>
              <w:rPr>
                <w:sz w:val="1"/>
                <w:szCs w:val="1"/>
                <w:color w:val="auto"/>
              </w:rPr>
            </w:pPr>
          </w:p>
        </w:tc>
      </w:tr>
      <w:tr>
        <w:trPr>
          <w:trHeight w:val="142"/>
        </w:trPr>
        <w:tc>
          <w:tcPr>
            <w:tcW w:w="5980" w:type="dxa"/>
            <w:vAlign w:val="bottom"/>
            <w:gridSpan w:val="4"/>
            <w:vMerge w:val="continue"/>
          </w:tcPr>
          <w:p>
            <w:pPr>
              <w:spacing w:after="0"/>
              <w:rPr>
                <w:sz w:val="12"/>
                <w:szCs w:val="12"/>
                <w:color w:val="auto"/>
              </w:rPr>
            </w:pPr>
          </w:p>
        </w:tc>
        <w:tc>
          <w:tcPr>
            <w:tcW w:w="98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b w:val="1"/>
                <w:bCs w:val="1"/>
                <w:color w:val="auto"/>
              </w:rPr>
              <w:t>HAV</w:t>
            </w:r>
          </w:p>
        </w:tc>
        <w:tc>
          <w:tcPr>
            <w:tcW w:w="8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ePTFE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Number of subjects in V006 study</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disorders and administration conditions: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80"/>
              <w:spacing w:after="0"/>
              <w:rPr>
                <w:sz w:val="20"/>
                <w:szCs w:val="20"/>
                <w:color w:val="auto"/>
              </w:rPr>
            </w:pPr>
            <w:r>
              <w:rPr>
                <w:rFonts w:ascii="Arial" w:cs="Arial" w:eastAsia="Arial" w:hAnsi="Arial"/>
                <w:sz w:val="18"/>
                <w:szCs w:val="18"/>
                <w:color w:val="auto"/>
              </w:rPr>
              <w:t>Implant site extravasation</w:t>
            </w:r>
          </w:p>
        </w:tc>
        <w:tc>
          <w:tcPr>
            <w:tcW w:w="980" w:type="dxa"/>
            <w:vAlign w:val="bottom"/>
            <w:gridSpan w:val="4"/>
          </w:tcPr>
          <w:p>
            <w:pPr>
              <w:ind w:left="360"/>
              <w:spacing w:after="0"/>
              <w:rPr>
                <w:sz w:val="20"/>
                <w:szCs w:val="20"/>
                <w:color w:val="auto"/>
              </w:rPr>
            </w:pPr>
            <w:r>
              <w:rPr>
                <w:rFonts w:ascii="Arial" w:cs="Arial" w:eastAsia="Arial" w:hAnsi="Arial"/>
                <w:sz w:val="18"/>
                <w:szCs w:val="18"/>
                <w:color w:val="auto"/>
                <w:w w:val="95"/>
              </w:rPr>
              <w:t>0(0.0)%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Infections and infestations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80"/>
              <w:spacing w:after="0"/>
              <w:rPr>
                <w:sz w:val="20"/>
                <w:szCs w:val="20"/>
                <w:color w:val="auto"/>
              </w:rPr>
            </w:pPr>
            <w:r>
              <w:rPr>
                <w:rFonts w:ascii="Arial" w:cs="Arial" w:eastAsia="Arial" w:hAnsi="Arial"/>
                <w:sz w:val="18"/>
                <w:szCs w:val="18"/>
                <w:color w:val="auto"/>
              </w:rPr>
              <w:t>Vascular access site infection</w:t>
            </w:r>
          </w:p>
        </w:tc>
        <w:tc>
          <w:tcPr>
            <w:tcW w:w="980" w:type="dxa"/>
            <w:vAlign w:val="bottom"/>
            <w:gridSpan w:val="4"/>
          </w:tcPr>
          <w:p>
            <w:pPr>
              <w:ind w:left="360"/>
              <w:spacing w:after="0"/>
              <w:rPr>
                <w:sz w:val="20"/>
                <w:szCs w:val="20"/>
                <w:color w:val="auto"/>
              </w:rPr>
            </w:pPr>
            <w:r>
              <w:rPr>
                <w:rFonts w:ascii="Arial" w:cs="Arial" w:eastAsia="Arial" w:hAnsi="Arial"/>
                <w:sz w:val="18"/>
                <w:szCs w:val="18"/>
                <w:color w:val="auto"/>
                <w:w w:val="95"/>
              </w:rPr>
              <w:t>0(0.0)%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Injury, poisoning and procedural complications: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3"/>
          </w:tcPr>
          <w:p>
            <w:pPr>
              <w:ind w:left="80"/>
              <w:spacing w:after="0"/>
              <w:rPr>
                <w:sz w:val="20"/>
                <w:szCs w:val="20"/>
                <w:color w:val="auto"/>
              </w:rPr>
            </w:pPr>
            <w:r>
              <w:rPr>
                <w:rFonts w:ascii="Arial" w:cs="Arial" w:eastAsia="Arial" w:hAnsi="Arial"/>
                <w:sz w:val="18"/>
                <w:szCs w:val="18"/>
                <w:color w:val="auto"/>
              </w:rPr>
              <w:t>Anastomotic stenosis</w:t>
            </w:r>
          </w:p>
        </w:tc>
        <w:tc>
          <w:tcPr>
            <w:tcW w:w="980" w:type="dxa"/>
            <w:vAlign w:val="bottom"/>
            <w:gridSpan w:val="4"/>
          </w:tcPr>
          <w:p>
            <w:pPr>
              <w:ind w:left="360"/>
              <w:spacing w:after="0"/>
              <w:rPr>
                <w:sz w:val="20"/>
                <w:szCs w:val="20"/>
                <w:color w:val="auto"/>
              </w:rPr>
            </w:pPr>
            <w:r>
              <w:rPr>
                <w:rFonts w:ascii="Arial" w:cs="Arial" w:eastAsia="Arial" w:hAnsi="Arial"/>
                <w:sz w:val="18"/>
                <w:szCs w:val="18"/>
                <w:color w:val="auto"/>
                <w:w w:val="95"/>
              </w:rPr>
              <w:t>1(0.6)%</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Number of SAEs</w:t>
            </w:r>
          </w:p>
        </w:tc>
        <w:tc>
          <w:tcPr>
            <w:tcW w:w="0" w:type="dxa"/>
            <w:vAlign w:val="bottom"/>
          </w:tcPr>
          <w:p>
            <w:pPr>
              <w:spacing w:after="0"/>
              <w:rPr>
                <w:sz w:val="1"/>
                <w:szCs w:val="1"/>
                <w:color w:val="auto"/>
              </w:rPr>
            </w:pPr>
          </w:p>
        </w:tc>
      </w:tr>
      <w:tr>
        <w:trPr>
          <w:trHeight w:val="185"/>
        </w:trPr>
        <w:tc>
          <w:tcPr>
            <w:tcW w:w="5980" w:type="dxa"/>
            <w:vAlign w:val="bottom"/>
            <w:gridSpan w:val="4"/>
          </w:tcPr>
          <w:p>
            <w:pPr>
              <w:spacing w:after="0"/>
              <w:rPr>
                <w:sz w:val="20"/>
                <w:szCs w:val="20"/>
                <w:color w:val="auto"/>
              </w:rPr>
            </w:pPr>
            <w:r>
              <w:rPr>
                <w:rFonts w:ascii="Arial" w:cs="Arial" w:eastAsia="Arial" w:hAnsi="Arial"/>
                <w:sz w:val="14"/>
                <w:szCs w:val="14"/>
                <w:b w:val="1"/>
                <w:bCs w:val="1"/>
                <w:color w:val="auto"/>
              </w:rPr>
              <w:t>Description of SAE</w:t>
            </w:r>
          </w:p>
        </w:tc>
        <w:tc>
          <w:tcPr>
            <w:tcW w:w="1960" w:type="dxa"/>
            <w:vAlign w:val="bottom"/>
            <w:gridSpan w:val="7"/>
          </w:tcPr>
          <w:p>
            <w:pPr>
              <w:ind w:left="280"/>
              <w:spacing w:after="0"/>
              <w:rPr>
                <w:sz w:val="20"/>
                <w:szCs w:val="20"/>
                <w:color w:val="auto"/>
              </w:rPr>
            </w:pPr>
            <w:r>
              <w:rPr>
                <w:rFonts w:ascii="Arial" w:cs="Arial" w:eastAsia="Arial" w:hAnsi="Arial"/>
                <w:sz w:val="14"/>
                <w:szCs w:val="14"/>
                <w:b w:val="1"/>
                <w:bCs w:val="1"/>
                <w:color w:val="auto"/>
              </w:rPr>
              <w:t>(% of total subjects)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HAV</w:t>
            </w:r>
          </w:p>
        </w:tc>
        <w:tc>
          <w:tcPr>
            <w:tcW w:w="160" w:type="dxa"/>
            <w:vAlign w:val="bottom"/>
            <w:tcBorders>
              <w:top w:val="single" w:sz="8" w:color="auto"/>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ePTFE</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Vascular access site hematomas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(0.6)%</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120"/>
              <w:spacing w:after="0"/>
              <w:rPr>
                <w:sz w:val="20"/>
                <w:szCs w:val="20"/>
                <w:color w:val="auto"/>
              </w:rPr>
            </w:pPr>
            <w:r>
              <w:rPr>
                <w:rFonts w:ascii="Arial" w:cs="Arial" w:eastAsia="Arial" w:hAnsi="Arial"/>
                <w:sz w:val="18"/>
                <w:szCs w:val="18"/>
                <w:color w:val="auto"/>
              </w:rPr>
              <w:t>Vascular access site hemorrhage</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(0.0)%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 (1.7)%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Vascular access site pain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(0.6)%</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 (0.0)%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120"/>
              <w:spacing w:after="0"/>
              <w:rPr>
                <w:sz w:val="20"/>
                <w:szCs w:val="20"/>
                <w:color w:val="auto"/>
              </w:rPr>
            </w:pPr>
            <w:r>
              <w:rPr>
                <w:rFonts w:ascii="Arial" w:cs="Arial" w:eastAsia="Arial" w:hAnsi="Arial"/>
                <w:sz w:val="18"/>
                <w:szCs w:val="18"/>
                <w:color w:val="auto"/>
              </w:rPr>
              <w:t>Vascular access site pseudoaneurysm</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(5.6)%</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 (0.0)%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Vascular access site rupture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(1.1)%</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 (0.0)%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120"/>
              <w:spacing w:after="0"/>
              <w:rPr>
                <w:sz w:val="20"/>
                <w:szCs w:val="20"/>
                <w:color w:val="auto"/>
              </w:rPr>
            </w:pPr>
            <w:r>
              <w:rPr>
                <w:rFonts w:ascii="Arial" w:cs="Arial" w:eastAsia="Arial" w:hAnsi="Arial"/>
                <w:sz w:val="18"/>
                <w:szCs w:val="18"/>
                <w:color w:val="auto"/>
              </w:rPr>
              <w:t>Vascular access site thrombosis</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41 (23.2)%</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28 (15.7)%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Skin and subcutaneous tissue disorders: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120"/>
              <w:spacing w:after="0"/>
              <w:rPr>
                <w:sz w:val="20"/>
                <w:szCs w:val="20"/>
                <w:color w:val="auto"/>
              </w:rPr>
            </w:pPr>
            <w:r>
              <w:rPr>
                <w:rFonts w:ascii="Arial" w:cs="Arial" w:eastAsia="Arial" w:hAnsi="Arial"/>
                <w:sz w:val="18"/>
                <w:szCs w:val="18"/>
                <w:color w:val="auto"/>
              </w:rPr>
              <w:t>Skin necrosis</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(0.0)%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 (0.6)%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Vascular disorders: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120"/>
              <w:spacing w:after="0"/>
              <w:rPr>
                <w:sz w:val="20"/>
                <w:szCs w:val="20"/>
                <w:color w:val="auto"/>
              </w:rPr>
            </w:pPr>
            <w:r>
              <w:rPr>
                <w:rFonts w:ascii="Arial" w:cs="Arial" w:eastAsia="Arial" w:hAnsi="Arial"/>
                <w:sz w:val="18"/>
                <w:szCs w:val="18"/>
                <w:color w:val="auto"/>
              </w:rPr>
              <w:t>Steal syndrome</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(1.1)%</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 (1.1)%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Subclavian vein occlusion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(0.0)%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 (0.6)%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120"/>
              <w:spacing w:after="0"/>
              <w:rPr>
                <w:sz w:val="20"/>
                <w:szCs w:val="20"/>
                <w:color w:val="auto"/>
              </w:rPr>
            </w:pPr>
            <w:r>
              <w:rPr>
                <w:rFonts w:ascii="Arial" w:cs="Arial" w:eastAsia="Arial" w:hAnsi="Arial"/>
                <w:sz w:val="18"/>
                <w:szCs w:val="18"/>
                <w:color w:val="auto"/>
              </w:rPr>
              <w:t>Vascular stenosis</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34 (19.2)%</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27 (15.2)%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Venous stenosis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(1.7)%</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 (0.0)%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firstLine="324"/>
        <w:spacing w:after="0" w:line="342" w:lineRule="auto"/>
        <w:rPr>
          <w:sz w:val="20"/>
          <w:szCs w:val="20"/>
          <w:color w:val="auto"/>
        </w:rPr>
      </w:pPr>
      <w:r>
        <w:rPr>
          <w:rFonts w:ascii="Arial" w:cs="Arial" w:eastAsia="Arial" w:hAnsi="Arial"/>
          <w:sz w:val="16"/>
          <w:szCs w:val="16"/>
          <w:color w:val="auto"/>
        </w:rPr>
        <w:t>In our V002 and V004 Phase II clinical studies in peripheral arterial disease (“PAD”) in 35 subjects, another patient population which typically has a high prevalence of existing medical conditions, the SAEs reported for the HAV are detailed in the table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SAEs Reported in V002 and V004 Phase II Clinical Studies in PAD</w:t>
      </w:r>
    </w:p>
    <w:p>
      <w:pPr>
        <w:spacing w:after="0" w:line="22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SAE</w:t>
            </w:r>
          </w:p>
        </w:tc>
        <w:tc>
          <w:tcPr>
            <w:tcW w:w="1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SAEs (% of</w:t>
            </w:r>
          </w:p>
        </w:tc>
        <w:tc>
          <w:tcPr>
            <w:tcW w:w="0" w:type="dxa"/>
            <w:vAlign w:val="bottom"/>
          </w:tcPr>
          <w:p>
            <w:pPr>
              <w:spacing w:after="0"/>
              <w:rPr>
                <w:sz w:val="1"/>
                <w:szCs w:val="1"/>
                <w:color w:val="auto"/>
              </w:rPr>
            </w:pPr>
          </w:p>
        </w:tc>
      </w:tr>
      <w:tr>
        <w:trPr>
          <w:trHeight w:val="171"/>
        </w:trPr>
        <w:tc>
          <w:tcPr>
            <w:tcW w:w="6720" w:type="dxa"/>
            <w:vAlign w:val="bottom"/>
            <w:gridSpan w:val="2"/>
            <w:vMerge w:val="continue"/>
          </w:tcPr>
          <w:p>
            <w:pPr>
              <w:spacing w:after="0"/>
              <w:rPr>
                <w:sz w:val="14"/>
                <w:szCs w:val="14"/>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total subjects)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Number of subjects in V002 and V004 studies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N=35</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Arterial bypass thrombosis</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Anastomotic stenosis</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Graft thrombosis</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Vascular graft complication</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our HAVs are associated with undesirable side effects in clinical trials or have negative characteristics that are unexpected, we may need to perform additional clinical trials, abandon their development or limit development to more narrow uses or subpopulations in which the undesirable side effects or other characteristics are less prevalent, less severe or more acceptable from a risk-</w:t>
      </w:r>
    </w:p>
    <w:p>
      <w:pPr>
        <w:spacing w:after="0" w:line="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benefit perspective. Even if one of our product candidates is approved, the FDA and other regulatory authorities may take action to withdraw it from the market if serious safety concerns emerge. Any of these events could cause us to delay, abandon or limit the development and, if approved, marketing of our product candidates.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experience delays or difficulties in the enrollment of patients in our clinical trials, which may delay or prevent additional clinical trials and our receipt of necessary marketing approvals.</w:t>
      </w:r>
    </w:p>
    <w:p>
      <w:pPr>
        <w:spacing w:after="0" w:line="143"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are currently enrolling patients in several clinical trials, including in our V005 trial, which is a Phase II/III clinical trial of our 6 millimeter HAV in traumatic vascular repair and our V007 trial, which is a Phase III clinical trial comparing the safety and efficacy of our 6 millimeter HAV to arteriovenous (“AV”) fistula for hemodialysis access. Identifying and qualifying patients to participate in clinical trials of our product candidates is critical to our success. The timing of our clinical trials depends in part on the rate at which we can recruit patients to participate in such trials. Additionally, the COVID-19 pandemic has had and may continue to have a sustained impact on our ability to recruit and follow up with patients. We may not be able to initiate or continue clinical trials for our product candidates if we are unable to locate and enroll a sufficient number of eligible patients to participate in these trials as required by the FDA and other regulatory authorities, and as such our product candidates could be delayed or otherwise adversely affected. Patient enrollment and trial completion is affected by many factors including the:</w:t>
      </w:r>
    </w:p>
    <w:p>
      <w:pPr>
        <w:spacing w:after="0" w:line="140" w:lineRule="exact"/>
        <w:rPr>
          <w:sz w:val="20"/>
          <w:szCs w:val="20"/>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clinical trial research resources at clinical sites in the era of the COVID-19 pandemic;</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persons to provide or obtain patient consent for trial participation due to COVID-19 restrictions;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inclusion and exclusion criteria;</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profile, to date, of the product candidate under study;</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degree of progression of the subject’s disease at the time of enrollment;</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84"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COVID-19 pandemic or future pandemics or similar events on patients’ willingness and ability to participate in clinical trials or on study site policies;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18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Lack of experience by investigators and surgeons with our HAVs can lead to incorrect implantation or follow-up procedures which could harm the results of our clinical trials and market acceptance of our HAVs, if approved.</w:t>
      </w:r>
    </w:p>
    <w:p>
      <w:pPr>
        <w:spacing w:after="0" w:line="143"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Our HAVs are currently in various stages of preclinical and clinical testing and have not been widely used. We do not have the personnel capacity to directly conduct or manage all of the clinical trials that are necessary for the development of our HAVs. Therefore, we rely, and will continue to rely, on third parties to assist us in managing, monitoring and conducting our clinical trials. Some of the investigators in our clinical trials have not been, and, if our HAVs receive marketing approval, surgeons may not be, previously exposed to the implantation and follow-up procedures related to their use. As a result, our HAVs may be, and have been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160"/>
        <w:spacing w:after="0" w:line="293" w:lineRule="auto"/>
        <w:rPr>
          <w:sz w:val="20"/>
          <w:szCs w:val="20"/>
          <w:color w:val="auto"/>
        </w:rPr>
      </w:pPr>
      <w:r>
        <w:rPr>
          <w:rFonts w:ascii="Arial" w:cs="Arial" w:eastAsia="Arial" w:hAnsi="Arial"/>
          <w:sz w:val="16"/>
          <w:szCs w:val="16"/>
          <w:color w:val="auto"/>
        </w:rPr>
        <w:t>in the past, incorrectly implanted and follow-up procedures may be performed incorrectly, resulting in violations of our trial protocols, increased interventions or failure of the HAV. Our efforts to educate investigators, surgeons and interventionalists regarding the proper techniques for use of our HAVs both during clinical trials and following potential commercialization may be costly, prove unsuccessful and could materially harm our ability to continue the clinical trials or marketing of our HAVs. Regulatory authorities may also seek to impose restrictive labeling or proactive communication obligations on any marketing approval granted for use of our HAVs as a result, which could reduce market acceptance of any of our HAVs that receive marketing approval.</w:t>
      </w:r>
    </w:p>
    <w:p>
      <w:pPr>
        <w:spacing w:after="0" w:line="13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Our near-term prospects are dependent on the success of our 6 millimeter HAV, and if we are unable to successfully develop and commercialize it, our business, operating results and financial condition will be materially harmed.</w:t>
      </w:r>
    </w:p>
    <w:p>
      <w:pPr>
        <w:spacing w:after="0" w:line="10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currently have no products approved for sale and, while we are developing a number of product candidates, we have invested and continue to invest a substantial portion of our efforts and financial resources in the development of our 6 millimeter HAV. None of our remaining product geometries and modifications have advanced beyond preclinical development. As a result, in the near term we are dependent on the success of our 6 millimeter HAV, and if we are unable to successfully develop, obtain marketing approval for, and commercialize it, our business, along with our operating results and financial condition, will be materially harmed. Even if we succeed with the development of our 6 millimeter HAV, our ability to generate product revenue and become profitable from our 6 millimeter HAV depends on our assumptions regarding the relevant market opportunity, for which our estimates may prove inaccurate, and market acceptance in any approved indication, which may never occur.</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our proprietary scientific technology platform to build a pipeline of additional product candidates.</w:t>
      </w:r>
    </w:p>
    <w:p>
      <w:pPr>
        <w:spacing w:after="0" w:line="14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 key element of our strategy is to use our proprietary scientific technology platform to expand our pipeline of HAVs and to progress other product candidates into and through clinical development. We may not be able to identify or develop future product candidates that are safe and effective. Even if we are successful in building our pipeline, the potential product candidates that we identify may not be suitable for clinical development, including if they have harmful side effects or other characteristics that render them unlikely to receive marketing approval or achieve market acceptance. Research programs to identify new product candidates require substantial technical, financial and human resources, and we may focus our efforts and resources on potential programs or product candidates that ultimately prove to be unsuccessful. If we do not successfully develop and commercialize additional product candidates based upon our technology, we may have difficulty generating product revenue in the future, which could result in significant harm to our business, prospects, operating results and financial condition and adversely affect our stock price.</w:t>
      </w:r>
    </w:p>
    <w:p>
      <w:pPr>
        <w:spacing w:after="0" w:line="14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Even if our HAVs receive marketing approval in the future for one or more of our product candidates, they may fail to achieve the degree of market acceptance by physicians, patients, third-party payors and others in the medical community necessary for commercial success.</w:t>
      </w:r>
    </w:p>
    <w:p>
      <w:pPr>
        <w:spacing w:after="0" w:line="14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Even with the requisite approvals from the FDA in the United States, the European Commission in the European Union (the “EU”) and other regulatory authorities internationally, the commercial success of our HAVs will depend, in part, on the acceptance of physicians, patients and health care payors, as medically necessary, cost-effective and safe. Any product that we commercialize may not gain acceptance by physicians, patients, health care payors and others in the medical community due to ethical, social, medical and legal concerns. If these products do not achieve an adequate level of acceptance, we may not generate significant product revenue and may not become profitable.</w:t>
      </w:r>
    </w:p>
    <w:p>
      <w:pPr>
        <w:spacing w:after="0" w:line="15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degree of market acceptance of any of our product candidates that receives marketing approval will depend on a number of factors, including:</w:t>
      </w:r>
    </w:p>
    <w:p>
      <w:pPr>
        <w:spacing w:after="0" w:line="143" w:lineRule="exact"/>
        <w:rPr>
          <w:sz w:val="20"/>
          <w:szCs w:val="20"/>
          <w:color w:val="auto"/>
        </w:rPr>
      </w:pPr>
    </w:p>
    <w:p>
      <w:pPr>
        <w:ind w:left="680" w:right="46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efficacy and potential advantages of our product candidates compared with alternative products or methods, including convenience and ease of administration;</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prices we charge for our products, if approved;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w:t>
      </w:r>
    </w:p>
    <w:p>
      <w:pPr>
        <w:spacing w:after="0" w:line="198"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products and methods and of physicians to use these products and methods;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the product and our ability to meet market demand;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146"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6"/>
          <w:szCs w:val="16"/>
          <w:color w:val="auto"/>
        </w:rPr>
        <w:t>Our estimates of the market opportunity for certain of our product candidates, as set forth in this prospectus, are based on a number of internal and third-party estimates. While we believe our assumptions and the data underlying these estimates are reasonable, they may be inaccurate or based on imprecise data; in addition, the assumptions and conditions underlying the estimates may change at any time.</w:t>
      </w:r>
    </w:p>
    <w:p>
      <w:pPr>
        <w:spacing w:after="0" w:line="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For example, the number of patients who ultimately use our product candidates, if approved by regulatory authorities, and our total market opportunities for such product candidates, will depend on, among other things, pricing and reimbursement, market acceptance of those product candidates and patient access, and may be lower than we estimate. Additionally, any approval we receive for our product candidates may be based on a narrower definition of the relevant patient population than we have estimated. Either of these circumstances could materially harm our business, financial condition, results of operations and prospects.</w:t>
      </w:r>
    </w:p>
    <w:p>
      <w:pPr>
        <w:spacing w:after="0" w:line="12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We face and will continue to face substantial competition, which may result in others discovering, developing or commercializing competing products before or more successfully than we do, which may adversely affect our ability to successfully market or commercialize our HAVs.</w:t>
      </w:r>
    </w:p>
    <w:p>
      <w:pPr>
        <w:spacing w:after="0" w:line="143"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development and commercialization of new biological products is highly competitive and subject to rapid change and technological advancements. If approved, we expect our HAVs would compete with the use of a patient’s own blood vessels, as well as a variety of marketed products, such as conventional synthetic grafts, xenografts, and allografts, as well as developing technologies.</w:t>
      </w:r>
    </w:p>
    <w:p>
      <w:pPr>
        <w:spacing w:after="0" w:line="122"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We expect to face competition with respect to any additional product candidates that we may seek to develop or commercialize in the future from a variety of sources, including major pharmaceutical companies, specialty pharmaceutical companies and biotechnology companies, hospital product-focused companies, as well as public and private universities and research organizations.</w:t>
      </w:r>
    </w:p>
    <w:p>
      <w:pPr>
        <w:spacing w:after="0" w:line="10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Many of our existing or potential competitors, either alone or with their strategic partners,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the products that we develop. Our competitors also may obtain FDA or other marketing approval for their products more rapidly than we may obtain the same approval for ours, which could result in our competitors establishing a strong market position before we are able to enter the market.</w:t>
      </w:r>
    </w:p>
    <w:p>
      <w:pPr>
        <w:spacing w:after="0" w:line="13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plan to seek marketing approval for our HAVs in the United States as a biologic and in the European Union (the “EU”) as a medicinal product. In both the United States and the EU, our competitors may try to market vascular conduits similar to our product candidates as medical devices. Such competitive products could have comparable characteristics and could function similarly in the body (and could even be protein-based like our product candidates). Companies may be able to obtain marketing approval for such products on the basis of less data than the data required for a BLA and marketing similar products as devices could permit our competitors to circumvent regulatory exclusivity for biologics in the United States and medicinal products in the EU.</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distribution agreement with Fresenius Medical Care imposes obligations on us that may restrict our ability to operate our business in ways we believe to be in our long-term best interest.</w:t>
      </w:r>
    </w:p>
    <w:p>
      <w:pPr>
        <w:spacing w:after="0" w:line="143"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expect to rely on our strategic, global relationship with Fresenius Medical Care for the development and commercialization of certain of our product candidates. As discussed in more detail in the section of this prospectus titled “Business — Distribution — Distribution Agreement with Fresenius Medical Care,” Fresenius Medical Care will have the exclusive right to develop outside of the United States and EU and commercialize outside of the United States, among other things, our 6 millimeter x 42cm HAV and all improvements thereto, and modifications and derivatives thereof (including any changes to the length, diameter, or configuration of the foregoing), which we refer to as the distribution product, for use in vascular creation, repair, replacement or construction (including renal replacement therapy for dialysis access, the treatment of vascular trauma, and the treatment of PAD, but excluding coronary artery bypass graft, pediatric heart surgery, or adhering pancreatic islet cells onto the outer surface of the distribution product for use in diabetic patients). We refer to these indications wherein Fresenius Medical Care has rights to develop and commercialize Humacyte’s products as the field. The distribution agreement also imposes a number of restrictions on our business. For instance, outside the United States, the distribution agreement restricts our ability to engage a distributor for the distribution product outside the field or for HAV products other than the distribution product: we have granted Fresenius Medical Care (i) an exclusive right of first negotiation for exclusive distribution rights outside the United States for the distribution product for use outside the field, and (ii) an exclusive right of first negotiation for exclusive distribution rights outside the United States for our other HAV products, if any, subject, in each case, to certain conditions. These and other obligations may restrict our ability to operate our business in ways we believe are in our long-term best interest, which could harm our business and our prospects.</w:t>
      </w:r>
    </w:p>
    <w:p>
      <w:pPr>
        <w:spacing w:after="0" w:line="139"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If we receive approval for a product candidate that is not subject to our distribution agreement with Fresenius Medical Care, and we are unable to establish our own marketing, sales and distribution capabilities or are unable to enter into agreements with third parties do so, we may not be able to generate product revenue and will have to alter our development and commercialization plans.</w:t>
      </w:r>
    </w:p>
    <w:p>
      <w:pPr>
        <w:spacing w:after="0" w:line="9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currently have limited internal marketing, sales or distribution capabilities, and our management team has limited experience commercializing products following marketing approval. If one of our product candidates that is not subject to the distribution agreement with Fresenius Medical Care receives marketing approval, we will be required either to develop these capabilities internally or to make arrangements with third parties for the marketing, sales and distribution of the relevant product candidate. The establishment and development of our own marketing, sales and distribution functions will be expensive and time-consuming and may delay any product launch, and we may ultimately be unable to successfully develop the product candidate. In addition, or in the alternative, we could seek one or more partners to handle some or all of the marketing, sales and distribution activities associated with any such product candidate. However, we may face significant competition in seeking appropriate strategic partners, and the negotiation process is time consuming and complex. Therefore, we may not be able to enter into arrangements with third parties to do so on favorable terms or at all. In the event we are unable to develop our own marketing, sales and distribution functions or collaborate with a third-party organization for this purpose, we may not be able to successfully commercialize a product candidate that is not subject to the distribution agreement with Fresenius Medical Care, which would adversely affect our ability to generate revenue. Further, whether we commercialize any such product candidate on our own or rely on a third party to do so, our ability to generate revenue will be dependent on the effectiveness of the organization performing these functions.</w:t>
      </w:r>
    </w:p>
    <w:p>
      <w:pPr>
        <w:spacing w:after="0" w:line="14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Even if we receive marketing approval for our HAVs, there is uncertainty with respect to third-party coverage and reimbursement of our HAVs. They may also be subject to unfavorable pricing regulations, third-party reimbursement practices or healthcare reform initiatives, any of which could harm our business, prospects, operating results and financial condition.</w:t>
      </w:r>
    </w:p>
    <w:p>
      <w:pPr>
        <w:spacing w:after="0" w:line="108"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There is uncertainty around third-party coverage and reimbursement of newly approved regenerative medicine type products, even those with the Regenerative Medicine Advanced Therapy (“RMAT”) designation from FDA, such as our 6 millimeter HAV for AV access for performing hemodialysis, which received the RMAT designation in 2017. In the United States, third-party payors, including government payors such as the Medicare and Medicaid programs, play an important role in determining the extent to which medical products and biologics will be covered and reimbursed. The Medicare and Medicaid programs increasingly are used as models for how private payors and government payors develop their coverage and reimbursement policies. Currently, no RMAT tissue engineered product has established coverage and reimbursement by the Centers for Medicare and Medicaid Services (“CMS”). Even if our HAVs receive approval from regulatory authorities, it is difficult to predict what CMS or any comparable foreign regulatory agency will decide with respect to coverage and reimbursement for novel products such as ours, as there is no body of established practices and precedents for these types of products.</w:t>
      </w:r>
    </w:p>
    <w:p>
      <w:pPr>
        <w:spacing w:after="0" w:line="14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healthcare industry is acutely focused on cost containment, both in the United States and elsewhere. Government authorities and third-party payors have attempted to control costs by limiting coverage and the amount of reimbursement. These payors may not view our products, if any, as cost-effective, and coverage and reimbursement may not be available to our customers or may not be</w:t>
      </w:r>
    </w:p>
    <w:p>
      <w:pPr>
        <w:sectPr>
          <w:pgSz w:w="11900" w:h="16838" w:orient="portrait"/>
          <w:cols w:equalWidth="0" w:num="1">
            <w:col w:w="9920"/>
          </w:cols>
          <w:pgMar w:left="980" w:top="12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sufficient to allow our products, if any, to be marketed on a competitive basis. Cost-control initiatives could also cause us to decrease any price we might establish for products, which could result in lower than anticipated product revenue. Moreover, eligibility for reimbursement does not imply that any product will be paid for in all cases or at a rate that covers our costs, including our costs related to research, development, manufacture, sale and distribution. Reimbursement rates may vary, by way of example, according to the use of the product and the clinical setting in which it is used. If the prices for our products, if any, decrease or if governmental and other third-party payors do not provide adequate coverage or reimbursement, our business, prospects, operating results and financial condition will suffer, perhaps materially.</w:t>
      </w:r>
    </w:p>
    <w:p>
      <w:pPr>
        <w:spacing w:after="0" w:line="16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some countries, particularly in Europe, the pricing of our product may be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if approved, is unavailable or more limited in scope or amount than we anticipate, or if pricing is set at even lower levels than we anticipate, our business could be harmed, possibly materially.</w:t>
      </w:r>
    </w:p>
    <w:p>
      <w:pPr>
        <w:spacing w:after="0" w:line="1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that may not be covered by our limited product liability insurance and may limit development, approval and commercialization of our HAVs and any other product candidates that we develop in the future.</w:t>
      </w:r>
    </w:p>
    <w:p>
      <w:pPr>
        <w:spacing w:after="0" w:line="14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and when we commercially sell our HAVs and any other product candidates that we may develop. If we cannot successfully defend ourselves against claims that our product candidates or products caused injuries, we will incur substantial liabilities. Regardless of merit or eventual outcome, product liability claims may result in:</w:t>
      </w:r>
    </w:p>
    <w:p>
      <w:pPr>
        <w:spacing w:after="0" w:line="160" w:lineRule="exact"/>
        <w:rPr>
          <w:sz w:val="20"/>
          <w:szCs w:val="20"/>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develop or sell, leading to loss of revenue;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or slower enrollment, of clinical trial participants;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significant costs to defend the related litigation and reduced resources of our management to pursue our business strategy;</w:t>
      </w:r>
    </w:p>
    <w:p>
      <w:pPr>
        <w:spacing w:after="0" w:line="221" w:lineRule="exact"/>
        <w:rPr>
          <w:rFonts w:ascii="Arial" w:cs="Arial" w:eastAsia="Arial" w:hAnsi="Arial"/>
          <w:sz w:val="16"/>
          <w:szCs w:val="16"/>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further develop or commercialize our product candidates.</w:t>
      </w:r>
    </w:p>
    <w:p>
      <w:pPr>
        <w:spacing w:after="0" w:line="18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currently hold limited product liability insurance coverage, and it may not be adequate to cover all liabilities that we may incur. We also may not be able to maintain insurance coverage at a reasonable cost or in an amount adequate to satisfy any liability that may arise.</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outbreak of COVID-19 may continue to adversely impact our business, including our manufacturing efforts, and our preclinical studies and clinical trials.</w:t>
      </w:r>
    </w:p>
    <w:p>
      <w:pPr>
        <w:spacing w:after="0" w:line="130" w:lineRule="exact"/>
        <w:rPr>
          <w:sz w:val="20"/>
          <w:szCs w:val="20"/>
          <w:color w:val="auto"/>
        </w:rPr>
      </w:pPr>
    </w:p>
    <w:p>
      <w:pPr>
        <w:ind w:right="360" w:firstLine="324"/>
        <w:spacing w:after="0" w:line="291" w:lineRule="auto"/>
        <w:rPr>
          <w:sz w:val="20"/>
          <w:szCs w:val="20"/>
          <w:color w:val="auto"/>
        </w:rPr>
      </w:pPr>
      <w:r>
        <w:rPr>
          <w:rFonts w:ascii="Arial" w:cs="Arial" w:eastAsia="Arial" w:hAnsi="Arial"/>
          <w:sz w:val="16"/>
          <w:szCs w:val="16"/>
          <w:color w:val="auto"/>
        </w:rPr>
        <w:t>The ongoing COVID-19 pandemic has impacted our business and we expect it to continue to do so. In response to the spread of COVID-19, we limited entry into our facilities for non-essential personnel, and instituted daily health checks and weekly COVID-</w:t>
      </w:r>
    </w:p>
    <w:p>
      <w:pPr>
        <w:ind w:right="60"/>
        <w:spacing w:after="0" w:line="255" w:lineRule="auto"/>
        <w:rPr>
          <w:sz w:val="20"/>
          <w:szCs w:val="20"/>
          <w:color w:val="auto"/>
        </w:rPr>
      </w:pPr>
      <w:r>
        <w:rPr>
          <w:rFonts w:ascii="Arial" w:cs="Arial" w:eastAsia="Arial" w:hAnsi="Arial"/>
          <w:sz w:val="18"/>
          <w:szCs w:val="18"/>
          <w:color w:val="auto"/>
        </w:rPr>
        <w:t>19 screenings for employees who entered the facility. In addition, we have experienced delays in the ongoing enrollment of our clinical trials as a result of COVID-19. If COVID-19 continues to spread in the United States and elsewhere, we may experience disruptions that could severely impact our business, preclinical studies and clinical trials, including:</w:t>
      </w:r>
    </w:p>
    <w:p>
      <w:pPr>
        <w:spacing w:after="0" w:line="149" w:lineRule="exact"/>
        <w:rPr>
          <w:sz w:val="20"/>
          <w:szCs w:val="20"/>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delays or difficulties in enrolling patients in our clinical trials;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196" w:lineRule="exact"/>
        <w:rPr>
          <w:rFonts w:ascii="Arial" w:cs="Arial" w:eastAsia="Arial" w:hAnsi="Arial"/>
          <w:sz w:val="17"/>
          <w:szCs w:val="17"/>
          <w:color w:val="auto"/>
        </w:rPr>
      </w:pPr>
    </w:p>
    <w:p>
      <w:pPr>
        <w:ind w:left="680" w:right="4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160" w:hanging="321"/>
        <w:spacing w:after="0" w:line="26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local regulations as part of a response to the COVID-19 pandemic which may require us to change the ways in which our clinical trials are conducted, which may result in unexpected costs, or to discontinue the clinical trials altogether;</w:t>
      </w:r>
    </w:p>
    <w:p>
      <w:pPr>
        <w:spacing w:after="0" w:line="156" w:lineRule="exact"/>
        <w:rPr>
          <w:rFonts w:ascii="Arial" w:cs="Arial" w:eastAsia="Arial" w:hAnsi="Arial"/>
          <w:sz w:val="18"/>
          <w:szCs w:val="18"/>
          <w:color w:val="auto"/>
        </w:rPr>
      </w:pPr>
    </w:p>
    <w:p>
      <w:pPr>
        <w:ind w:left="680" w:right="540" w:hanging="321"/>
        <w:spacing w:after="0" w:line="308" w:lineRule="auto"/>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and clinics serving as our clinical trial sites and hospital and clinic staff supporting the conduct of our clinical trials;</w:t>
      </w:r>
    </w:p>
    <w:p>
      <w:pPr>
        <w:spacing w:after="0" w:line="105" w:lineRule="exact"/>
        <w:rPr>
          <w:rFonts w:ascii="Arial" w:cs="Arial" w:eastAsia="Arial" w:hAnsi="Arial"/>
          <w:sz w:val="17"/>
          <w:szCs w:val="17"/>
          <w:color w:val="auto"/>
        </w:rPr>
      </w:pPr>
    </w:p>
    <w:p>
      <w:pPr>
        <w:ind w:left="680" w:hanging="321"/>
        <w:spacing w:after="0" w:line="259"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or the closing of clinical trial sites due to the virus, the occurrence of which could affect the integrity of clinical trial data;</w:t>
      </w:r>
    </w:p>
    <w:p>
      <w:pPr>
        <w:spacing w:after="0" w:line="146"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our HAVs and other supplies used in our clinical trials;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in supply of raw materials required to manufacture our product candidates;</w:t>
      </w:r>
    </w:p>
    <w:p>
      <w:pPr>
        <w:spacing w:after="0" w:line="184" w:lineRule="exact"/>
        <w:rPr>
          <w:rFonts w:ascii="Arial" w:cs="Arial" w:eastAsia="Arial" w:hAnsi="Arial"/>
          <w:sz w:val="18"/>
          <w:szCs w:val="18"/>
          <w:color w:val="auto"/>
        </w:rPr>
      </w:pPr>
    </w:p>
    <w:p>
      <w:pPr>
        <w:ind w:left="680" w:right="220" w:hanging="321"/>
        <w:spacing w:after="0" w:line="286" w:lineRule="auto"/>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 that participants enrolled in our clinical trials will acquire COVID-19 while the clinical trial is ongoing, or will withdraw from the clinical trial due to concerns over COVID-19, which could impact the results of the clinical trial, including by increasing the number of observed adverse events, or reducing the statistical power of the clinical trials;</w:t>
      </w:r>
    </w:p>
    <w:p>
      <w:pPr>
        <w:spacing w:after="0" w:line="124" w:lineRule="exact"/>
        <w:rPr>
          <w:rFonts w:ascii="Arial" w:cs="Arial" w:eastAsia="Arial" w:hAnsi="Arial"/>
          <w:sz w:val="17"/>
          <w:szCs w:val="17"/>
          <w:color w:val="auto"/>
        </w:rPr>
      </w:pPr>
    </w:p>
    <w:p>
      <w:pPr>
        <w:ind w:left="680" w:right="4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or delays in preclinical studies, including delays in obtaining and housing experimental animals and in performing surgical interventions on animals to test our products;</w:t>
      </w:r>
    </w:p>
    <w:p>
      <w:pPr>
        <w:spacing w:after="0" w:line="129" w:lineRule="exact"/>
        <w:rPr>
          <w:rFonts w:ascii="Arial" w:cs="Arial" w:eastAsia="Arial" w:hAnsi="Arial"/>
          <w:sz w:val="18"/>
          <w:szCs w:val="18"/>
          <w:color w:val="auto"/>
        </w:rPr>
      </w:pPr>
    </w:p>
    <w:p>
      <w:pPr>
        <w:ind w:left="680" w:right="68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employees;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receiving feedback or responses from the FDA regarding regulatory submissions;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obtaining meetings with FDA reviewers regarding manufacturing and clinical trials;</w:t>
      </w:r>
    </w:p>
    <w:p>
      <w:pPr>
        <w:spacing w:after="0" w:line="184" w:lineRule="exact"/>
        <w:rPr>
          <w:rFonts w:ascii="Arial" w:cs="Arial" w:eastAsia="Arial" w:hAnsi="Arial"/>
          <w:sz w:val="18"/>
          <w:szCs w:val="18"/>
          <w:color w:val="auto"/>
        </w:rPr>
      </w:pPr>
    </w:p>
    <w:p>
      <w:pPr>
        <w:ind w:left="680" w:right="40" w:hanging="321"/>
        <w:spacing w:after="0" w:line="26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or the manufacture of our product candidates, including because of sickness of employees or their families or the desire of employees to avoid contact with large groups of people;</w:t>
      </w:r>
    </w:p>
    <w:p>
      <w:pPr>
        <w:spacing w:after="0" w:line="156"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the clinical endpoints, statistical analysis plan, or enrollment plans for ongoing clinical trials due to limitations in patients, resources, or sites, including due to COVID-19;</w:t>
      </w:r>
    </w:p>
    <w:p>
      <w:pPr>
        <w:spacing w:after="0" w:line="129" w:lineRule="exact"/>
        <w:rPr>
          <w:rFonts w:ascii="Arial" w:cs="Arial" w:eastAsia="Arial" w:hAnsi="Arial"/>
          <w:sz w:val="18"/>
          <w:szCs w:val="18"/>
          <w:color w:val="auto"/>
        </w:rPr>
      </w:pPr>
    </w:p>
    <w:p>
      <w:pPr>
        <w:ind w:left="680" w:right="60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deaths of clinical trial patients due to COVID-19 or due to lack of healthcare resources and follow-up as a consequence of COVID-19;</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98"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impacts from prolonged remote work arrangements, such as increased cybersecurity risks and strains on our business continuity plans.</w:t>
      </w:r>
    </w:p>
    <w:p>
      <w:pPr>
        <w:spacing w:after="0" w:line="130"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Three vaccines for COVID-19 were granted Emergency Use Authorization by the FDA in late 2020 and early 2021, and more may be authorized in the coming months. The resultant demand for vaccines and potential for manufacturing facilities and materials to be commandeered under the Defense Production Act of 1950, or equivalent foreign legislation, may make it more difficult to obtain materials for the products needed for our clinical trials, which could lead to delays in these trials. In addition, the competition for bioprocessing, quality control, manufacturing and logistics personnel due to ramping up of COVID-19 vaccine production in the North Carolina region may make it difficult to recruit and retain necessary employees. The extent to which the COVID-19 pandemic impacts our business, preclinical studies and clinical trials will depend on future developments, which are highly uncertain and cannot be predicted with confidence.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Our Product Candidates</w:t>
      </w:r>
    </w:p>
    <w:p>
      <w:pPr>
        <w:spacing w:after="0" w:line="202"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b w:val="1"/>
          <w:bCs w:val="1"/>
          <w:i w:val="1"/>
          <w:iCs w:val="1"/>
          <w:color w:val="auto"/>
        </w:rPr>
        <w:t>The manufacture of our product candidates is complex, we have not manufactured commercial product, and we may encounter difficulties in production. If we or any third-party manufacturer encounter such difficulties, our ability to supply our product candidates for clinical trials or, if approved, for commercial sale could be delayed or halted entirely.</w:t>
      </w:r>
    </w:p>
    <w:p>
      <w:pPr>
        <w:spacing w:after="0" w:line="10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process of manufacturing our HAVs is complex, highly regulated and subject to multiple risks. The manufacture of biologics such as our HAVs is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which would harm our business, operating results and financial condition as well as our reputation.</w:t>
      </w:r>
    </w:p>
    <w:p>
      <w:pPr>
        <w:spacing w:after="0" w:line="12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currently manufacturing the 6 millimeter HAVs for our clinical trials at our manufacturing facility in Durham, North Carolina, where we have created a scalable modular manufacturing process, which we refer to as the LUNA200 system, that we believe will enable us to manufacture our HAVs, if approved, in commercial quantities in compliance with current good manufacturing practices (“cGMPs”). Our efforts to scale out our manufacturing operations may not succeed. Scaling out a biologic manufacturing process is a difficult task, as there are risks including, among others, cost overruns, process reproducibility, stability issues, lot consistency and timely availability of raw materials. Prior to the establishment of our internal manufacturing facility, we employed a contract manufacturer who produced our HAVs using a smaller-production system known as the AURA system. We have limited experience manufacturing our HAVs in-</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house with the LUNA200 system, and no experience manufacturing the volume that we anticipate will be required to supply all of our clinical trials or to achieve planned levels of commercial sales following marketing approval, if received. Additionally, our manufacturing process has evolved over time and we may not have the experience, resources, or facility capacity to handle adoption of future changes or expansion of capacity. The forecasts of demand we plan to use to determine order quantities and lead times for components from outside suppliers may be incorrect, and we may be unable to obtain such components when needed and at a reasonable cost. In addition, we may not be able to develop and implement efficient manufacturing capabilities and processes to manufacture our HAVs in sufficient volumes that also satisfy the legal, regulatory, quality, price, durability, engineering, design and production standards required to commercialize our HAVs successfully.</w:t>
      </w:r>
    </w:p>
    <w:p>
      <w:pPr>
        <w:spacing w:after="0" w:line="15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If we are unable to produce sufficient quantities of our HAVs for our clinical trial needs or commercialization due to production system limitations, we may need to make additional changes to our manufacturing processes and procedures. Such changes to our manufacturing platform could trigger the need to conduct additional bridging studies between our prior clinical supply and that of any new manufacturing processes and procedures. Should we experience delays or be unable to produce sufficient quantities of our HAVs utilizing our current or a modified version of our manufacturing system, we expect that our development and commercialization efforts would be impaired as a result, which would likely materially adversely affect our business, prospects, operating results and financial condition.</w:t>
      </w:r>
    </w:p>
    <w:p>
      <w:pPr>
        <w:spacing w:after="0" w:line="15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Manufacturing facilities are subject to significant government regulations and approvals, which are often costly and could result in adverse consequences to our business if we fail to comply with the regulations or maintain the approvals.</w:t>
      </w:r>
    </w:p>
    <w:p>
      <w:pPr>
        <w:spacing w:after="0" w:line="83"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Our manufacturing facility is subject to ongoing regulation and periodic inspection by the FDA and other regulatory authorities to ensure compliance with cGMPs. Failure to follow and document adherence to such regulations or other regulatory requirements may</w:t>
      </w:r>
    </w:p>
    <w:p>
      <w:pPr>
        <w:ind w:right="140" w:firstLine="8"/>
        <w:spacing w:after="0" w:line="260"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lead to significant delays in the availability of product for our clinical trials, (ii) result in the termination of or a hold being placed on one or more of our clinical trials, or (iii) delay or prevent filing or approval of marketing applications for our HAVs.</w:t>
      </w:r>
    </w:p>
    <w:p>
      <w:pPr>
        <w:spacing w:after="0" w:line="14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To monitor compliance with applicable regulations, the FDA routinely conducts inspections of facilities and may identify potential deficiencies. For example, the FDA issues what are referred to as “Form 483s” that set forth observations and concerns that are identified during its inspections. Failure to satisfactorily address the concerns or potential deficiencies identified in a Form 483 could result in the issuance of a warning letter, which is a notice of the issues that the FDA believes to be significant regulatory violations requiring prompt corrective actions. Failure to respond adequately to a warning letter, or to otherwise fail to comply with applicable regulatory requirements could result in enforcement, remedial or punitive actions by the FDA or other regulatory authorities.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02"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spacing w:after="0" w:line="60"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We do not independently conduct clinical trials for our product candidates and instead rely on third parties, such as CROs, clinical data management organizations, medical institutions and clinical investigators, to perform various functions, including implanting our HAVs and monitoring patients. The FDA and other regulatory authorities require us and these third parties to comply with GCP and, where applicable, good tissue practices (“GTP”) for conducting, recording and reporting the results of clinical trials to assure that data and reported results are credible and accurate and that the rights, integrity and confidentiality of patients in clinical trials are protected; ultimately, we remain responsible for ensuring that each of our clinical trials is conducted in accordance with the general investigational plan and trial protocol. Failure by us or these third parties to do so could require us to enroll additional trial subjects beyond those we anticipate, could require us to modify our protocol, which may cause us to lose previously established Special Protocol Assessment (“SPA”) agreements with the FDA or similar agreements with other regulatory authorities concerning whether the design and size of our clinical trial adequately addresses scientific and regulatory requirements to support marketing approval, or could materially harm our ability to complete our clinical trials, including as a result of the need to remove trial sites and participants from the trial. We have in the past and may in the future need to terminate trial sites due to failure to conduct a trial in accordance with its protocol, applicable regulations, and generally accepted research standards.</w:t>
      </w:r>
    </w:p>
    <w:p>
      <w:pPr>
        <w:spacing w:after="0" w:line="14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performance of the sites for our clinical trials may also be adversely affected by various other issues, including familiarity with the properties of our HAVs, intervention rates, insufficient training of personnel, variances in medical infrastructure, lack of familiarity with conducting clinical trials in accordance with international regulatory standards, communication difficulties or changes in local regulations. If these third parties do not successfully conduct our clinical trials in accordance with regulatory requirements or our stated protocols, carry out their contractual duties, or meet expected deadlines, we may not be able to obtain, or may be delayed in obtaining, marketing approvals for our product candidates and may not be able to, or may be delayed in our efforts to, successfully commercialize our products if approved by regulatory authorities.</w:t>
      </w:r>
    </w:p>
    <w:p>
      <w:pPr>
        <w:spacing w:after="0" w:line="15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rely on third-party suppliers, including sole source suppliers, to provide certain components for our product candidates. Any failure by a third-party supplier to supply these components for manufacture may delay or impair our ability to complete our clinical trials and to commercialize our product candidates.</w:t>
      </w:r>
    </w:p>
    <w:p>
      <w:pPr>
        <w:spacing w:after="0" w:line="143"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6"/>
          <w:szCs w:val="16"/>
          <w:color w:val="auto"/>
        </w:rPr>
        <w:t>We currently rely, and expect to continue to rely, on third parties for the supply of certain components necessary for our product candidates, such as donor tissue, other biologically derived substances, the PGA polymer mesh and the bioreactor bags in which our HAVs are grown. Our suppliers for certain of these materials, including SeraCare Life Sciences, Inc. (“SeraCare”) for the supply of human plasma and Confluent Medical Technologies, Inc. (“Confluent”) for the supply of polymer mesh, are sole source suppliers.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Failure of one or more of our suppliers, including these sole source suppliers, to deliver components necessary for the production of our HAVs in a timely and sufficient manner, whether due to shortages of such materials, difficulties in scaling up supply to satisfy our clinical trial and commercial needs, contamination, recall, the COVID-19 pandemic or otherwise, or to source or manufacture such components in accordance with cGMPs and cGTPs, as applicable, could delay our ability to complete our clinical trials, obtain marketing approval and commercialize our product candidates. Establishing additional or replacement suppliers for these components could take a substantial amount of time and it may be difficult to establish replacement suppliers who meet regulatory requirements. 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 If our suppliers fail to comply with applicable regulations, and if we do not qualify alternate suppliers, the clinical development, marketing approval or commercialization of our product candidates could be delayed, thereby increasing our costs to complete clinical development and to obtain marketing approval and depriving us of potential product revenue.</w:t>
      </w:r>
    </w:p>
    <w:p>
      <w:pPr>
        <w:spacing w:after="0" w:line="144"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We intend to rely on our strategic, global relationship with Fresenius Medical Care to undertake, or assist with, the development and commercialization of certain of our product candidates if we receive marketing approval from relevant regulatory authorities. Disruption of this arrangement could materially adversely affect our business, prospects, operating results and financial condition.</w:t>
      </w:r>
    </w:p>
    <w:p>
      <w:pPr>
        <w:spacing w:after="0" w:line="9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distribution agreement, Fresenius Medical Care has the exclusive right to sell and distribute the distribution product in the field outside of the United States. In addition, under the terms of the distribution agreement, Fresenius Medical Care will collaborate with Humacyte in its commercialization of the distribution product in the field in the United States, including adoption of the distribution product as a standard of care in patients for which such use is supported by clinical results and health economic analyses. As a result of our arrangement with Fresenius Medical Care, we expect to be reliant on Fresenius Medical Care to undertake or assist with the development and commercialization, as well as, in some cases, obtaining and maintaining regulatory approval, of the</w:t>
      </w:r>
    </w:p>
    <w:p>
      <w:pPr>
        <w:sectPr>
          <w:pgSz w:w="11900" w:h="16838" w:orient="portrait"/>
          <w:cols w:equalWidth="0" w:num="1">
            <w:col w:w="9920"/>
          </w:cols>
          <w:pgMar w:left="980" w:top="12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distribution product in the field and for Fresenius Medical Care to do so in a manner consistent with applicable law and regulatory requirements outside of the United States. If Fresenius Medical Care otherwise fails to undertake or assist with the development or commercialization, or obtaining or maintaining regulatory approvals, of the distribution product in accordance with the terms of the distribution agreement, our business, prospects, operating results and financial condition would be adversely affected, perhaps materially.</w:t>
      </w:r>
    </w:p>
    <w:p>
      <w:pPr>
        <w:spacing w:after="0" w:line="13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Fresenius Medical Care also maintains certain discretionary termination rights on a country-by-country basis with respect to any country outside of the United States under the distribution agreement, as discussed in more detail in the section of this prospectus titled “Business — Distribution — Distribution Agreement with Fresenius Medical Care.” If the distribution agreement is terminated, we may not be able to secure an alternative distributor in the applicable country on a timely basis or at all, in which case our ability to generate revenues from the distribution product in such country would be harmed.</w:t>
      </w:r>
    </w:p>
    <w:p>
      <w:pPr>
        <w:spacing w:after="0" w:line="136"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addition, if Fresenius Medical Care fails to undertake or assist with the development or commercialization, or obtaining or maintaining regulatory approval, as applicable, of the distribution product in a manner consistent with applicable law and regulatory requirements, patient access to, and demand for, the distribution product could be reduced, our reputation could be damaged, and, under certain circumstances, we could be exposed to potential liability. Furthermore, while Fresenius Medical Care has certain commercialization diligence obligations, Fresenius Medical Care is not restricted from offering its own products and services or the products and services of other companies that compete with the distribution product, and may not undertake or assist with the development or commercialization of the distribution product effectively.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Funding</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never generated product revenue and have incurred significant losses to date. We expect to continue to incur losses for the foreseeable future and may never generate product revenue or be profitable.</w:t>
      </w:r>
    </w:p>
    <w:p>
      <w:pPr>
        <w:spacing w:after="0" w:line="13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Since inception, we have generated no product revenue, and prior to receipt of marketing approval from regulatory authorities, we will be unable to do so. We incurred net losses of $66.5 million and $85.4 million for the years ended December 31, 2020 and 2019, respectively, and $37.5 million and $32.6 million for the six months ended June 30, 2021 and 2020, respectively. As of December 31, 2020 and June 30, 2021, we had an accumulated deficit of $388.1 million and $425.7 million, respectively. Up to the date of the consummation of the Business Combination, we financed our operations primarily through the sale of equity securities and convertible debt and, to a lesser extent, through grants from governmental agencies. We have devoted substantially all of our financial resources and efforts to research and development, including preclinical studies and clinical trials and development of manufacturing technology, and we anticipate that our expenses will continue to increase over the next several years as we continue these activities. Our V005 and V007 trials are currently enrolling, and we currently intend to submit a BLA to the FDA relating to vascular trauma in 2022 and a supplement for AV access for hemodialysis in 2022. We also intend to continue scaling out our manufacturing facility to satisfy potential demand if the FDA approves our BLA, advancing preclinical and clinical development of additional clinical applications for our HAVs and funding our operations. Accordingly, we expect to continue to incur substantial operating losses for the foreseeable future, which may fluctuate significantly from quarter-to-quarter and year-to-year.</w:t>
      </w:r>
    </w:p>
    <w:p>
      <w:pPr>
        <w:spacing w:after="0" w:line="146"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To become and remain profitable, we must succeed in obtaining marketing approval for our HAVs in the United States, in commercializing our HAVs, and in developing and commercializing additional product candidates that generate significant revenue. We may never succeed in these activities and, even if we do, may never generate revenue that is sufficient to achieve profitability.</w:t>
      </w:r>
    </w:p>
    <w:p>
      <w:pPr>
        <w:spacing w:after="0" w:line="10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Our failure to become and remain profitable would depress the value of our company and could impair our ability to maintain our research and development efforts, expand our business, diversify our product offerings or even continue our operations. A decline in the value of Humacyte could also cause you to lose all or part of your investment in our securities.</w:t>
      </w:r>
    </w:p>
    <w:p>
      <w:pPr>
        <w:spacing w:after="0" w:line="16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tax credit carryforwards to offset future taxable income may be subject to certain limitations.</w:t>
      </w:r>
    </w:p>
    <w:p>
      <w:pPr>
        <w:spacing w:after="0" w:line="13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of December 31, 2020, we had net operating loss carryforwards for federal and state tax purposes of approximately $232.7 million and $232.6 million, respectively, which begin to expire in 2025. In addition, we had tax credit carryforwards for federal and state tax purposes of approximately $10.7 million and $15.1 million, respectively, as of December 31, 2020, which begin to expire in 2021. The future utilization of net operating loss and tax credit carryforwards may be limited due to changes in ownership. In general, if we experience a greater than 50% aggregate change in ownership of certain significant stockholders or groups over a three-year period (which constitutes an ownership change under Section 382 of the Internal Revenue Code of 1986, as amended (the “Code”), utilization of our pre-change net operating loss carryforwards is subject to an annual limitation under Section 382 of the Code (and</w:t>
      </w:r>
    </w:p>
    <w:p>
      <w:pPr>
        <w:sectPr>
          <w:pgSz w:w="11900" w:h="16838" w:orient="portrait"/>
          <w:cols w:equalWidth="0" w:num="1">
            <w:col w:w="9920"/>
          </w:cols>
          <w:pgMar w:left="980" w:top="12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similar state laws). The annual limitation generally is determined by multiplying the value of our stock at the time of such ownership change (subject to certain adjustments) by the applicable long-term tax-exempt rate. Such limitations may result in expiration of a portion of the pre-change net operating loss carryforwards before utilization and may be substantial. In the past we may have experienced, and in the future may experience, ownership changes as a result of subsequent shifts in our stock ownership. As a result, if we earn net taxable income, our ability to use our pre-change net operating loss carryforwards to offset United States federal taxable income may be subject to limitations, which could potentially result in increased future tax liability to us.</w:t>
      </w:r>
    </w:p>
    <w:p>
      <w:pPr>
        <w:spacing w:after="0" w:line="13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may need to raise additional funding, which may not be available on acceptable terms, or at all, and any failure to obtain capital when needed may force us to delay, limit or terminate our product development or commercialization efforts.</w:t>
      </w:r>
    </w:p>
    <w:p>
      <w:pPr>
        <w:spacing w:after="0" w:line="83"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expect to incur significant expenses in connection with our ongoing activities as we seek to (i) scale out our manufacturing facility to satisfy potential demand if our HAVs receive marketing approval in the United States, (ii) continue our preclinical and clinical development efforts, including the ongoing clinical trials, and (iii) obtain marketing approval for our 6 millimeter HAV, and, if marketing approval is obtained, to commercialize our HAVs for one or more approved indications. We will need additional funding in connection with these activities. Our future capital requirements will depend on many factors, including:</w:t>
      </w:r>
    </w:p>
    <w:p>
      <w:pPr>
        <w:spacing w:after="0" w:line="136"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progress and results of our clinical trials and interpretation of those results by the FDA and other regulatory authorities;</w:t>
      </w:r>
    </w:p>
    <w:p>
      <w:pPr>
        <w:spacing w:after="0" w:line="209" w:lineRule="exact"/>
        <w:rPr>
          <w:rFonts w:ascii="Arial" w:cs="Arial" w:eastAsia="Arial" w:hAnsi="Arial"/>
          <w:sz w:val="17"/>
          <w:szCs w:val="17"/>
          <w:color w:val="auto"/>
        </w:rPr>
      </w:pPr>
    </w:p>
    <w:p>
      <w:pPr>
        <w:ind w:left="680" w:right="48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 particularly for approval of our HAVs in the United States;</w:t>
      </w:r>
    </w:p>
    <w:p>
      <w:pPr>
        <w:spacing w:after="0" w:line="129"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additional product candidates;</w:t>
      </w:r>
    </w:p>
    <w:p>
      <w:pPr>
        <w:spacing w:after="0" w:line="129" w:lineRule="exact"/>
        <w:rPr>
          <w:rFonts w:ascii="Arial" w:cs="Arial" w:eastAsia="Arial" w:hAnsi="Arial"/>
          <w:sz w:val="18"/>
          <w:szCs w:val="18"/>
          <w:color w:val="auto"/>
        </w:rPr>
      </w:pPr>
    </w:p>
    <w:p>
      <w:pPr>
        <w:ind w:left="680" w:right="100" w:hanging="321"/>
        <w:spacing w:after="0" w:line="342"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83" w:lineRule="exact"/>
        <w:rPr>
          <w:rFonts w:ascii="Arial" w:cs="Arial" w:eastAsia="Arial" w:hAnsi="Arial"/>
          <w:sz w:val="16"/>
          <w:szCs w:val="16"/>
          <w:color w:val="auto"/>
        </w:rPr>
      </w:pPr>
    </w:p>
    <w:p>
      <w:pPr>
        <w:ind w:left="680" w:right="46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revenues, if any, that we receive from commercial sales of any product candidates for which we receive marketing approval; and</w:t>
      </w:r>
    </w:p>
    <w:p>
      <w:pPr>
        <w:spacing w:after="0" w:line="143"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3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As of December 31, 2020 and June 30, 2021, we had $39.9 million and $29.0 million, respectively, in cash and cash equivalents. Based upon our current operating plan, and giving effect to the $223.5 million in net proceeds from the Business Combination and PIPE Investment, we believe that our cash and cash equivalents will be sufficient to fund our operations, including clinical trial expenses and capital expenditure requirements, for at least 12 months from the date of this prospectus.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Pursuant to the terms of our outstanding indebtedness, we may be limited in its ability to incur future debt.</w:t>
      </w:r>
    </w:p>
    <w:p>
      <w:pPr>
        <w:spacing w:after="0" w:line="19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March 2021, Legacy Humacyte entered into a Loan and Security Agreement (the “Loan Agreement”) with Silicon Valley Bank and SVB Innovation Credit Fund VIII, L.P., which provides a term loan facility of up to $50.0 million with a maturity date of March 1, 2025. We became a co-borrower under the Loan Agreement in connection with the Business Combination. The obligations of Humacyte and Legacy Humacyte (now known as Humacyte Global, Inc.) under the Loan Agreement are secured by substantially all of their assets, except for their intellectual property.</w:t>
      </w:r>
    </w:p>
    <w:p>
      <w:pPr>
        <w:spacing w:after="0" w:line="14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Pursuant to the terms of the Loan Agreement, we are limited in our ability to incur additional indebtedness. In addition, a failure to comply with the covenants under the Loan Agreement could result in an event of default and an acceleration of amounts due. If an event of default occurs that is not waived by the lenders, and the lenders accelerate any amounts due, we may not be able to make accelerated payments, and the lenders could seek to enforce their security interests in the collateral securing such indebtedness, which could have a material adverse effect on our business and results of operations. Our payment obligations under the Loan Agreement reduce cash available to fund working capital, capital expenditures, research and development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general economy, limit our flexibility in planning for, or reacting to, changes in our business and the industry and prevent us from taking advantage of business opportunities as they arise. If market rates increase, we will have to pay additional interest on this indebtedness, which would further reduce cash available for our other business needs.</w:t>
      </w:r>
    </w:p>
    <w:p>
      <w:pPr>
        <w:spacing w:after="0" w:line="15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financing will be available to us in amounts sufficient to enable us to make required and timely payments on our indebtedness, or to fund our operations.</w:t>
      </w:r>
    </w:p>
    <w:p>
      <w:pPr>
        <w:spacing w:after="0" w:line="8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To date, we have not requested or obtained marketing approval for, or commercialized, any of our product candidates, which may make it difficult for you to evaluate the success of our business to date and to assess our future viability.</w:t>
      </w:r>
    </w:p>
    <w:p>
      <w:pPr>
        <w:spacing w:after="0" w:line="10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a development-stage company. Our operations to date, with respect to the development of our product candidates, have been limited to organizing and staffing our company, business planning, raising capital, identifying markets for our product candidates, undertaking preclinical studies and clinical trials of our product candidates for various potential indications and establishing research and development, manufacturing and distributing collaborations. We have not yet demonstrated the ability to obtain marketing approval for a product, to manufacture an approved product at commercial scale or to successfully commercialize an approved product. Consequently, any predictions you make about our financial prospects may not be as accurate as they could be if we had received marketing approval and begun commercializing a product.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not obtain marketing approval from the FDA for any of our product candidates even if we successfully complete our clinical trials, which failure would materially harm our business, prospects, operating results and financial condition.</w:t>
      </w:r>
    </w:p>
    <w:p>
      <w:pPr>
        <w:spacing w:after="0" w:line="10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Prior to commercialization, biologics, like our HAVs, require the submission of a BLA to, and approval of the BLA by, the FDA. A BLA must be supported by extensive preclinical and clinical data, as well as extensive information regarding chemistry, manufacturing and controls (“CMC”), sufficient to demonstrate the safety, purity, potency and effectiveness of the applicable product candidate to the satisfaction of the FDA. We have never submitted a BLA for approval or otherwise obtained FDA approval for any of our product candidates.</w:t>
      </w:r>
    </w:p>
    <w:p>
      <w:pPr>
        <w:spacing w:after="0" w:line="14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BLA approval process is expensive and uncertain, it may take several years to complete, and we may not be successful in obtaining such approval. The FDA has substantial discretion in the approval process. The number and types of preclinical studies and clinical trials that will be required for BLA approval varies depending on the product candidate, the disease or the condition that the product candidate is designed to target and the regulations applicable to any particular product candidate. The FDA could delay, limit or deny approval of our product candidates for many reasons, including because it:</w:t>
      </w:r>
    </w:p>
    <w:p>
      <w:pPr>
        <w:spacing w:after="0" w:line="149"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not deem the product candidate to be adequately safe or effective;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not find the data from preclinical studies, clinical trials or CMC data sufficient to support approval;</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not approve the manufacturing processes or facilities associated with the product candidate;</w:t>
      </w:r>
    </w:p>
    <w:p>
      <w:pPr>
        <w:spacing w:after="0" w:line="198"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conclude that the long-term integrity of the product candidate for which approval is being sought has not been sufficiently demonstrated;</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not accept a submission due to, among other reasons, the content or formatting of the submission.</w:t>
      </w:r>
    </w:p>
    <w:p>
      <w:pPr>
        <w:spacing w:after="0" w:line="19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some cases, the FDA may agree to an SPA for a clinical trial, when it determines that the trial is adequately designed to provide necessary data to support a license application. Even in such cases, however, the FDA may subsequently abandon the SPA if a substantial scientific issue essential to determining the safety or effectiveness of the product candidate has been identified after the testing has begun. In addition, if a company alters the protocol for a trial, the SPA may no longer apply. Further, the results of pivotal clinical trials are always subject to thorough FDA review. Even highly significant clinical trial results are no guarantee of approval.</w:t>
      </w:r>
    </w:p>
    <w:p>
      <w:pPr>
        <w:spacing w:after="0" w:line="12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currently intend to submit a BLA to the FDA relating to vascular trauma in 2022 and a supplement for AV access in hemodialysis in 2022 based on the results of our V005 and V007 trials. The FDA may decline to approve our 6 millimeter HAV on the basis of these or other trial results, or for other reasons.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Even if we obtain and maintain approval for our HAVs from the FDA, we may never obtain approval for our HAVs outside of the United States, where the regulatory process is also complex and subject to significant uncertainty. Failure to do so would limit our market opportunities and adversely affect our business.</w:t>
      </w:r>
    </w:p>
    <w:p>
      <w:pPr>
        <w:spacing w:after="0" w:line="15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Even if we receive FDA approval to market any biologic in the United States, we must comply with the numerous and varying regulatory and compliance related requirements of other countries, including the submission of extensive preclinical and clinical data, manufacturing and quality information regarding the process and facility, scientific data characterizing the relevant product candidate and other supporting data in order to establish safety and effectiveness. 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marketing approval process in other countries may include all of the risks associated with FDA approval as well as additional, presently unanticipated, risks. Marketing approval in one country does not ensure marketing approval in another, but a failure or delay in obtaining marketing approval in one country may negatively impact the regulatory process in others, including the risk that our product candidates may not be approved for all indications requested and that such approval may be subject to limitations on the indicated uses for which the product candidate may be marketed.</w:t>
      </w:r>
    </w:p>
    <w:p>
      <w:pPr>
        <w:spacing w:after="0" w:line="14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may in the future seek orphan drug designation for the use of our HAVs to treat congenital pediatric heart defects. We may be unable to obtain such designation or to maintain the benefits associated with orphan drug designation, including market exclusivity, which may cause our revenue, if any, to be reduced.</w:t>
      </w:r>
    </w:p>
    <w:p>
      <w:pPr>
        <w:spacing w:after="0" w:line="143"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of 200,000 or more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 Even if one of our product candidates receives orphan exclusivity, the FDA can still approve other drugs that have a different active ingredient for use in treating the same indication or disease, as well as the same drug or biologic for a different indication or disease. The FDA can also approve the same drug or biologic for the same indication or disease if the subsequent drug or biologic demonstrates clinical superiority. Furthermore, the FDA can waive orphan exclusivity if we are unable to manufacture sufficient supply of our product.</w:t>
      </w:r>
    </w:p>
    <w:p>
      <w:pPr>
        <w:spacing w:after="0" w:line="14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Even if we seek “rolling review” or priority review, the review time for BLAs for our product candidates may be longer and more expensive than for other products because of the novelty and complexity of our product candidates, which would delay our ability to begin commercialization and earn product revenues.</w:t>
      </w:r>
    </w:p>
    <w:p>
      <w:pPr>
        <w:spacing w:after="0" w:line="143"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The marketing approval process for novel product candidates such as ours may take longer to complete and be more expensive than the process for other, better known or extensively studied pharmaceutical or other product candidates. We may be eligible for a “rolling review” of a BLA, which means we may submit completed modules of a BLA rather than waiting until every module of the BLA is completed before submitting the full BLA for FDA review. Such “rolling review” is common for indications that are part of one of FDA’s expedited programs, such as our 6 millimeter HAV, which has received Fast Track and RMAT designations for AV access in hemodialysis. The FDA may also designate one or more of our product candidates for priority review after we submit a BLA. Under priority review, the FDA’s goal is to review an application within six months of the 60-day filing date, compared to ten months for a standard review. Even if we are able to utilize a “rolling review” and/or the FDA designates one or more of our product candidates for priority review, it may not lead to a shorter review period. The FDA could also decide to consult an advisory committee as part of our BLA review process, which often leads to a longer review time. We are not permitted to commercialize our product candidates in the United States until they have been approved by the FDA, and if we experience a lengthier review period than expected, our ability to generate product revenues would be materially harmed.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Inadequate funding for the FDA and other government agencies, including from government shut downs, global health concerns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6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policy changes, and the risk of slowdowns and shutdowns due to the COVID-19 pandemic. Average review times at the FDA have fluctuated in recent years as a result. Disruptions at the FDA and other agencies may also slow the time necessary for new product candidates to be reviewed and/or approved by necessary government agencies, which could adversely affect our business. In addition, government funding of other government agencies on which our operations may rely, including those that fund research and development activities, is subject to the political process, which is inherently fluid and unpredictable.</w:t>
      </w:r>
    </w:p>
    <w:p>
      <w:pPr>
        <w:spacing w:after="0" w:line="13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3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addition, we may experience delays or rejections based upon additional government regulation from future legislation or administrative action, or changes in regulatory agency policy during the period of product development, clinical trials and the review process. As of June 23, 2020, the FDA noted it was continuing to ensure timely reviews of applications for medical products during the COVID-19 pandemic in line with its user fee performance goals and conducting mission critical domestic inspections to ensure compliance of manufacturing facilities with FDA quality standards. However, the FDA may not be able to maintain this pace and delays or setbacks are possible in the future, including where a pre-approval inspection or an inspection of clinical sites is required and due to the COVID-19 pandemic and travel restrictions FDA is unable to complete such required inspections during the review period. On March 18, 2020, the FDA announced its intention to temporarily postpone routine surveillance inspections of domestic manufacturing facilities and provided guidance regarding the conduct of clinical trials which the FDA continues to update. As of July 2020, FDA began utilizing a risk-based prioritization system to assist in determining when and where it is safest to conduct such inspections based on data about the virus’ trajectory in a given state and locality and the rules and guidelines that are put in place by state and local governments. In August 2020, FDA published guidance outlining its approach to facility inspections during the COVID-19 pandemic. According to the guidance, FDA intends to, on a case-by-case basis, conduct only mission critical inspections, or, where possible to do so safely, resume prioritized domestic inspections, which generally include pre-approval inspections. FDA plans to use similar criteria for both domestic and foreign inspections to determine whether an inspection is mission critical. According to the guidance, should FDA determine that an inspection is necessary for approval and an inspection cannot be completed during the review cycle due to restrictions on travel, FDA has stated that it generally intends to issue a complete response letter. Further, if there is inadequate information to make a determination on the acceptability of a facility, FDA intends to defer action on the application until an inspection can be completed. In 2020, several companies announced receipt of complete response letters due to the FDA’s inability to complete required inspections for their applications. Additionally,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we will be subject to ongoing regulatory obligations and continued regulatory review, which may result in significant additional expense and subject us to significant penalties if we fail to comply with applicable regulatory requirements.</w:t>
      </w:r>
    </w:p>
    <w:p>
      <w:pPr>
        <w:spacing w:after="0" w:line="143"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If we obtain marketing approval for any of our product candidates, the approved product will be subject to ongoing regulatory requirements from the FDA and, if applicable, non-U.S. regulatory authorities. Any marketing approval that we receive for our product candidates may be subject to limitations on the indicated uses for which the product may be marketed or contain requirements for potentially costly post-marketing follow-up trials to monitor the safety and efficacy of the product. The FDA could also approve our product candidates with a REMS, which could include significant restrictions on distribution and/or use of our products. In</w:t>
      </w:r>
    </w:p>
    <w:p>
      <w:pPr>
        <w:sectPr>
          <w:pgSz w:w="11900" w:h="16838" w:orient="portrait"/>
          <w:cols w:equalWidth="0" w:num="1">
            <w:col w:w="9920"/>
          </w:cols>
          <w:pgMar w:left="980" w:top="12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addition, if the FDA and non-U.S. regulatory authorities approve any of our product candidates, we will be subject to extensive and ongoing regulatory requirements by the FDA and other regulatory authorities with regard to the manufacturing, labelling, packaging, AE reporting, storage, advertising, distribution, promotion and recordkeeping for our products. If we, our product candidates or the manufacturing facilities for our product candidates fail to comply with regulatory requirements of the FDA and, if relevant, other non-U.S. regulatory authorities, we could be subject to administrative or judicially imposed sanctions, including the following:</w:t>
      </w:r>
    </w:p>
    <w:p>
      <w:pPr>
        <w:spacing w:after="0" w:line="134" w:lineRule="exact"/>
        <w:rPr>
          <w:sz w:val="20"/>
          <w:szCs w:val="20"/>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warning letters or untitled letters by regulatory authorities asserting that we are in violation of the law;</w:t>
      </w:r>
    </w:p>
    <w:p>
      <w:pPr>
        <w:spacing w:after="0" w:line="184" w:lineRule="exact"/>
        <w:rPr>
          <w:rFonts w:ascii="Arial" w:cs="Arial" w:eastAsia="Arial" w:hAnsi="Arial"/>
          <w:sz w:val="18"/>
          <w:szCs w:val="18"/>
          <w:color w:val="auto"/>
        </w:rPr>
      </w:pPr>
    </w:p>
    <w:p>
      <w:pPr>
        <w:ind w:left="680" w:right="68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injunctions or significant civil monetary penalties or pursuit by regulatory authorities of civil or criminal prosecutions and fines against us or our responsible officers;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suspension or withdrawal of marketing approval;</w:t>
      </w:r>
    </w:p>
    <w:p>
      <w:pPr>
        <w:spacing w:after="0" w:line="198"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suspension of any ongoing clinical trials or refusal by regulatory authorities to approve pending marketing applications or supplements to approved applications;</w:t>
      </w:r>
    </w:p>
    <w:p>
      <w:pPr>
        <w:spacing w:after="0" w:line="129"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seizure of products or refusal to allow us to enter into supply contracts, including government contracts, or to import or export products;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restrictions on operations, including marketing efforts, or restrictions that mandate costly new manufacturing requirements.</w:t>
      </w:r>
    </w:p>
    <w:p>
      <w:pPr>
        <w:spacing w:after="0" w:line="21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Any of these events could reduce market acceptance of any or our product candidates that had received marketing approval, substantially reduce our revenue, increase the costs of operating our business, and cause us significant reputational damage, among other consequences. If we ultimately receive approval for any product candidates in jurisdictions outside the U.S., we expect to be subject to similar ongoing regulatory oversight by the relevant foreign regulatory authorities.</w:t>
      </w:r>
    </w:p>
    <w:p>
      <w:pPr>
        <w:spacing w:after="0" w:line="13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products may be subject to product recalls that could harm our reputation and could materially and adversely affect our business, financial condition, operating results, cash flows and prospects. The FDA and other regulatory agencies strictly regulate the promotional claims that may be made about prescription products, if approved. In particular, while the FDA permits the dissemination of truthful and non-misleading information about an approved product, the FDA restricts our ability to promote a product for uses that are not approved by the FDA. The misuse or off-label use of our product may harm our reputation in the marketplace, result in injuries that lead to product liability suits or result in costly investigations, fines or sanctions by regulatory authorities if we are deemed to have engaged in the promotion of these uses, any of which could be costly to our business. We may also face risks in other non-U.S. jurisdictions from product recalls and advertising/promotion rules.</w:t>
      </w:r>
    </w:p>
    <w:p>
      <w:pPr>
        <w:spacing w:after="0" w:line="13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could also face product liability suits or regulatory delays due to defects in our products, which could be expensive and time-consuming and result in substantial damages payable by us and increases in our insurance rates.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Designation of our product candidates for expedited programs, such as Fast Track designation, Breakthrough Therapy Designation, or RMAT designation, or accelerated approval by the FDA, or priority designation by the Department of Defense, may not lead to a faster development or regulatory review or approval process, and even if granted, will not increase the likelihood that our product candidates will receive marketing approval.</w:t>
      </w:r>
    </w:p>
    <w:p>
      <w:pPr>
        <w:spacing w:after="0" w:line="14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2014, the FDA granted Fast Track designation for our 6 millimeter HAV for use in the creation of AV access for hemodialysis, and, in 2017, the FDA granted RMAT designation for our 6 millimeter HAV for the creation of vascular access for performing hemodialysis. We have not received designations pursuant to any of the FDA’s expedited programs for vascular trauma, peripheral arterial disease or our other indications, although we may in the future seek such designations if such product candidates meet the criteria for that designation. As a result, even if we submit a BLA for vascular repair, reconstruction and replacement, including in AV access in hemodialysis, our Fast Track and RMAT designations, and their attendant benefits, may not apply to this broader requested indication. In addition, even with one or more of these designations, we may not experience a faster development process, or faster review or approval, for our product candidates compared to product candidates that are not part of the expedited programs. Further, the FDA may withdraw a designation if it believes that the designation is no longer supported by data from our clinical development program. In addition, a product candidate may no longer demonstrate a potential to address unmet medical need if, for example, a new product is approved that addresses the same need, which could lead to loss of a designation. The loss of a designation under an expedited program, including a Fast Track designation, Breakthrough Therapy Designation, or RMAT designation, could significantly increase the costs of development and length of time required before we could seek marketing approval of such a product candidate.</w:t>
      </w:r>
    </w:p>
    <w:p>
      <w:pPr>
        <w:sectPr>
          <w:pgSz w:w="11900" w:h="16838" w:orient="portrait"/>
          <w:cols w:equalWidth="0" w:num="1">
            <w:col w:w="9900"/>
          </w:cols>
          <w:pgMar w:left="980" w:top="125" w:right="1019"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may seek accelerated approval for our HAV relating to vascular trauma. A product candidate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accelerated approval, the FDA may require that a sponsor of a product receiving accelerated approval perform adequate and well-</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controlled confirmatory clinical trials post-approval.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 Accelerated approval may also be withdrawn if, among other things, a confirmatory trial required to verify the predicted clinical benefit of the product fails to verify such benefit or if such trial is not conducted with due diligence.</w:t>
      </w:r>
    </w:p>
    <w:p>
      <w:pPr>
        <w:spacing w:after="0" w:line="151"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In addition, in 2018, our HAV product candidate was assigned a priority designation by the Secretary of Defense under Public Law 115-92. Similar to the designations described above that FDA may grant, a priority designation by the Department of Defense does not change the standards for approval but may expedite the development or approval process.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18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industry is highly regulated, and changes in or revisions to laws and regulations that make gaining coverage of and adequate reimbursement for our product candidates more difficult or subject to different criteria and standards may adversely impact our business, prospects, operating results and financial condition. In the United States, there have been and we expect there will continue to be a number of legislative, regulatory and other changes to the healthcare system to contain or reduce healthcare costs that may adversely affect our ability to set a price we believe is fair for our product candidates, our ability to generate revenues and achieve or maintain profitability, and the availability of capital.</w:t>
      </w:r>
    </w:p>
    <w:p>
      <w:pPr>
        <w:spacing w:after="0" w:line="16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Federal and state lawmakers regularly propose and, at times, enact legislation that would result in significant changes to the healthcare system, some of which are intended to contain or reduce the costs of medical products and services. For example, the Patient Protection and Affordable Care Act (the “ACA”), enacted in 2010 and amended by the Health Care and Education Reconciliation Act, contains a number of provisions that were intended to broaden access to health insurance, reduce or constrain the growth of healthcare spending, enhance remedies for fraud and abuse, add transparency requirements for the healthcare and health insurance industries, impose new taxes and fees on the health industry, and impose additional health policy reforms. The Bipartisan Budget Act of 2018, among other things, amended the ACA to close the coverage gap in most Medicare drug plans, commonly referred to as the “donut hole,” in part by requiring greater discounts from manufacturers. Various members of Congress have expressed a desire to repeal all or portions of the ACA, and in December 2017, portions of the ACA dealing with the individual mandate insurance requirement were effectively repealed by the Tax Cuts and Jobs Act of 2017. In June 2021 the United States Supreme Court held that the individual plaintiffs and states lacked standing to challenge the constitutionality of the ACA. On February 10, 2021, the Biden administration withdrew the federal government’s support for overturning the ACA. Further, on January 28, 2021, President Biden issued an executive order to initiate a special enrollment period for purposes of obtaining health insurance coverage through the ACA marketplace, which ran until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ACA.Additionally, in December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Since then, the ACA risk adjustment program payment parameters have been updated annually. In addition, CMS published a final rule that gave states greater flexibility, starting in 2020, in setting benchmarks for insurers in the individual and small group marketplaces, which may have the effect of relaxing the essential health benefits required under the ACA for plans sold through such marketplaces. At this time, it remains unclear whether there will be further changes made to the ACA. The ACA, as currently enacted or as amended in the future, may adversely affect our business and operating results, and we do not know how future federal or state legislative or administrative changes relating to healthcare reform will affect our business. Other legislative changes that have been adopted since enactment of the ACA could also affect potential pricing and utilization of our product candidates.</w:t>
      </w:r>
    </w:p>
    <w:p>
      <w:pPr>
        <w:spacing w:after="0" w:line="349"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addition, the Secretary of Health and Human Services, various members of Congress and CMS have made statements and issued proposals regarding containment of drug prices through various means, including enabling CMS to negotiate U.S. drug pricing to align with foreign drug pricing, pricing transparency measures, reform of drug rebate programs, and conditioning coverage and reimbursement of certain drugs upon the prior failure or inadequacy of less expensive therapies, sometimes referred to as “step therapy.” Additionally, there has been increasing legislative and enforcement interest in the United States with respect to specialty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At the federal level,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for drugs. 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CMS altered the fiscal year 2019 and 2018 reimbursement formula on specified covered outpatient drugs (“SCODs”). A SCOD drug product may also be a covered outpatient drug under the 340B program, which allows 340B-participating hospitals to purchase the drug product at the 340B discounted rate and, when prescribing it to a Medicare patient, be reimbursed at the Medicare rate. Under the prior Medicare reimbursement rate, this created a significant, positive gap for 340B-participating health care facilities. CMS’s change in the Medicare reimbursement rate for SCODs significantly impacted, or eliminated, the positive gap for 340B-participating health care facilities. On December 27, 2018, the District Court for the District of Columbia invalidated the formula change under Medicare and the court ruled this change was not an “adjustment” that was within the Secretary’s discretion to make but was instead a fundamental change in the reimbursement calculation. However, on July 31, 2020, the U.S. Court of Appeals for the District of Columbia Circuit overturned the district court’s decision and found that the changes were within the Secretary’s authority. On September 14, 2020, the plaintiffs-appellees filed a Petition for Rehearing En Banc (</w:t>
      </w:r>
      <w:r>
        <w:rPr>
          <w:rFonts w:ascii="Arial" w:cs="Arial" w:eastAsia="Arial" w:hAnsi="Arial"/>
          <w:sz w:val="16"/>
          <w:szCs w:val="16"/>
          <w:i w:val="1"/>
          <w:iCs w:val="1"/>
          <w:color w:val="auto"/>
        </w:rPr>
        <w:t>i.e.</w:t>
      </w:r>
      <w:r>
        <w:rPr>
          <w:rFonts w:ascii="Arial" w:cs="Arial" w:eastAsia="Arial" w:hAnsi="Arial"/>
          <w:sz w:val="16"/>
          <w:szCs w:val="16"/>
          <w:color w:val="auto"/>
        </w:rPr>
        <w:t>, before the full court), but was denied on October 16, 2020. On July 2, 2021, the Supreme Court agreed to hear the case. It is unlikely the Medicare rate litigation will impact 340B pricing for our approved products in the future, but it possible it could affect covered hospitals who might purchase our products.</w:t>
      </w:r>
    </w:p>
    <w:p>
      <w:pPr>
        <w:spacing w:after="0" w:line="12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FDA also released a final rule on September 24, 2020, which went into effect on November 30, 2020, providing guidance for states to build and submit importation plans for drugs from Canada. 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2020 rule also creates a new safe harbor for price reductions reflected at the point-of-sale, as well as a safe harbor for certain fixed fee arrangements between pharmacy benefit managers and manufacturers. Pursuant to a court order, HHS subsequently delayed the effective date for aspects of the rule, including those relating to pharmacy benefit managers, until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2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ultimate content, timing, or effect of any healthcare reform legislation or executive order or the impact that the resulting changes may have on us is uncertain, but we expect there will continue to be legislative and regulatory proposals at the federal and state levels directed at containing or lowering the cost of health care.</w:t>
      </w:r>
    </w:p>
    <w:p>
      <w:pPr>
        <w:spacing w:after="0" w:line="1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prospects, operating results and financial condition could be adversely affected.</w:t>
      </w:r>
    </w:p>
    <w:p>
      <w:pPr>
        <w:spacing w:after="0" w:line="13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Certain federal and state healthcare laws and regulations pertaining to fraud and abuse and patients’ rights are and will be applicable to our business even though we do not and will not control referrals of healthcare services. We could also be subject to patient privacy regulation by both the U.S. Government and the states in which we conduct our business. Our employees, independent contractors, consultants, commercial partners and vendors may engage in misconduct or other improper activities, including non-compliance with regulatory standards and requirements. The regulations that may affect our ability to operate include, without limitation:</w:t>
      </w:r>
    </w:p>
    <w:p>
      <w:pPr>
        <w:spacing w:after="0" w:line="121" w:lineRule="exact"/>
        <w:rPr>
          <w:sz w:val="20"/>
          <w:szCs w:val="20"/>
          <w:color w:val="auto"/>
        </w:rPr>
      </w:pPr>
    </w:p>
    <w:p>
      <w:pPr>
        <w:ind w:left="680" w:right="40" w:hanging="321"/>
        <w:spacing w:after="0" w:line="25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even if the person does not have actual knowledge of the statute or specific intent to violate it;</w:t>
      </w:r>
    </w:p>
    <w:p>
      <w:pPr>
        <w:spacing w:after="0" w:line="147" w:lineRule="exact"/>
        <w:rPr>
          <w:rFonts w:ascii="Arial" w:cs="Arial" w:eastAsia="Arial" w:hAnsi="Arial"/>
          <w:sz w:val="18"/>
          <w:szCs w:val="18"/>
          <w:color w:val="auto"/>
        </w:rPr>
      </w:pPr>
    </w:p>
    <w:p>
      <w:pPr>
        <w:ind w:left="680" w:hanging="321"/>
        <w:spacing w:after="0" w:line="308" w:lineRule="auto"/>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False Claims Act, which prohibits, among other things, individuals or entities from knowingly presenting, or causing to be presented, false claims, or knowingly using false statements, to obtain payment from the U.S. Government;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30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43" w:lineRule="exact"/>
        <w:rPr>
          <w:rFonts w:ascii="Arial" w:cs="Arial" w:eastAsia="Arial" w:hAnsi="Arial"/>
          <w:sz w:val="18"/>
          <w:szCs w:val="18"/>
          <w:color w:val="auto"/>
        </w:rPr>
      </w:pPr>
    </w:p>
    <w:p>
      <w:pPr>
        <w:ind w:left="680" w:right="40" w:hanging="321"/>
        <w:spacing w:after="0" w:line="301" w:lineRule="auto"/>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governmental program;</w:t>
      </w:r>
    </w:p>
    <w:p>
      <w:pPr>
        <w:spacing w:after="0" w:line="116" w:lineRule="exact"/>
        <w:rPr>
          <w:rFonts w:ascii="Arial" w:cs="Arial" w:eastAsia="Arial" w:hAnsi="Arial"/>
          <w:sz w:val="16"/>
          <w:szCs w:val="16"/>
          <w:color w:val="auto"/>
        </w:rPr>
      </w:pPr>
    </w:p>
    <w:p>
      <w:pPr>
        <w:ind w:left="680" w:right="60" w:hanging="321"/>
        <w:spacing w:after="0" w:line="271" w:lineRule="auto"/>
        <w:tabs>
          <w:tab w:leader="none" w:pos="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including the provision commonly referred to as the Physician Payments Sunshine Act and its implementing regulations, which require applicable manufacturers of drugs, devices, biologics and medical supplies for which payment is available under Medicare, Medicaid, or the State Children’s Health Insurance Program to report annually to CMS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 Effective January 1, 2022, these reporting obligations will extend to include transfers of value made to certain non-physician providers such as physician assistants and nurse practitioners;</w:t>
      </w:r>
    </w:p>
    <w:p>
      <w:pPr>
        <w:spacing w:after="0" w:line="137" w:lineRule="exact"/>
        <w:rPr>
          <w:rFonts w:ascii="Arial" w:cs="Arial" w:eastAsia="Arial" w:hAnsi="Arial"/>
          <w:sz w:val="17"/>
          <w:szCs w:val="17"/>
          <w:color w:val="auto"/>
        </w:rPr>
      </w:pPr>
    </w:p>
    <w:p>
      <w:pPr>
        <w:ind w:left="680" w:right="26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143" w:lineRule="exact"/>
        <w:rPr>
          <w:rFonts w:ascii="Arial" w:cs="Arial" w:eastAsia="Arial" w:hAnsi="Arial"/>
          <w:sz w:val="18"/>
          <w:szCs w:val="18"/>
          <w:color w:val="auto"/>
        </w:rPr>
      </w:pPr>
    </w:p>
    <w:p>
      <w:pPr>
        <w:ind w:left="680" w:right="48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29" w:lineRule="exact"/>
        <w:rPr>
          <w:rFonts w:ascii="Arial" w:cs="Arial" w:eastAsia="Arial" w:hAnsi="Arial"/>
          <w:sz w:val="18"/>
          <w:szCs w:val="18"/>
          <w:color w:val="auto"/>
        </w:rPr>
      </w:pPr>
    </w:p>
    <w:p>
      <w:pPr>
        <w:ind w:left="680" w:right="80" w:hanging="321"/>
        <w:spacing w:after="0" w:line="263"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(collectively, “HIPAA”), which governs the conduct of certain electronic healthcare transactions and protects the security and privacy of protected health information; and</w:t>
      </w:r>
    </w:p>
    <w:p>
      <w:pPr>
        <w:spacing w:after="0" w:line="143" w:lineRule="exact"/>
        <w:rPr>
          <w:rFonts w:ascii="Arial" w:cs="Arial" w:eastAsia="Arial" w:hAnsi="Arial"/>
          <w:sz w:val="18"/>
          <w:szCs w:val="18"/>
          <w:color w:val="auto"/>
        </w:rPr>
      </w:pPr>
    </w:p>
    <w:p>
      <w:pPr>
        <w:ind w:left="680" w:right="20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regulations that apply to us, we may be subject to penalties, including civil and criminal penalties, damages, fines, exclusion from participating in federal health care programs and the curtailment or restructuring of our operations. Any penalties, damages, fines, curtailment, exclusion, or restructuring of our operations could adversely affect our ability to operate our business, prospects, operating results and financial condition.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and fraud and abuse laws may prove costly.</w:t>
      </w:r>
    </w:p>
    <w:p>
      <w:pPr>
        <w:spacing w:after="0" w:line="15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143"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Our internal computer systems (including our LUNA200 manufacturing system)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have previously been, and expect to remain, the target of cyber-attacks. As we become more dependent on information technologies to conduct our operations, cyber incidents, including deliberate attacks, such as ransomware attacks, and attempts to gain unauthorized access to computer systems (including our LUNA200 manufacturing system)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the effect of these incidents has not historically been material to our results of operations, financial condition or prospects, cyber threats are persistent and constantly evolving. Such threats have increased in frequency, scope and potential impact in recent years, which increase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 While we are not currently aware of any impact that the SolarWinds supply chain attack had on our business, this is a recent event, and the scope of the attack is yet unknown. Therefore, there is residual risk that we may experience a security breach arising from the SolarWinds supply chain attack.</w:t>
      </w:r>
    </w:p>
    <w:p>
      <w:pPr>
        <w:spacing w:after="0" w:line="14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13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and penalties or incur costs that could harm our business.</w:t>
      </w:r>
    </w:p>
    <w:p>
      <w:pPr>
        <w:spacing w:after="0" w:line="13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In the event of contamination or injury resulting from our use or production of hazardous materials, we could be held liable for any resulting damages even if we contract with a third party for their disposal, and any liability could exceed our resources. We also could incur significant costs associated with civil or criminal fines and penalties resulting from contamination or injury from our use or production of hazardous materials. Although we maintain workers’ compensation insurance to cover us for costs and expenses we may incur due to injuries to our employees resulting from the use or production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materials.</w:t>
      </w:r>
    </w:p>
    <w:p>
      <w:pPr>
        <w:spacing w:after="0" w:line="155"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In addition, we may be required to incur substantial costs to comply with future environmental, health and safety laws and regulations. Compliance with such laws and regulations may divert resources away from our research, development and manufacturing efforts. Failure to comply with these laws and regulations also may result in substantial fines, penalties or other sanctions.</w:t>
      </w:r>
    </w:p>
    <w:p>
      <w:pPr>
        <w:spacing w:after="0" w:line="10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Failure to comply with health and data protection laws and regulations could lead to government enforcement actions (which could include civil or criminal penalties), private litigation and adverse publicity and could negatively affect our operating results and business.</w:t>
      </w:r>
    </w:p>
    <w:p>
      <w:pPr>
        <w:spacing w:after="0" w:line="14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w:t>
      </w:r>
      <w:r>
        <w:rPr>
          <w:rFonts w:ascii="Arial" w:cs="Arial" w:eastAsia="Arial" w:hAnsi="Arial"/>
          <w:sz w:val="16"/>
          <w:szCs w:val="16"/>
          <w:i w:val="1"/>
          <w:iCs w:val="1"/>
          <w:color w:val="auto"/>
        </w:rPr>
        <w:t>i.e.</w:t>
      </w:r>
      <w:r>
        <w:rPr>
          <w:rFonts w:ascii="Arial" w:cs="Arial" w:eastAsia="Arial" w:hAnsi="Arial"/>
          <w:sz w:val="16"/>
          <w:szCs w:val="16"/>
          <w:color w:val="auto"/>
        </w:rPr>
        <w:t>, laws and regulations that address privacy and data security). In the United States, numerous federal and state laws and regulations, including federal health information privacy laws, state data breach notification laws, state privacy and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Depending on the facts and circumstances, we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could be subject to civil or criminal penalties if we obtain, use, or disclose individually identifiable health information maintained by a HIPAA-covered entity in a manner that is not authorized or permitted by HIPAA.</w:t>
      </w:r>
    </w:p>
    <w:p>
      <w:pPr>
        <w:spacing w:after="0" w:line="143"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International data protection laws, including Regulation 2016/679, known as the General Data Protection Regulation (“GDPR”), may also apply to health-related and other personal information obtained outside of the United States. The GDPR will increase our responsibility and liability in relation to personal data that we process, and we may be required to put in place additional mechanisms to ensure compliance with the new EU (which also includes the European Economic Area, or “EEA”) data protection rules. Further, the United Kingdom’s vote in favor of exiting the EU, often referred to as Brexit, has created more uncertainty with regard to data protection regulation in the United Kingdom (the “UK”). The UK retained the GDPR in UK law, which sits alongside the amended version of the Data Protection Act 2018. The EU adopted an adequacy decision so data can be transferred from the EU to the UK. Additionally, there are no new requirements for transfer from the UK to the EU. However, going forward, the EU and UK’s data protection rules could diverge and data transfers may not be possible and/or new arrangements may need to be put in place. In particular, it is unclear to what extent the UK regime will begin diverging from the GDPR and how data transfers to and from the UK will be regulated.</w:t>
      </w:r>
    </w:p>
    <w:p>
      <w:pPr>
        <w:spacing w:after="0" w:line="12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California recently enacted the California Consumer Privacy Act (“CCPA”), which creates new individual privacy rights for California consumers (as defined in the law) and places increased privacy and security obligations on entities handling personal data of consumers or households. The CCPA became effective on January 1, 2020, but the California Consumer Rights Act (“CPRA”) was recently enacted to strengthen elements of the CCPA effective January 1, 2023. In addition, there are a number of other states that have considered similar privacy proposals, with states like Virginia and Colorado enacting their own privacy laws (also scheduled to come into effect in January 1, 2023 and July 1, 2023, respectively). These privacy laws may impact our business activities and exemplify the vulnerability of our business to the evolving regulatory environment related to personal data.</w:t>
      </w:r>
    </w:p>
    <w:p>
      <w:pPr>
        <w:spacing w:after="0" w:line="13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13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Natural disasters such as hurricanes could severely disrupt our operations and have a material adverse effect on our business, prospects, operating results and financial condition. In addition, flooding, lightning strikes, meteor strikes, and polar vortices could affect our building operations. If a natural disaster, power outage or other unforeseen event occurred that prevented us from using all or a significant portion of our headquarters, that damaged critical infrastructure, such as our in-house manufacturing facility, or that otherwise significantly disrupted our operations, it may be difficult or, in certain cases, impossible for us to continue our business for a substantial period of time. The disaster recovery and business continuity plans we have in place currently may prove inadequate in the event of a natural disaster or similar event. We may incur substantial expenses as a result of any natural disaster, which could have a material adverse effect on our business.</w:t>
      </w:r>
    </w:p>
    <w:p>
      <w:pPr>
        <w:spacing w:after="0" w:line="15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We are subject to anti-corruption and a variety of other laws governing our international operations. If we fail to comply with these laws, we could be subject to, among other things, civil or criminal penalties, other sanctions and remedial measures, and reputational damage, which could adversely affect our business, prospects, operating results and financial condition.</w:t>
      </w:r>
    </w:p>
    <w:p>
      <w:pPr>
        <w:spacing w:after="0" w:line="10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operations are subject to anti-corruption laws, including the U.S. Foreign Corrupt Practices Act (“FCPA”), the U.K. Bribery Act and other anti-corruption laws. Anti-corruption laws are interpreted broadly and prohibit companies and their employees, agents, contractors, and partners from authorizing, promising, offering, or providing, directly or indirectly, improper payments or anything else of value to recipients in the public or private sector. We are conducting certain of our other trials at a number of trial sites around the world. Certain of these jurisdictions pose a risk of potential FCPA violations, and we have relationships with third parties, including government-affiliated hospitals and universities, whose actions could potentially subject us to liability under the FCPA or local anti-corruption laws.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economic sanctions on countries and persons, customs requirements, currency exchange regulations and transfer pricing regulations.</w:t>
      </w:r>
    </w:p>
    <w:p>
      <w:pPr>
        <w:spacing w:after="0" w:line="160"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6"/>
          <w:szCs w:val="16"/>
          <w:color w:val="auto"/>
        </w:rPr>
        <w:t>If we fail to comply with applicable anti-corruption laws and other legal requirements, we may become subject to criminal and civil penalties, disgorgement and other sanctions and remedial measures, including the loss of export or import privileges and debarment, and face substantial legal expenses. Likewise, even an investigation by U.S. or foreign authorities of potential violations of such laws could damage our reputation. In either case, our business, prospects, operating results and financial condition could be adversely affected.</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Under certain circumstances, we could also be held liable for the activities of our employees, contractors, and partners that violate anti-corruption laws, even if we do not explicitly authorize or have actual knowledge of such activities. Even allegations of such violations could potentially damage our reputation and harm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ability to successfully commercialize our products may be impaired if we are unable to obtain and maintain effective intellectual property rights for our proprietary scientific technology platform and product candidates.</w:t>
      </w:r>
    </w:p>
    <w:p>
      <w:pPr>
        <w:spacing w:after="0" w:line="143"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Our success depends in large part on our and our licensors’ ability to obtain and maintain patent and other intellectual property protection in the United States and in other countries with respect to our proprietary scientific technology platform and products. We have sought to protect our proprietary position by filing patent applications in the United States and abroad related to our novel technologies and product candidates that we and/or our licensors view as important to our business. This process is expensive and time-consuming, and we and our licensors may not be able to file and prosecute all necessary or desirable patent applications at a reasonable cost or in a timely manner. It is also possible that we and/or our licensors will fail to identify patentable aspects of our research and development output before it is too late to obtain patent protection. In some circumstances, we may not have the right to control the preparation, filing and prosecution of patent applications, or to maintain the patents or enforce the patents, covering technology or products that we license from third parties. Our existing patents and any future patents and the existing and any future licenses to third-party patents we obtain may not be sufficiently broad to prevent others from using our technologies or from developing competing products and technologies.</w:t>
      </w:r>
    </w:p>
    <w:p>
      <w:pPr>
        <w:spacing w:after="0" w:line="14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patent position of biotechnology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our and our licensors’ patent rights are highly uncertain. Additionally, changes in either the patent laws or interpretation of the patent laws in the United States and other countries may diminish the value of our owned or licensed patents or narrow the scope of our patent protection. The laws of foreign countries may not protect our rights to the same extent as the laws of the United States.</w:t>
      </w:r>
    </w:p>
    <w:p>
      <w:pPr>
        <w:spacing w:after="0" w:line="15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prevent competitors from competing with us or otherwise provide us with any competitive advantage. We, or our licensors, may fail to identify patentable aspects of inventions made in the course of development and commercialization activities before it is too late to obtain patent protection on them. Therefore, we may miss potential opportunities to strengthen our patent position. Our competitors may be able to circumvent our owned or licensed patents by developing similar or alternative technologies or products in a non-infringing manner. The issuance of a patent is not conclusive as to its scope, validity or enforceability, and our owned and licensed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future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or otherwise provide us with a competitive advantage.</w:t>
      </w:r>
    </w:p>
    <w:p>
      <w:pPr>
        <w:spacing w:after="0" w:line="14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The patent protection we obtain for our product candidates may not be sufficient enough to provide us with any competitive advantage or our owned or licensed patents may be challenged.</w:t>
      </w:r>
    </w:p>
    <w:p>
      <w:pPr>
        <w:spacing w:after="0" w:line="143"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In some instances, agreements through which we license patent rights may not give us control over patent prosecution or maintenance, so that we may not be able to control which claims or arguments are presented, how claims are amended,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w:t>
      </w:r>
    </w:p>
    <w:p>
      <w:pPr>
        <w:sectPr>
          <w:pgSz w:w="11900" w:h="16838" w:orient="portrait"/>
          <w:cols w:equalWidth="0" w:num="1">
            <w:col w:w="9920"/>
          </w:cols>
          <w:pgMar w:left="980" w:top="12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and therefore cannot guarantee that these patents and applications will be prosecuted or maintained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 Moreover, some of our in-licensed patents and patent applications are, and our future owned and licensed patents may be, co-owned with third parties. If we are unable to obtain an exclusive license to any such third-party co-owners’ interest in any future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51"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It is possible that defects of form in the preparation or filing of our owned or licensed patents or patent applications may exist, or may arise in the future, for example with respect to proper priority claims, inventorship, claim scope, or requests for patent term adjustments or extensions.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owned or 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4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owned or licensed patents or applications that were filed on or before March 15, 2013, an interference proceeding in the United States can be initiated by such third parties to determine who was the first to invent any of the subject matter covered by the patent claims of such owned or licensed patent applications. If third parties have filed such prior applications after March 15, 2013, a derivation proceeding in the United States can be initiated by such third parties to determine whether our owned or licensed invention was derived from theirs.</w:t>
      </w:r>
    </w:p>
    <w:p>
      <w:pPr>
        <w:spacing w:after="0" w:line="14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 xml:space="preserve">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owned or licensed patents and patent applications has been found. If such prior art exists, it may be used to invalidate a patent, or may prevent a patent from issuing from a pending patent application. For example, such patent filings may be subject to a third-party submission of prior art to the U.S. Patent and Trademark Office (“USPTO”), or to other patent offices around the world. Alternately or additionally, we may become involved in post-grant review procedures, oppositions, derivation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14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Pending and future patent applications may not result in patents being issued that protect our business, in whole or in part, or which effectively prevent others from commercializing competitive products. Competitors may also be able to design around our owned or licensed patents. Changes in either the patent laws or interpretation of the patent laws in the United States and other countries may diminish the value of our owned or licensed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 If these developments were to occur, they could have a material adverse effect on our ability to generate revenue.</w:t>
      </w:r>
    </w:p>
    <w:p>
      <w:pPr>
        <w:sectPr>
          <w:pgSz w:w="11900" w:h="16838" w:orient="portrait"/>
          <w:cols w:equalWidth="0" w:num="1">
            <w:col w:w="9920"/>
          </w:cols>
          <w:pgMar w:left="980" w:top="12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Issued patents that we have or may obtain or license may not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Our competitors may also seek approval to market their own products similar to or otherwise competitive with our products. In these circumstances, we may need to defend or assert our owned or licensed patents, or both, including by filing lawsuits alleging patent infringement. In any of these types of proceedings, a court or other agency with jurisdiction may find our owned or licensed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business, financial condition, results of operations and prospects.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which could be expensive, time-consuming and unsuccessful.</w:t>
      </w:r>
    </w:p>
    <w:p>
      <w:pPr>
        <w:spacing w:after="0" w:line="21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Competitors may infringe, misappropriate or violate our owned or licensed patents or other intellectual property. To counter infringement or unauthorized use, we may be required to file infringement claims, which can be expensive and time-consuming. In addition, in an infringement proceeding, a court may decide that a patent of ours is invalid or unenforceable, in whole or in part. There is also a risk that, even if the validity of such patents is upheld, the court will construe the patent’s claims narrowly and refuse to stop the other party from using the technology at issue on the grounds that our owned or licensed patents do not cover such technology. The standards that courts use to interpret patents are not always applied predictably or uniformly and can change, particularly as new technologies develop. As a result, we do not know how much protection, if any, will be given to our owned or licensed patents if we attempt to enforce them and they are challenged in court. An adverse result in any litigation proceeding could put one or more of our owned or licensed patents at risk of being invalidated or interpreted narrowly.</w:t>
      </w:r>
    </w:p>
    <w:p>
      <w:pPr>
        <w:spacing w:after="0" w:line="14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Inequitable conduct is frequently raised as a defense during intellectual property litigation. It is believed that all parties involved in the prosecution of our patent applications have complied with their duties of disclosure in the course of prosecuting our patent applications; however, it is possible that legal claims to the contrary could be asserted if we were engaged in intellectual property litigation, and the results of any such legal claims are uncertain due to the inherent uncertainty of litigation. If a court determines that any party involved in the prosecution of our owned or licensed patents failed to comply with its duty of candor, the subject patent could be held to be unenforceable.</w:t>
      </w:r>
    </w:p>
    <w:p>
      <w:pPr>
        <w:spacing w:after="0" w:line="165" w:lineRule="exact"/>
        <w:rPr>
          <w:sz w:val="20"/>
          <w:szCs w:val="20"/>
          <w:color w:val="auto"/>
        </w:rPr>
      </w:pPr>
    </w:p>
    <w:p>
      <w:pPr>
        <w:jc w:val="both"/>
        <w:ind w:right="240" w:firstLine="324"/>
        <w:spacing w:after="0" w:line="287"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Intellectual property litigation or other legal proceedings may cause us to incur significant expenses and may also absorb significant management time.</w:t>
      </w:r>
    </w:p>
    <w:p>
      <w:pPr>
        <w:spacing w:after="0" w:line="2"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Uncertainties resulting from our participation in patent litigation or other proceedings could have a material adverse effect on our business.</w:t>
      </w:r>
    </w:p>
    <w:p>
      <w:pPr>
        <w:spacing w:after="0" w:line="14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harm our business, prospects, operating results and financial condition.</w:t>
      </w:r>
    </w:p>
    <w:p>
      <w:pPr>
        <w:spacing w:after="0" w:line="14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Third parties may assert infringement, misappropriation or other claims against us, or other parties we have agreed to indemnify, based on existing third-party patents or patents that may be granted in the future as well as other intellectual property rights. There may be existing third-party patents or patent applications covering aspects of our technology. Furthermore,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 There could also be public announcements of the results of hearings, motions or other interim proceedings or developments. If securities analysts or investors perceive these results to be negative, it could have a material adverse effect on the price of shares of the Combined Company’s common stock.</w:t>
      </w:r>
    </w:p>
    <w:p>
      <w:pPr>
        <w:spacing w:after="0" w:line="126"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Because of the inevitable uncertainty in intellectual property litigation, we could lose a patent infringement or other action asserted against us regardless of our perception of the merits of the case. If we are found to infringe upon, misappropriate or otherwise violate a third party’s intellectual property rights, we could be required to obtain a license from such third party to continue developing and commercializing our products and technology. However, we may not be able to obtain any required license on commercially reasonable terms or at all. Even if we are able to obtain a license, it may be non-exclusive, thereby giving our competitors access to the same technologies licensed to us. We could be forced, including by court order, to cease commercializing the implicated technology or product. In addition, in any such proceeding or litigation, we could be found liable for monetary damages, which could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be significant, including treble damages and attorneys’ fees, if we are found to have willfully infringed a patent. A finding of infringement, misappropriation or that we otherwise violated intellectual property rights could prevent us from commercializing our product candidates or force us to cease some or all of our business operations.</w:t>
      </w:r>
    </w:p>
    <w:p>
      <w:pPr>
        <w:spacing w:after="0" w:line="1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13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a party to intellectual property license agreements with third parties. For example, we have licenses with each of Duke University and Yale University, for patents associated with our proprietary technology, and may enter into additional license agreements in the future. 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platform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40"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Further, the agreements under which we currently license intellectual property or technology from third parties are complex, and certain provisions in such agreements may be susceptible to multiple interpretations. Accordingly, disputes may arise between us and our licensor, our licensor and its licensors, regarding intellectual property subject to a license agreement, including those relating to:</w:t>
      </w:r>
    </w:p>
    <w:p>
      <w:pPr>
        <w:spacing w:after="0" w:line="122" w:lineRule="exact"/>
        <w:rPr>
          <w:sz w:val="20"/>
          <w:szCs w:val="20"/>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of rights, if any, granted under the license agreement and other interpretation-related issues;</w:t>
      </w:r>
    </w:p>
    <w:p>
      <w:pPr>
        <w:spacing w:after="0" w:line="184"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license agreement;</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our licensor or its licensor had the right to grant the license agreement;</w:t>
      </w:r>
    </w:p>
    <w:p>
      <w:pPr>
        <w:spacing w:after="0" w:line="184" w:lineRule="exact"/>
        <w:rPr>
          <w:rFonts w:ascii="Arial" w:cs="Arial" w:eastAsia="Arial" w:hAnsi="Arial"/>
          <w:sz w:val="18"/>
          <w:szCs w:val="18"/>
          <w:color w:val="auto"/>
        </w:rPr>
      </w:pPr>
    </w:p>
    <w:p>
      <w:pPr>
        <w:ind w:left="680" w:right="54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without their authorization;</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84"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we are complying with our obligations with respect to the use of the licensed technology in relation to our development and commercialization of product candidates;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involvement in the prosecution of the licensed patents and our licensors’ overall patent enforcement strategy;</w:t>
      </w:r>
    </w:p>
    <w:p>
      <w:pPr>
        <w:spacing w:after="0" w:line="198"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allocation of ownership of inventions and know-how resulting from the joint creation or use of intellectual property by our licensors and by us and our partners; and</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8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 If we or any such licensors fail to adequately protect this intellectual property, our ability to commercialize our products could suffer. Any disputes with our licensors or any termination of the licenses on which we depend could have a material adverse effect on our business, financial condition, results of operations and prospects.</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necessary intellectual property rights to product candidates for our development pipeline through acquisitions and in-licenses.</w:t>
      </w:r>
    </w:p>
    <w:p>
      <w:pPr>
        <w:spacing w:after="0" w:line="130"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Although we intend to develop product candidates through our own internal research, we may need to obtain additional licenses from others to advance our research or allow commercialization of our product candidates. However, we may be unable to acquire or in-license intellectual property rights relating to, or necessary for, any such product candidates from third parties on commercially</w:t>
      </w:r>
    </w:p>
    <w:p>
      <w:pPr>
        <w:sectPr>
          <w:pgSz w:w="11900" w:h="16838" w:orient="portrait"/>
          <w:cols w:equalWidth="0" w:num="1">
            <w:col w:w="9900"/>
          </w:cols>
          <w:pgMar w:left="980" w:top="12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reasonable terms or at all. In that event, we may be unable to develop or commercialize such product candidates. We may also be unable to identify additional, future product candidates that we believe are an appropriate strategic fit for our company and intellectual property relating to, or necessary for, such product candidates.</w:t>
      </w:r>
    </w:p>
    <w:p>
      <w:pPr>
        <w:spacing w:after="0" w:line="15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26"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We may be unable to protect the confidentiality of our trade secrets, particularly in light of our reliance on third parties, which increases the possibility that such trade secrets will be disclosed or misappropriated, thus harming our business and competitive position.</w:t>
      </w:r>
    </w:p>
    <w:p>
      <w:pPr>
        <w:spacing w:after="0" w:line="143"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addition to our patented technology and products, we rely upon trade secrets, including unpatented know-how, technology and other proprietary information to develop and maintain our competitive position, particularly with respect to our manufacturing process. We seek to protect our trade secrets, in part, through confidentiality agreements with our employees, collaborators and consultants. We seek to have agreements with our employees and selected consultants that obligate them to assign any inventions created during their tenure with us. However, we may not obtain these agreements in all circumstances and the assignment of intellectual property under such agreements may not be self-executing. If the employees, collaborators or consultants that are parties to these agreements breach or violate their respective terms, we may not have adequate remedies for any such breach or violation. Our trade secrets could also be misappropriated by our competitors. Enforcing a claim that a party illegally disclosed or misappropriated a trade secret is difficult, expensive, time-consuming and potentially distracting,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such a party from using that technology or information to compete with us. If our trade secrets are disclosed to or misappropriated or independently developed by a third party, it would harm our ability to protect our rights and could materially harm our business and competitive position.</w:t>
      </w:r>
    </w:p>
    <w:p>
      <w:pPr>
        <w:spacing w:after="0" w:line="14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may employ individuals or engage consultants that previously worked with other organizations, including our competitors or potential competitors. Although we seek to ensure that such persons do not use the proprietary information or know-how of others in their work for us, we may be subject to claims that we or they, or both,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we may lose valuable intellectual property rights or personnel in addition to paying monetary damages or a settlement. Even if we are successful in defending against such claims, litigation could result in substantial costs and be a distraction to management and other employees.</w:t>
      </w:r>
    </w:p>
    <w:p>
      <w:pPr>
        <w:spacing w:after="0" w:line="1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HAVs or our other product candidates for an adequate amount of time.</w:t>
      </w:r>
    </w:p>
    <w:p>
      <w:pPr>
        <w:spacing w:after="0" w:line="13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HAVs are obtained, once the patent life has expired, we may face competition, including from other competing technologies. As a result, our owned and licensed patent portfolio may not provide us with sufficient rights to exclude others from commercializing products similar or identical to ours.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countries outside the United States, or from selling or importing products made using our inventions in and into or other jurisdictions. Competitors may use our technologies in jurisdictions where we have not obtained patent protection to develop their own products and may also export infringing products to territories where we have patent protection, but enforcement rights are not as strong as those in the United States. These products may compete with our products, to the extent approved, and our owned or licensed patents or other intellectual property rights may not be effective or sufficient to prevent them from doing so.</w:t>
      </w:r>
    </w:p>
    <w:p>
      <w:pPr>
        <w:spacing w:after="0" w:line="13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licensed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owned or licensed patents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w:t>
      </w:r>
    </w:p>
    <w:p>
      <w:pPr>
        <w:spacing w:after="0" w:line="15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Many countries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5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i w:val="1"/>
          <w:iCs w:val="1"/>
          <w:color w:val="auto"/>
        </w:rPr>
        <w:t>Some of our internal intellectual property and most of our in-licensed intellectual property has been generated under U.S. Government grants and contracts that trigger certain obligations and U.S. Government rights and thus is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30"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Some of our internal intellectual property and most of our in-licensed intellectual property has been generated under U.S. Government grants and contracts that trigger certain obligations and U.S. Government rights under federal statutes and regulations, including the Bayh-Dole Act of 1980 and the Federal Technology Transfer Act of 1986. For example, the U.S. Government has a non-exclusive, non-transferable, irrevocable worldwide license to inventions conceived or first actually reduced to practice in the performance of a U.S. Government agreement. In addition, the U.S. Government has certain “march-in” rights to require us to grant exclusive, partially exclusive, or non-exclusive licenses to such inventions for the benefit of a third party if the U.S. Government determines that: (i) action is necessary to alleviate health or safety needs not reasonably met by us, our assignees, our licensees, or, in some cases, our licensors, (ii) action is necessary due to noncompliance with a U.S.-based manufacturing requirement applicable to exclusive licenses, (iii) action is necessary to meet requirements for public use specified by federal regulations and such requirements are not reasonably satisfied by us, our assignees, our licensees, and, in some cases, our licensors, and (iv) with respect to inventions made under funding agreements, adequate steps have not been taken to achieve practical application of the invention. The U.S. Government also has the right to take title to these inventions if we, or the applicable licensor, fails to disclose, elect title to, file or prosecute a patent application for, or defend or obtain a patent covering such inventions within time limits specified in particular funding agreements. The U.S. Government also has varying rights to use and disclose information, including copyrighted works, generated or delivered under a U.S. Government agreement depending on the terms of the agreement and the nature of the information. Intellectual property generated under a U.S. Government agreement is also subject to certain reporting requirements, compliance with which may require us or the applicable licensor to expend substantial resources. In addition, when inventions that are conceived or first actually reduced to practice under a U.S. Government funding agreement are exclusively licensed, products embodying or produced through the use of such inventions must be manufactured substantially in the United States. This U.S.-based manufacturing requirement may limit our ability to contract with non-U.S. companies to produce a covered product, although this requirement can be waived in certain circumstances. To the extent that any of our licensors’ current or future intellectual property is generated in the performance of U.S. Government grants or contracts, these requirements may apply to such intellectual property.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43"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8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7" w:lineRule="exact"/>
        <w:rPr>
          <w:sz w:val="20"/>
          <w:szCs w:val="20"/>
          <w:color w:val="auto"/>
        </w:rPr>
      </w:pPr>
    </w:p>
    <w:p>
      <w:pPr>
        <w:ind w:left="680" w:hanging="321"/>
        <w:spacing w:after="0" w:line="308"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any product candidates we may develop or utilize similar technology but that are not covered by the claims of the patents that we own or license or may own or license in the future;</w:t>
      </w:r>
    </w:p>
    <w:p>
      <w:pPr>
        <w:spacing w:after="0" w:line="105" w:lineRule="exact"/>
        <w:rPr>
          <w:rFonts w:ascii="Arial" w:cs="Arial" w:eastAsia="Arial" w:hAnsi="Arial"/>
          <w:sz w:val="17"/>
          <w:szCs w:val="17"/>
          <w:color w:val="auto"/>
        </w:rPr>
      </w:pPr>
    </w:p>
    <w:p>
      <w:pPr>
        <w:ind w:left="680" w:right="52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make the inventions covered by the issued patent or pending patent application that we own or license or may own or license in the future;</w:t>
      </w:r>
    </w:p>
    <w:p>
      <w:pPr>
        <w:spacing w:after="0" w:line="129"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file patent applications covering certain of our or their inventions;</w:t>
      </w:r>
    </w:p>
    <w:p>
      <w:pPr>
        <w:spacing w:after="0" w:line="129"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43" w:lineRule="exact"/>
        <w:rPr>
          <w:rFonts w:ascii="Arial" w:cs="Arial" w:eastAsia="Arial" w:hAnsi="Arial"/>
          <w:sz w:val="18"/>
          <w:szCs w:val="18"/>
          <w:color w:val="auto"/>
        </w:rPr>
      </w:pPr>
    </w:p>
    <w:p>
      <w:pPr>
        <w:ind w:left="680" w:right="20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possible that our and our licensors’ pending owned or licensed patent applications or those that we may own or license in the future will not lead to issued patents;</w:t>
      </w:r>
    </w:p>
    <w:p>
      <w:pPr>
        <w:spacing w:after="0" w:line="129" w:lineRule="exact"/>
        <w:rPr>
          <w:rFonts w:ascii="Arial" w:cs="Arial" w:eastAsia="Arial" w:hAnsi="Arial"/>
          <w:sz w:val="18"/>
          <w:szCs w:val="18"/>
          <w:color w:val="auto"/>
        </w:rPr>
      </w:pPr>
    </w:p>
    <w:p>
      <w:pPr>
        <w:ind w:left="680" w:right="50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29" w:lineRule="exact"/>
        <w:rPr>
          <w:rFonts w:ascii="Arial" w:cs="Arial" w:eastAsia="Arial" w:hAnsi="Arial"/>
          <w:sz w:val="18"/>
          <w:szCs w:val="18"/>
          <w:color w:val="auto"/>
        </w:rPr>
      </w:pPr>
    </w:p>
    <w:p>
      <w:pPr>
        <w:ind w:left="680" w:hanging="321"/>
        <w:spacing w:after="0" w:line="342"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6" w:lineRule="exact"/>
        <w:rPr>
          <w:rFonts w:ascii="Arial" w:cs="Arial" w:eastAsia="Arial" w:hAnsi="Arial"/>
          <w:sz w:val="16"/>
          <w:szCs w:val="16"/>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84"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43" w:lineRule="exact"/>
        <w:rPr>
          <w:sz w:val="20"/>
          <w:szCs w:val="20"/>
          <w:color w:val="auto"/>
        </w:rPr>
      </w:pPr>
    </w:p>
    <w:p>
      <w:pPr>
        <w:ind w:right="920" w:firstLine="324"/>
        <w:spacing w:after="0" w:line="453" w:lineRule="auto"/>
        <w:rPr>
          <w:sz w:val="20"/>
          <w:szCs w:val="20"/>
          <w:color w:val="auto"/>
        </w:rPr>
      </w:pPr>
      <w:r>
        <w:rPr>
          <w:rFonts w:ascii="Arial" w:cs="Arial" w:eastAsia="Arial" w:hAnsi="Arial"/>
          <w:sz w:val="18"/>
          <w:szCs w:val="18"/>
          <w:color w:val="auto"/>
        </w:rPr>
        <w:t xml:space="preserve">Should any of these events occur, they could harm our business, financial condition, results of operations, and prospects. </w:t>
      </w:r>
      <w:r>
        <w:rPr>
          <w:rFonts w:ascii="Arial" w:cs="Arial" w:eastAsia="Arial" w:hAnsi="Arial"/>
          <w:sz w:val="18"/>
          <w:szCs w:val="18"/>
          <w:b w:val="1"/>
          <w:bCs w:val="1"/>
          <w:color w:val="auto"/>
        </w:rPr>
        <w:t>Risks Related to Employee Matters and Our Ability to Manage Growth</w:t>
      </w:r>
    </w:p>
    <w:p>
      <w:pPr>
        <w:spacing w:after="0" w:line="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key employees, consultants and advisors and to attract, retain and motivate qualified personnel.</w:t>
      </w:r>
    </w:p>
    <w:p>
      <w:pPr>
        <w:spacing w:after="0" w:line="143" w:lineRule="exact"/>
        <w:rPr>
          <w:sz w:val="20"/>
          <w:szCs w:val="20"/>
          <w:color w:val="auto"/>
        </w:rPr>
      </w:pPr>
    </w:p>
    <w:p>
      <w:pPr>
        <w:jc w:val="both"/>
        <w:ind w:right="80" w:firstLine="324"/>
        <w:spacing w:after="0" w:line="296" w:lineRule="auto"/>
        <w:rPr>
          <w:sz w:val="20"/>
          <w:szCs w:val="20"/>
          <w:color w:val="auto"/>
        </w:rPr>
      </w:pPr>
      <w:r>
        <w:rPr>
          <w:rFonts w:ascii="Arial" w:cs="Arial" w:eastAsia="Arial" w:hAnsi="Arial"/>
          <w:sz w:val="16"/>
          <w:szCs w:val="16"/>
          <w:color w:val="auto"/>
        </w:rPr>
        <w:t>We are highly dependent on the research and development, clinical, regulatory, financial, commercial, and manufacturing expertise of the principal members of our management, scientific and clinical teams. The loss of the services of our executive officers or other key employees could impede the achievement of our research, development and commercialization objectives and seriously harm our ability to successfully implement our business strategy. Furthermore, losing or replacing executive officers and key employees may be difficult and may take an extended period of time because of the limited number of individuals in our industry with</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breadth of skills and experience required to successfully develop, gain marketing approval of and commercialize our product candidates. Competition to hire from this limited pool is intense. We also experience competition for the hiring of scientific and clinical personnel from public and private universities and research institutions. In addition, we rely on consultants and advisors, including scientific, commercial and clinical advisors, to assist us in formulating our research and development and commercialization strategy. Our consultants and advisors may have commitments under employment, consulting or advisory contracts with other entities that may limit their availability to us. If we are unable to continue to attract and retain high quality personnel, our ability to pursue our growth strategy will be limited.</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expect to increase the size of our workforce in the future, and we may encounter difficulties in managing this growth, which could harm our operations.</w:t>
      </w:r>
    </w:p>
    <w:p>
      <w:pPr>
        <w:spacing w:after="0" w:line="130"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6"/>
          <w:szCs w:val="16"/>
          <w:color w:val="auto"/>
        </w:rPr>
        <w:t>As of September 1, 2021, we had 139 employees. As we move forward in our efforts to commercialize our HAVs, if approved, we expect to continue to experience significant growth in the number of our employees and the scope of our operations, particularly in the areas of development, regulatory affairs, manufacturing and quality and compliance and support functions. Due to our limited financial resources, we may not be able to effectively manage the expansion of our operations or recruit and train additional qualified personnel.</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The expansion of our operations may lead to significant costs and may divert our management and business development resources. Any inability to manage this growth effectively could delay the execution of our business plans or harm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price of our common stock may fluctuate due to a variety of factors, including:</w:t>
      </w:r>
    </w:p>
    <w:p>
      <w:pPr>
        <w:spacing w:after="0" w:line="185" w:lineRule="exact"/>
        <w:rPr>
          <w:sz w:val="20"/>
          <w:szCs w:val="20"/>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and annual results and those of other public companies in our industry;</w:t>
      </w:r>
    </w:p>
    <w:p>
      <w:pPr>
        <w:spacing w:after="0" w:line="196" w:lineRule="exact"/>
        <w:rPr>
          <w:rFonts w:ascii="Arial" w:cs="Arial" w:eastAsia="Arial" w:hAnsi="Arial"/>
          <w:sz w:val="17"/>
          <w:szCs w:val="17"/>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mergers and strategic alliances in the industry in which we operate;</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prices and conditions in the industry in which we operate;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 regulation;</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or actual military conflicts or acts of terrorism;</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concerning Humacyte or our competitors;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19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These market and industry factors may materially reduce the market price of our common stock, regardless of our operating performance.</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3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expect that securities research analysts will establish and publish their own periodic projections for the business of Humacyte. These projections may vary widely and may not accurately predict the results we actually achieve. Our stock price may decline if our actual results do not match the projections of these securities research analysts. Similarly, if one or more of the analysts who write reports on Humacyte downgrades our stock or publishes inaccurate or unfavorable research about our business, our stock price could decline. If one or more of these analysts ceases coverage of Humacyte or fails to publish reports on Humacyte regularly, our stock price or trading volume could decline.</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common stock or other equity securities without your approval, which would dilute your ownership interests and may depress the market price of our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consummation of the Business Combination, we had Warrants outstanding to purchase up to an aggregate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5,177,500 shares of our common stock and options and warrants outstanding to purchase up to an aggregate of 6,816,136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common stock. Under the Humacyte, Inc. 2021 Long-Term Incentive Plan (the “2021 Plan”) and the Humacyte, Inc. 2021 Employee</w:t>
      </w:r>
    </w:p>
    <w:p>
      <w:pPr>
        <w:sectPr>
          <w:pgSz w:w="11900" w:h="16838" w:orient="portrait"/>
          <w:cols w:equalWidth="0" w:num="1">
            <w:col w:w="9920"/>
          </w:cols>
          <w:pgMar w:left="980" w:top="125" w:right="9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Stock Purchase Plan (the “ESPP”), we also have the ability to issue 7,725,253 shares and 1,030,033 shares, respectively. In addition,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aggregate number of shares under the 2021 Plan and the ESPP will automatically increase on January 1 of each year commencing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January 1, 2022, in an amount equal to 5% and 1%, respectively, of the number of shares of our capital stock outstanding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of the preceding year, unless our board of directors (the “Board”) acts prior to January 1 of a given year to provide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for such year will be a lesser number. We may also issue additional shares of common stock or other equity securities of equal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rank in the future in connection with, among other things, future acquisitions or repayment of outstanding indebtedness, without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stockholder approval, in a number of circumstances.</w:t>
      </w:r>
    </w:p>
    <w:p>
      <w:pPr>
        <w:spacing w:after="0" w:line="18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Our issuance of additional shares of common stock or other equity securities of equal or senior rank would have the following effects:</w:t>
      </w:r>
    </w:p>
    <w:p>
      <w:pPr>
        <w:spacing w:after="0" w:line="130" w:lineRule="exact"/>
        <w:rPr>
          <w:sz w:val="20"/>
          <w:szCs w:val="20"/>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in Humacyte will decrease;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 price of shares of our common stock may decline.</w:t>
      </w:r>
    </w:p>
    <w:p>
      <w:pPr>
        <w:spacing w:after="0" w:line="185"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Our actual financial position and results of operations may differ materially from the unaudited pro forma condensed combined financial information included in this prospectus, which may not be indicative of what our actual financial position or results of operations would have been.</w:t>
      </w:r>
    </w:p>
    <w:p>
      <w:pPr>
        <w:spacing w:after="0" w:line="14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unaudited pro forma condensed combined financial information in this prospectus is presented for illustrative purposes only and is not necessarily indicative of what our actual financial position or results of operations would have been had the Business Combination been completed on the dates indicated. See the section titled “Unaudited Pro Forma Condensed Combined Financial Information” for more information.</w:t>
      </w:r>
    </w:p>
    <w:p>
      <w:pPr>
        <w:spacing w:after="0" w:line="1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3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As a result, you may not receive any return on an investment in our securities unless you sell your securities for a price greater than that which you paid for it.</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The Public Warrants may not be in the money in the future, and they may expire worthless, and the terms of the Public Warrants may be amended in a manner adverse to a holder if holders of at least 50% of the then outstanding Public Warrants approve of such amendment.</w:t>
      </w:r>
    </w:p>
    <w:p>
      <w:pPr>
        <w:spacing w:after="0" w:line="15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Warrants were issued in registered form under a warrant agreement between Continental Stock Transfer &amp; Trust Company, as warrant agent, and AHAC.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holders of at least 50% of the number of the then 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redeem your unexpired Public Warrants prior to their exercise at a time that is disadvantageous to you, thereby making your Public Warrants worth less than they would be if you held and exercised them at a later time.</w:t>
      </w:r>
    </w:p>
    <w:p>
      <w:pPr>
        <w:spacing w:after="0" w:line="143"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have the ability to redeem outstanding Public Warrants at any time after they become exercisable and prior to their expiration, at a price of $0.01 per Warrant, provided that the last reported sales price of our common stock equals or exceeds $18.00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holders thereof. If and when the Public Warrants become redeemable by us, we may exercise our redemption right even if we are unable to register or qualify the underlying securities for sale under all applicable state securities laws.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w:t>
      </w:r>
    </w:p>
    <w:p>
      <w:pPr>
        <w:spacing w:after="0" w:line="128"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value received upon exercise of the Public Warrants (1) may be less than the value the holders would have received if they had exercised their Public Warrants at a later time where the underlying share price is higher and (2) may not compensate the holders for the value of the Public Warrants.</w:t>
      </w:r>
    </w:p>
    <w:p>
      <w:pPr>
        <w:spacing w:after="0" w:line="14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Private Placement Warrants are not subject to the same risk of redemption as the Public Warrants as the Private Placement Warrants are not redeemable so long as they are held by the Sponsor, the underwriters of AHAC’s initial public offering or their permitted transferees. If the Private Placement Warrants are held by holders other than the Sponsor, the underwriters or their permitted transferees, the Private Placement Warrants will be redeemable by us.</w:t>
      </w:r>
    </w:p>
    <w:p>
      <w:pPr>
        <w:spacing w:after="0" w:line="16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derivative securities that are accounted for as liabilities and the changes in value of such derivative securities could have a material effect on our financial results.</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Included on the pro forma combined balance sheet of the unaudited pro forma condensed combined financial statements as of June 30, 2021 are derivative liabilities related to the Contingent Consideration and the Private Placement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the Contingent Consideration and the Private Placement Warrants each reporting period and that the amount of such gains or losses could be material.</w:t>
      </w:r>
    </w:p>
    <w:p>
      <w:pPr>
        <w:spacing w:after="0" w:line="13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Prior to the Business Combination, 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Public Warrants. As a result of the SEC Statement, prior to the Business Combination, AHAC reevaluated the accounting treatment of the Public Warrants and determined to classify the Public Warrants as derivative liabilities measured at fair value, with changes in fair value each period reported in earnings. As a result, included on AHAC’s balance sheet as of December 31, 2020 contained elsewhere in this prospectus are derivative liabilities related to embedded features contained within the Public Warrants.</w:t>
      </w:r>
    </w:p>
    <w:p>
      <w:pPr>
        <w:spacing w:after="0" w:line="12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connection with its Amended Annual Report on Form 10-K/A for the year ended December 31, 2020, AHAC reached a determination to restate certain previously issued financial statements and related disclosures for the periods disclosed in order to correct the accounting treatment for the Warrants following the publication of the SEC Statement. As a result, prior to the Business Combination, AHAC incurred unanticipated costs for accounting and legal fees in connection with or related to the restatement, and we may become subject to additional risks and uncertainties related to the restatement.</w:t>
      </w:r>
    </w:p>
    <w:p>
      <w:pPr>
        <w:spacing w:after="0" w:line="16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Although AHAC restated certain previously issued financial statements and related disclosures for the periods disclosed, we cannot conclude that the issue has been fully remediated. Further, in the future, we may determine that we have additional material weaknesses. Our failure to remediate any material weaknesses or failure to identify and address any material weaknesses or control deficiencies could result in inaccuracies in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common stock.</w:t>
      </w:r>
    </w:p>
    <w:p>
      <w:pPr>
        <w:sectPr>
          <w:pgSz w:w="11900" w:h="16838" w:orient="portrait"/>
          <w:cols w:equalWidth="0" w:num="1">
            <w:col w:w="9920"/>
          </w:cols>
          <w:pgMar w:left="980" w:top="12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5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 forced to write-down or write-off assets, restructure our operations, or incur impairment or other charges that could result in losses. Even though these charges may be non-cash items and may not have an immediate impact on our liquidity, the fact that we may report charges of this nature could contribute to negative market perceptions about our securities. In addition, charges of this nature may cause us to be unable to obtain future financing on favorable terms or at all. Accordingly, a stockholder could suffer a reduction in the value of their shares.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we will be able to comply with the continued listing standards of The Nasdaq Stock Market.</w:t>
      </w:r>
    </w:p>
    <w:p>
      <w:pPr>
        <w:spacing w:after="0" w:line="208"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Our common stock and Public Warrants are currently listed on Nasdaq. If Nasdaq delists our common stock from trading on its exchange for any reason, we and our stockholders could face significant material adverse consequences including:</w:t>
      </w:r>
    </w:p>
    <w:p>
      <w:pPr>
        <w:spacing w:after="0" w:line="119" w:lineRule="exact"/>
        <w:rPr>
          <w:sz w:val="20"/>
          <w:szCs w:val="20"/>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84" w:lineRule="exact"/>
        <w:rPr>
          <w:rFonts w:ascii="Arial" w:cs="Arial" w:eastAsia="Arial" w:hAnsi="Arial"/>
          <w:sz w:val="18"/>
          <w:szCs w:val="18"/>
          <w:color w:val="auto"/>
        </w:rPr>
      </w:pPr>
    </w:p>
    <w:p>
      <w:pPr>
        <w:ind w:left="680" w:right="80" w:hanging="321"/>
        <w:spacing w:after="0" w:line="263"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amount of analyst coverage;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obligations associated with being a public company involve significant expenses and will require significant resources and management attention, which may divert from our business operations.</w:t>
      </w:r>
    </w:p>
    <w:p>
      <w:pPr>
        <w:spacing w:after="0" w:line="13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Legacy Humacyte did not incur as a private company. Our entire management team and many of its other employees will need to devote substantial time to compliance, and may not effectively or efficiently manage our transition into a public company.</w:t>
      </w:r>
    </w:p>
    <w:p>
      <w:pPr>
        <w:spacing w:after="0" w:line="137"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These rules and regulations will result in our incurring substantial legal and financial compliance costs and will make some activities more time-consuming and costly. For example, these rules and regulations have made it more difficult and more expensive for Humacyte to obtain director and officer liability insurance, and it has accepted reduced coverage. As a result, it may be difficult for us to attract and retain qualified people to serve on the Board or committees of the Board or as executive officers.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within the meaning of the rules adopted by the SEC,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from the closing of AHAC’s initial public offering,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Additionally, we are a “smaller reporting company” as defined under the Exchange Act. Smaller reporting companies may take advantage of certain reduced disclosure obligations, including, among other things, providing only two years of audited financial statements. We will remain a smaller reporting company for so long as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 To the extent we take advantage of such reduced disclosure obligations, it may also make comparison of our financial statements with other public companies difficult or impossible.</w:t>
      </w:r>
    </w:p>
    <w:p>
      <w:pPr>
        <w:spacing w:after="0" w:line="15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43"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Effective internal control over financial reporting is necessary for Humacyte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Humacyte conducted in connection with Section 404 of the Sarbanes-Oxley Act,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 connection with its Amended Annual Report on Form 10-K/A for the year ended December 31, 2020, AHAC reached a determination to restate certain previously issued financial statements and related disclosures for the periods disclosed in order to correct the accounting treatment for the Warrants following the publication of the SEC Statement. In addition, AHAC’s management concluded that is disclosure controls and procedures were not effective as of December 31, 2020 and that its internal control over financial reporting was not effective as of December 31, 2020 solely as a result of a material weakness in controls related to the accounting for the Warrants. As a result, prior to the Business Combination, AHAC incurred unanticipated costs for accounting and legal fees in connection with or related to the restatement, and we may become subject to additional risks and uncertainties related to the restatement, such as a negative impact on investor confidence in the accuracy of our financial disclosures, and may face reputational risks for our business. As of June 30, 2021, the material weakness had not yet been remediated.</w:t>
      </w:r>
    </w:p>
    <w:p>
      <w:pPr>
        <w:spacing w:after="0" w:line="16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we are required to disclose changes made in our internal controls and procedures on a quarterly basis and our management is required to assess the effectiveness of these controls annually. However, for as long as we are an emerging growth company under the JOBS Act or a non-accelerated filer and a “smaller reporting company” as defined in Rule 12b-2 of the Exchange Act, our independent registered public accounting firm will not be required to attest to the effectiveness of its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Anti-takeover provisions in our Second Amended and Restated Certificate of Incorporation and under Delaware law could make an acquisition of our company, which may be beneficial to our stockholders, more difficult, and may prevent attempts by our stockholders to replace or remove our current management.</w:t>
      </w:r>
    </w:p>
    <w:p>
      <w:pPr>
        <w:spacing w:after="0" w:line="15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Second Amended and Restated Certificate of Incorporation (the “Charter”) contains provisions that may delay or prevent an acquisition of the company or change in our management. These provisions may make it more difficult for stockholders to replace or remove members of the Board. Because the Board is responsible for appointing the members of the management team, these provisions could in turn frustrate or prevent any attempt by our stockholders to replace or remove our current management. In addition, these provisions could limit the price that investors might be willing to pay in the future for shares of our common stock. Among other things, these provisions include:</w:t>
      </w:r>
    </w:p>
    <w:p>
      <w:pPr>
        <w:spacing w:after="0" w:line="152" w:lineRule="exact"/>
        <w:rPr>
          <w:sz w:val="20"/>
          <w:szCs w:val="20"/>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184" w:lineRule="exact"/>
        <w:rPr>
          <w:rFonts w:ascii="Arial" w:cs="Arial" w:eastAsia="Arial" w:hAnsi="Arial"/>
          <w:sz w:val="18"/>
          <w:szCs w:val="18"/>
          <w:color w:val="auto"/>
        </w:rPr>
      </w:pPr>
    </w:p>
    <w:p>
      <w:pPr>
        <w:ind w:left="680" w:right="280" w:hanging="321"/>
        <w:spacing w:after="0" w:line="308"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provisions that permit only (i) the chairperson of the Board, (ii) our chief executive officer or (iii) a majority of our Board to call special meetings of stockholders and therefore do not permit our stockholders to call stockholder meetings;</w:t>
      </w:r>
    </w:p>
    <w:p>
      <w:pPr>
        <w:spacing w:after="0" w:line="119" w:lineRule="exact"/>
        <w:rPr>
          <w:rFonts w:ascii="Arial" w:cs="Arial" w:eastAsia="Arial" w:hAnsi="Arial"/>
          <w:sz w:val="17"/>
          <w:szCs w:val="17"/>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the Board to issue preferred stock without stockholder approval.</w:t>
      </w:r>
    </w:p>
    <w:p>
      <w:pPr>
        <w:spacing w:after="0" w:line="18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(the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our stockholders. This could also have the effect of discouraging others from making tender offers for our common stock, including transactions that 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 For more information, see the section titled “Description of Securities.”</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Charter provides that, unless we consent in writing to the selection of an alternative forum,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16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Charter provides that the Court of Chancery of the State of Delaware will be the exclusive forum for the following types of actions or proceedings under Delaware statutory or common law:</w:t>
      </w:r>
    </w:p>
    <w:p>
      <w:pPr>
        <w:spacing w:after="0" w:line="130" w:lineRule="exact"/>
        <w:rPr>
          <w:sz w:val="20"/>
          <w:szCs w:val="20"/>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98" w:lineRule="exact"/>
        <w:rPr>
          <w:rFonts w:ascii="Arial" w:cs="Arial" w:eastAsia="Arial" w:hAnsi="Arial"/>
          <w:sz w:val="18"/>
          <w:szCs w:val="18"/>
          <w:color w:val="auto"/>
        </w:rPr>
      </w:pPr>
    </w:p>
    <w:p>
      <w:pPr>
        <w:ind w:left="680" w:right="80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Charter or our amended and restated bylaws (the “Bylaws”);</w:t>
      </w:r>
    </w:p>
    <w:p>
      <w:pPr>
        <w:spacing w:after="0" w:line="129"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or proceeding asserting a claim as to which the DGCL confers jurisdiction upon the Court of Chancery of the State of Delaware; and</w:t>
      </w:r>
    </w:p>
    <w:p>
      <w:pPr>
        <w:spacing w:after="0" w:line="129" w:lineRule="exact"/>
        <w:rPr>
          <w:rFonts w:ascii="Arial" w:cs="Arial" w:eastAsia="Arial" w:hAnsi="Arial"/>
          <w:sz w:val="18"/>
          <w:szCs w:val="18"/>
          <w:color w:val="auto"/>
        </w:rPr>
      </w:pPr>
    </w:p>
    <w:p>
      <w:pPr>
        <w:ind w:left="680" w:right="50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 or otherwise related to our internal affairs.</w:t>
      </w:r>
    </w:p>
    <w:p>
      <w:pPr>
        <w:spacing w:after="0" w:line="143"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This exclusive forum provision may limit a stockholder’s ability to bring a claim in a judicial forum that it finds favorable for disputes with us or any of our directors, officers, other employees or stockholders, which may discourage lawsuits with respect to such claims. We cannot be certain that a court will decide that this provision is either applicable or enforceable, and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exclusive forum provision will not apply to suits brought to enforce any liability or duty created by the Exchange Act or any other claim for which the federal courts have exclusive jurisdiction. In addition,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125" w:right="10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not receive any proceeds from the sale of common stock by the selling stockholders.</w:t>
      </w:r>
    </w:p>
    <w:p>
      <w:pPr>
        <w:spacing w:after="0" w:line="18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will receive up to an aggregate of approximately $59.5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DETERMINATION OF OFFERING PRICE</w:t>
      </w:r>
    </w:p>
    <w:p>
      <w:pPr>
        <w:spacing w:after="0" w:line="20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offering price of the shares of common stock underlying the Warrants offered hereby is determined by reference to the exercise price of the Warrants of $11.50 per share. The Public Warrants are listed on Nasdaq under the symbol “HUMAW.”</w:t>
      </w:r>
    </w:p>
    <w:p>
      <w:pPr>
        <w:spacing w:after="0" w:line="10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cannot currently determine the price or prices at which shares of common stock may be sold by the selling stockholders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125" w:right="11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common stock is are currently listed on Nasdaq under the symbol “HUMA.” Prior to the consummation of the Business Combination, our common stock was listed on Nasdaq under the symbol “AHAC.” As of September 16, 2021, there were 213 holders of record of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will depend on, among other things, our results of operations, cash requirements, financial condition, contractual restrictions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0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this prospectus, unless defined below. As used in this unaudited pro forma condensed combined financial information, “Humacyte” refers to Humacyte, Inc. prior to the Business Combination.</w:t>
      </w:r>
    </w:p>
    <w:p>
      <w:pPr>
        <w:spacing w:after="0" w:line="14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prepared in accordance with Article 11 of Regulation S-X and presents the combination of the historical financial information of AHAC and Humacyte, adjusted to give effect to the Business Combination and the other events contemplated by the Business Combination Agreement. Unless otherwise indicated or the context otherwise requires, references to the “Combined Company” refer to New Humacyte and its consolidated subsidiaries after giving effect to the Business Combination.</w:t>
      </w:r>
    </w:p>
    <w:p>
      <w:pPr>
        <w:spacing w:after="0" w:line="14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unaudited pro forma condensed combined balance sheet as of June 30, 2021 combines the historical balance sheet of AHAC as of June 30, 2021, and the historical balance sheet of Legacy Humacyte as of June 30, 2021, on a pro forma basis as if the Business Combination and the other events contemplated by the Business Combination Agreement had been consummated on June 30, 2021. The unaudited pro forma condensed combined statement of operations for the year ended December 31, 2020, combines the historical statements of operations of AHAC for the period from July 1, 2020 (inception) through December 31, 2020, and the historical statements of operations of Humacyte for the year ended December 31, 2020 on a pro forma basis as if the Business Combination, the other events contemplated by the Business Combination Agreement and the financing transaction had been consummated on January 1, 2020, the beginning of the earliest period presented. The unaudited pro forma condensed combined statement of operations for the six months ended June 30, 2021, combines the historical statements of operations of AHAC for the six months ended June 30, 2021, and the historical statements of operations of Legacy Humacyte for the six months ended June 30, 2021 on a pro forma basis as if the Business Combination, the other events contemplated by the Business Combination Agreement and the financing transaction had been consummated on January 1, 2020, the beginning of the earliest period presented.</w:t>
      </w:r>
    </w:p>
    <w:p>
      <w:pPr>
        <w:spacing w:after="0" w:line="14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unaudited pro forma condensed combined financial information and accompanying notes have been derived from and should be read in conjunction with the following information, which is included elsewhere in the registration statement of which this prospectus forms a part:</w:t>
      </w:r>
    </w:p>
    <w:p>
      <w:pPr>
        <w:spacing w:after="0" w:line="143" w:lineRule="exact"/>
        <w:rPr>
          <w:sz w:val="20"/>
          <w:szCs w:val="20"/>
          <w:color w:val="auto"/>
        </w:rPr>
      </w:pPr>
    </w:p>
    <w:p>
      <w:pPr>
        <w:ind w:left="680" w:right="12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historical audited financial statements of AHAC as of December 31, 2020 and for the period from July 1, 2020 (inception) through December 31, 2020 and the related notes;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historical unaudited financial statements of AHAC as of and for the six months ended June 30, 2021 and the related notes;</w:t>
      </w:r>
    </w:p>
    <w:p>
      <w:pPr>
        <w:spacing w:after="0" w:line="207" w:lineRule="exact"/>
        <w:rPr>
          <w:rFonts w:ascii="Arial" w:cs="Arial" w:eastAsia="Arial" w:hAnsi="Arial"/>
          <w:sz w:val="16"/>
          <w:szCs w:val="16"/>
          <w:color w:val="auto"/>
        </w:rPr>
      </w:pPr>
    </w:p>
    <w:p>
      <w:pPr>
        <w:ind w:left="680" w:right="4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historical audited financial statements of Legacy Humacyte as of and for the year ended December 31, 2020 and the related notes;</w:t>
      </w:r>
    </w:p>
    <w:p>
      <w:pPr>
        <w:spacing w:after="0" w:line="143" w:lineRule="exact"/>
        <w:rPr>
          <w:rFonts w:ascii="Arial" w:cs="Arial" w:eastAsia="Arial" w:hAnsi="Arial"/>
          <w:sz w:val="18"/>
          <w:szCs w:val="18"/>
          <w:color w:val="auto"/>
        </w:rPr>
      </w:pPr>
    </w:p>
    <w:p>
      <w:pPr>
        <w:ind w:left="680" w:right="34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historical unaudited financial statements of Legacy Humacyte as of and for the six months ended June 30, 2021 and the related notes; and</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information relating to AHAC and Humacyte.</w:t>
      </w:r>
    </w:p>
    <w:p>
      <w:pPr>
        <w:spacing w:after="0" w:line="18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 of the registration statement of which this prospectus forms a part entitled “Management’s Discussion and Analysis of Financial Condition and Results of Operations,” as well as other financial information included elsewhere in this prospectus.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18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August 26, 2021, AHAC, Merger Sub and Humacyte consummated the Business Combination pursuant to which Merger Sub merged with and into Humacyte, with Humacyte surviving the Business Combination. Humacyte became a wholly owned subsidiary of AHAC and AHAC was renamed “Humacyte, Inc.” Upon the consummation of the Business Combination, the consideration for the Business Combination was distributed as follows (in each case, rounded down to the nearest whole share):</w:t>
      </w:r>
    </w:p>
    <w:p>
      <w:pPr>
        <w:spacing w:after="0" w:line="131" w:lineRule="exact"/>
        <w:rPr>
          <w:sz w:val="20"/>
          <w:szCs w:val="20"/>
          <w:color w:val="auto"/>
        </w:rPr>
      </w:pPr>
    </w:p>
    <w:p>
      <w:pPr>
        <w:ind w:left="680" w:right="16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outstanding share of Legacy Humacyte common stock was cancelled and converted into the right to receive a number of shares of Common Stock equal to approximately 0.26260 (the “Exchange Ratio”);</w:t>
      </w:r>
    </w:p>
    <w:p>
      <w:pPr>
        <w:spacing w:after="0" w:line="143" w:lineRule="exact"/>
        <w:rPr>
          <w:rFonts w:ascii="Arial" w:cs="Arial" w:eastAsia="Arial" w:hAnsi="Arial"/>
          <w:sz w:val="18"/>
          <w:szCs w:val="18"/>
          <w:color w:val="auto"/>
        </w:rPr>
      </w:pPr>
    </w:p>
    <w:p>
      <w:pPr>
        <w:jc w:val="both"/>
        <w:ind w:left="680" w:right="320" w:hanging="321"/>
        <w:spacing w:after="0" w:line="342" w:lineRule="auto"/>
        <w:tabs>
          <w:tab w:leader="none" w:pos="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outstanding share of Legacy Humacyte preferred stock was converted into shares of Legacy Humacyte common stock immediately prior to the Business Combination based on the applicable conversion ratio immediately prior to the Effective</w:t>
      </w:r>
    </w:p>
    <w:p>
      <w:pPr>
        <w:sectPr>
          <w:pgSz w:w="11900" w:h="16838" w:orient="portrait"/>
          <w:cols w:equalWidth="0" w:num="1">
            <w:col w:w="9880"/>
          </w:cols>
          <w:pgMar w:left="980" w:top="125" w:right="1039" w:bottom="1440" w:gutter="0" w:footer="0" w:header="0"/>
        </w:sect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200"/>
        <w:spacing w:after="0" w:line="277" w:lineRule="auto"/>
        <w:rPr>
          <w:sz w:val="20"/>
          <w:szCs w:val="20"/>
          <w:color w:val="auto"/>
        </w:rPr>
      </w:pPr>
      <w:r>
        <w:rPr>
          <w:rFonts w:ascii="Arial" w:cs="Arial" w:eastAsia="Arial" w:hAnsi="Arial"/>
          <w:sz w:val="18"/>
          <w:szCs w:val="18"/>
          <w:color w:val="auto"/>
        </w:rPr>
        <w:t>Time. The shares of Legacy Humacyte common stock received upon such conversion were then cancelled and converted into the right to receive a number of shares of our common stock equal to approximately 0.26260; and</w:t>
      </w:r>
    </w:p>
    <w:p>
      <w:pPr>
        <w:spacing w:after="0" w:line="143" w:lineRule="exact"/>
        <w:rPr>
          <w:sz w:val="20"/>
          <w:szCs w:val="20"/>
          <w:color w:val="auto"/>
        </w:rPr>
      </w:pPr>
    </w:p>
    <w:p>
      <w:pPr>
        <w:ind w:left="680" w:hanging="321"/>
        <w:spacing w:after="0" w:line="275"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outstanding option or warrant to purchase Legacy Humacyte common stock was converted into an option or warrant, as applicable, to purchase a number of shares of our common stock equal to (A) the number of shares of Legacy Humacyte common stock subject to such option or warrant multiplied by (B) the Exchange Ratio at an exercise price per share equal to the current exercise price per share for such option or warrant divided by approximately 0.26260. The options and warrants to purchase shares of common stock are otherwise subject to the same terms.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Events in Connection with the Business Combination</w:t>
      </w:r>
    </w:p>
    <w:p>
      <w:pPr>
        <w:spacing w:after="0" w:line="18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Other related events that took place or are contemplated to take place in connection with the Business Combination are summarized below:</w:t>
      </w:r>
    </w:p>
    <w:p>
      <w:pPr>
        <w:spacing w:after="0" w:line="143" w:lineRule="exact"/>
        <w:rPr>
          <w:sz w:val="20"/>
          <w:szCs w:val="20"/>
          <w:color w:val="auto"/>
        </w:rPr>
      </w:pPr>
    </w:p>
    <w:p>
      <w:pPr>
        <w:ind w:left="680" w:right="220" w:hanging="321"/>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issuance and sale of 17,500,000 shares of common stock to the PIPE Investors at a purchase price of $10.00 per share for aggregate proceeds of $175.0 million pursuant to the PIPE Investment; and</w:t>
      </w:r>
    </w:p>
    <w:p>
      <w:pPr>
        <w:spacing w:after="0" w:line="129" w:lineRule="exact"/>
        <w:rPr>
          <w:rFonts w:ascii="Arial" w:cs="Arial" w:eastAsia="Arial" w:hAnsi="Arial"/>
          <w:sz w:val="18"/>
          <w:szCs w:val="18"/>
          <w:color w:val="auto"/>
        </w:rPr>
      </w:pPr>
    </w:p>
    <w:p>
      <w:pPr>
        <w:ind w:left="680" w:right="160" w:hanging="321"/>
        <w:spacing w:after="0" w:line="289" w:lineRule="auto"/>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contingent issuance of up to 15,000,000 shares of common stock (the “Contingent Consideration”), comprised of two separate tranches of 7,500,000 shares per tranche, to stockholders of Humacyte for no consideration upon the occurrence of certain triggering events, including upon a change in control, as described further in the definitive proxy statement/prospectus (the “Proxy Statement/Prospectus”) filed pursuant to Rule 424(b)(3) with the SEC on August 4, 2021, in the section entitled “Proposal 1: The Business Combination Proposal.” As these triggering events have not yet been achieved, the Contingent Consideration is treated as contingently issuable in the unaudited pro forma condensed combined financial information. The issuance of the Contingent Consideration would dilute all common stock outstanding at that time. Assuming the expected capital structure as of the closing of the Business Combination, the 7,500,000 shares issued in connection with each earnout triggering event would represent approximately 7.3% and 7.3% of shares,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w:t>
      </w:r>
    </w:p>
    <w:p>
      <w:pPr>
        <w:spacing w:after="0" w:line="189"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The other event consummated by Humacyte that is reflected in Humacyte’s June 30, 2021 historical balance sheet, but is not fully reflected in Humacyte’s statement of operations for the year ended December 31, 2020 and the six months ended June 30, 2021 and is considered a material event separate from the Business Combination is the financing transaction summarized below:</w:t>
      </w:r>
    </w:p>
    <w:p>
      <w:pPr>
        <w:spacing w:after="0" w:line="122" w:lineRule="exact"/>
        <w:rPr>
          <w:sz w:val="20"/>
          <w:szCs w:val="20"/>
          <w:color w:val="auto"/>
        </w:rPr>
      </w:pPr>
    </w:p>
    <w:p>
      <w:pPr>
        <w:ind w:left="680" w:right="60" w:hanging="321"/>
        <w:spacing w:after="0" w:line="287" w:lineRule="auto"/>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March 2021, Humacyte entered into a secured debt facility which provides a term loan facility of up to $50.0 million with a maturity date of March 1, 2025, of which $20.0 million was funded upon closing, and the additional $30.0 million is accessible in three tranches each of $10 million contingent on the achievement of certain business and clinical development milestones.</w:t>
      </w:r>
    </w:p>
    <w:p>
      <w:pPr>
        <w:spacing w:after="0" w:line="2" w:lineRule="exact"/>
        <w:rPr>
          <w:rFonts w:ascii="Arial" w:cs="Arial" w:eastAsia="Arial" w:hAnsi="Arial"/>
          <w:sz w:val="16"/>
          <w:szCs w:val="16"/>
          <w:color w:val="auto"/>
        </w:rPr>
      </w:pPr>
    </w:p>
    <w:p>
      <w:pPr>
        <w:ind w:left="680" w:right="20"/>
        <w:spacing w:after="0" w:line="268" w:lineRule="auto"/>
        <w:rPr>
          <w:rFonts w:ascii="Arial" w:cs="Arial" w:eastAsia="Arial" w:hAnsi="Arial"/>
          <w:sz w:val="16"/>
          <w:szCs w:val="16"/>
          <w:color w:val="auto"/>
        </w:rPr>
      </w:pPr>
      <w:r>
        <w:rPr>
          <w:rFonts w:ascii="Arial" w:cs="Arial" w:eastAsia="Arial" w:hAnsi="Arial"/>
          <w:sz w:val="17"/>
          <w:szCs w:val="17"/>
          <w:color w:val="auto"/>
        </w:rPr>
        <w:t>Borrowings bear interest at the greater of 7.5% or the Wall Street Journal Prime Rate plus 4.25%. In connection with the secured debt facility, Humacyte granted warrants to purchase shares of Humacyte common stock at an exercise price of $2.699 per share (the “Loan Agreement Warrants”), of which 1,095,616 warrants were immediately exercisable and the remaining 469,550 will become exercisable upon the funding of an additional $10.0 million. The Loan Agreement Warrants are accounted for as debt issuance costs recognized as a direct reduction to the carrying amount of the loan and amortized as interest expense using the effective interest rate method through the term of the loan. Upon the closing of the Business Combination, any unexercised Loan Agreement Warrants were cancelled in exchange for warrants to purchase a number of shares of common stock equal to the number of shares of common stock subject to the warrant multiplied by approximately 0.26260 at an exercise price per share equal to the current exercise price per share divided by approximately 0.26260. The new Loan Agreement Warrants will otherwise have the same terms.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18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Notwithstanding the legal form of the Business Combination pursuant to the Business Combination Agreement, the Business Combination is accounted for as a reverse recapitalization in accordance with GAAP. Under this method of accounting, AHAC is treated as the acquired company and Humacyte is treated as the acquirer for financial reporting purposes. Accordingly, for accounting purposes, the financial statements of New Humacyte represent a continuation of the financial statements of Humacyte, with the Business Combination treated as the equivalent of Humacyte issuing stock for the net assets of AHAC, accompanied by a recapitalization. The net assets of AHAC are stated at historical cost, with no goodwill or other intangible assets recorded. Operations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prior to the Business Combination are those of Humacyte. Humacyte has been determined to be the accounting acquirer based on an evaluation of the following facts and circumstances:</w:t>
      </w:r>
    </w:p>
    <w:p>
      <w:pPr>
        <w:spacing w:after="0" w:line="143" w:lineRule="exact"/>
        <w:rPr>
          <w:sz w:val="20"/>
          <w:szCs w:val="20"/>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Humacyte’s existing stockholders have a majority of the voting power in New Humacyte;</w:t>
      </w:r>
    </w:p>
    <w:p>
      <w:pPr>
        <w:spacing w:after="0" w:line="184"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New Humacyte Board consists of 11 directors, ten of whom were designated by Humacyte and one of whom was designated by AHAC;</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Humacyte’s existing senior management team comprises the senior management of the Combined Company; and</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Humacyte’s operations prior to the Business Combination comprise the ongoing operations of New Humacyte.</w:t>
      </w:r>
    </w:p>
    <w:p>
      <w:pPr>
        <w:spacing w:after="0" w:line="185"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The Contingent Consideration is expected to be accounted for as liability classified instruments that are earned upon achieving certain triggering events, which includes a change in control event that is not solely indexed to the common stock of New Humacyte. Liability classified instruments will be recognized at fair value as of the closing of the Business Combination and subsequently remeasured at fair value in future reporting periods, with changes in fair value recognized in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18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prepared in accordance with Article 11 of Regulation S-X. The adjustments in the unaudited pro forma condensed combined financial information have been identified and presented to provide relevant information necessary for an illustrative understanding of New Humacyte upon consummation of the Business Combination, the other events contemplated by the Business Combination Agreement and the financing transaction in accordance with GAAP.</w:t>
      </w:r>
    </w:p>
    <w:p>
      <w:pPr>
        <w:spacing w:after="0" w:line="16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Assumptions and estimates underlying the unaudited pro forma adjustments set forth in the unaudited pro forma condensed combined financial information are described in the accompanying notes. The unaudited pro forma condensed combined financial information has been presented for illustrative purposes only and is not necessarily indicative of the operating results and financial position that would have been achieved had the Business Combination occurred on the dates indicated, and does not reflect adjustments for any anticipated synergies, operating efficiencies, tax savings or cost savings. Any cash proceeds remaining after the consummation of the Business Combination, the other events contemplated by the Business Combination Agreement and the financing transaction are expected to be used for general corporate purposes. Further, the unaudited pro forma condensed combined financial information does not purport to project the future operating results or financial position of New Humacyte following the consummation of the Business Combination.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 AHAC and Humacyte have not had any historical relationship prior to the transactions discussed in this registration statement. Accordingly, no pro forma adjustments were required to eliminate activities between the companies.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the pro forma common stock issued and outstanding immediately after the Business Combination: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16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Pro Forma Combined</w:t>
            </w: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840" w:type="dxa"/>
            <w:vAlign w:val="bottom"/>
            <w:tcBorders>
              <w:top w:val="single" w:sz="8" w:color="auto"/>
            </w:tcBorders>
            <w:gridSpan w:val="2"/>
          </w:tcPr>
          <w:p>
            <w:pPr>
              <w:jc w:val="right"/>
              <w:ind w:right="190"/>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New Humacyte shares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7,346,449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Founder Shares </w:t>
            </w:r>
            <w:r>
              <w:rPr>
                <w:rFonts w:ascii="Arial" w:cs="Arial" w:eastAsia="Arial" w:hAnsi="Arial"/>
                <w:sz w:val="25"/>
                <w:szCs w:val="25"/>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2,500,000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Humacyte shares issued to PIPE Investors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New Humacyte shares issued in merger to Humacyte stockholders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75,656,935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73.5 %</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outstanding</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103,003,384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of the Founder Shares converted into shares of common stock on the Closing Date.</w:t>
      </w:r>
    </w:p>
    <w:p>
      <w:pPr>
        <w:spacing w:after="0" w:line="18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pro forma table above excludes New Humacyte shares reserved for the future issuance of Humacyte’s vested options, the Public Warrants, the warrants issued pursuant to the Loan Agreement and the Contingent Consideration.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total New Humacyte shares issuable to Humacyte stockholders in connection with the Business Combination.</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New Humacyte shares issued in merger to Humacyte stockholders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75,656,935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w w:val="93"/>
              </w:rPr>
              <w:t>Additional New Humacyte shares reserved for the future exercise of Humacyte vested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4,055,127</w:t>
            </w:r>
          </w:p>
        </w:tc>
      </w:tr>
      <w:tr>
        <w:trPr>
          <w:trHeight w:val="202"/>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Additional New Humacyte shares reserved for the future exercise of the Loan Agreement</w:t>
            </w:r>
          </w:p>
        </w:tc>
        <w:tc>
          <w:tcPr>
            <w:tcW w:w="940" w:type="dxa"/>
            <w:vAlign w:val="bottom"/>
            <w:shd w:val="clear" w:color="auto" w:fill="CCEEFF"/>
          </w:tcPr>
          <w:p>
            <w:pPr>
              <w:spacing w:after="0"/>
              <w:rPr>
                <w:sz w:val="17"/>
                <w:szCs w:val="17"/>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287,704</w:t>
            </w:r>
          </w:p>
        </w:tc>
      </w:tr>
      <w:tr>
        <w:trPr>
          <w:trHeight w:val="209"/>
        </w:trPr>
        <w:tc>
          <w:tcPr>
            <w:tcW w:w="7000" w:type="dxa"/>
            <w:vAlign w:val="bottom"/>
          </w:tcPr>
          <w:p>
            <w:pPr>
              <w:spacing w:after="0"/>
              <w:rPr>
                <w:sz w:val="20"/>
                <w:szCs w:val="20"/>
                <w:color w:val="auto"/>
              </w:rPr>
            </w:pPr>
            <w:r>
              <w:rPr>
                <w:rFonts w:ascii="Arial" w:cs="Arial" w:eastAsia="Arial" w:hAnsi="Arial"/>
                <w:sz w:val="18"/>
                <w:szCs w:val="18"/>
                <w:color w:val="auto"/>
              </w:rPr>
              <w:t>Business Combination Consideration</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79,999,766</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15,000,000</w:t>
            </w: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Total shares potentially issued to Humacyte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94,999,766</w:t>
            </w:r>
          </w:p>
        </w:tc>
      </w:tr>
      <w:tr>
        <w:trPr>
          <w:trHeight w:val="20"/>
        </w:trPr>
        <w:tc>
          <w:tcPr>
            <w:tcW w:w="7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Following the closing of the Business Combination, the Humacyte stockholders have the right to receive the Contingent Consideration upon the occurrence of certain triggering events, including upon a change in control, as described further in the section of the Proxy Statement/Prospectus entitled “Proposal 1: The Business Combination Proposal.” Because the Contingent Consideration is contingently issuable based upon the price of Common Stock reaching certain thresholds that have not yet been achieved, the pro forma common stock issued and outstanding immediately after the Business Combination excludes the Contingent Consideration.</w:t>
      </w:r>
    </w:p>
    <w:p>
      <w:pPr>
        <w:spacing w:after="0" w:line="134"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If the actual facts are different than these assumptions, then the amounts and shares outstanding in the unaudited pro forma condensed combined financial information will be different and those changes could be material.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6"/>
              </w:rPr>
              <w:t>Transaction</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Accounting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AHAC</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3"/>
              </w:rPr>
              <w:t>Humacyte</w:t>
            </w:r>
          </w:p>
        </w:tc>
        <w:tc>
          <w:tcPr>
            <w:tcW w:w="60" w:type="dxa"/>
            <w:vAlign w:val="bottom"/>
          </w:tcPr>
          <w:p>
            <w:pPr>
              <w:spacing w:after="0"/>
              <w:rPr>
                <w:sz w:val="11"/>
                <w:szCs w:val="11"/>
                <w:color w:val="auto"/>
              </w:rPr>
            </w:pPr>
          </w:p>
        </w:tc>
        <w:tc>
          <w:tcPr>
            <w:tcW w:w="7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Adjustments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(Historial)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4"/>
              </w:rPr>
              <w:t>Historical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(Note 2)</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28,969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100,031</w:t>
            </w: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(1)</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252,883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175,000</w:t>
            </w:r>
          </w:p>
        </w:tc>
        <w:tc>
          <w:tcPr>
            <w:tcW w:w="2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(18,957)</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(5)</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(2,447)</w:t>
            </w: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(6)</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(30,096)</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(12)</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100"/>
              <w:spacing w:after="0" w:line="135" w:lineRule="exact"/>
              <w:rPr>
                <w:sz w:val="20"/>
                <w:szCs w:val="20"/>
                <w:color w:val="auto"/>
              </w:rPr>
            </w:pPr>
            <w:r>
              <w:rPr>
                <w:rFonts w:ascii="Arial" w:cs="Arial" w:eastAsia="Arial" w:hAnsi="Arial"/>
                <w:sz w:val="13"/>
                <w:szCs w:val="13"/>
                <w:color w:val="auto"/>
              </w:rPr>
              <w:t>Accounts receivable</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689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Prepaid expenses</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line="129" w:lineRule="exact"/>
              <w:rPr>
                <w:sz w:val="20"/>
                <w:szCs w:val="20"/>
                <w:color w:val="auto"/>
              </w:rPr>
            </w:pPr>
            <w:r>
              <w:rPr>
                <w:rFonts w:ascii="Arial" w:cs="Arial" w:eastAsia="Arial" w:hAnsi="Arial"/>
                <w:sz w:val="13"/>
                <w:szCs w:val="13"/>
                <w:color w:val="auto"/>
              </w:rPr>
              <w:t>Total current assets</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31,140</w:t>
            </w: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223,531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255,134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Prepaid expenses, non-current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100"/>
              <w:spacing w:after="0" w:line="135" w:lineRule="exact"/>
              <w:rPr>
                <w:sz w:val="20"/>
                <w:szCs w:val="20"/>
                <w:color w:val="auto"/>
              </w:rPr>
            </w:pPr>
            <w:r>
              <w:rPr>
                <w:rFonts w:ascii="Arial" w:cs="Arial" w:eastAsia="Arial" w:hAnsi="Arial"/>
                <w:sz w:val="13"/>
                <w:szCs w:val="13"/>
                <w:color w:val="auto"/>
              </w:rPr>
              <w:t>Marketable securities held in Trust Account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100,031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(100,031)</w:t>
            </w: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Finance lease right-of-use assets, net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22,462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22,462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100"/>
              <w:spacing w:after="0" w:line="135" w:lineRule="exact"/>
              <w:rPr>
                <w:sz w:val="20"/>
                <w:szCs w:val="20"/>
                <w:color w:val="auto"/>
              </w:rPr>
            </w:pPr>
            <w:r>
              <w:rPr>
                <w:rFonts w:ascii="Arial" w:cs="Arial" w:eastAsia="Arial" w:hAnsi="Arial"/>
                <w:sz w:val="13"/>
                <w:szCs w:val="13"/>
                <w:color w:val="auto"/>
              </w:rPr>
              <w:t>Operating lease right-of-use assets, net</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748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offering costs</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3,242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(3,242)</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(5)</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100"/>
              <w:spacing w:after="0" w:line="135" w:lineRule="exact"/>
              <w:rPr>
                <w:sz w:val="20"/>
                <w:szCs w:val="20"/>
                <w:color w:val="auto"/>
              </w:rPr>
            </w:pPr>
            <w:r>
              <w:rPr>
                <w:rFonts w:ascii="Arial" w:cs="Arial" w:eastAsia="Arial" w:hAnsi="Arial"/>
                <w:sz w:val="13"/>
                <w:szCs w:val="13"/>
                <w:color w:val="auto"/>
              </w:rPr>
              <w:t>Property and equipment, net</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37,960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37,960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100,510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95,552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120,258</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316,320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580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LIABILITIES, REDEEMABLE CONVERTIBLE PREFERRED STOCK AND STOCKHOLDERS’</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(DEFICIT) EQUITY</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3,039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(2,199)</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100"/>
              <w:spacing w:after="0" w:line="135" w:lineRule="exact"/>
              <w:rPr>
                <w:sz w:val="20"/>
                <w:szCs w:val="20"/>
                <w:color w:val="auto"/>
              </w:rPr>
            </w:pPr>
            <w:r>
              <w:rPr>
                <w:rFonts w:ascii="Arial" w:cs="Arial" w:eastAsia="Arial" w:hAnsi="Arial"/>
                <w:sz w:val="13"/>
                <w:szCs w:val="13"/>
                <w:color w:val="auto"/>
              </w:rPr>
              <w:t>Franchise tax payable</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Accrued expenses</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8,652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100"/>
              <w:spacing w:after="0" w:line="135" w:lineRule="exact"/>
              <w:rPr>
                <w:sz w:val="20"/>
                <w:szCs w:val="20"/>
                <w:color w:val="auto"/>
              </w:rPr>
            </w:pPr>
            <w:r>
              <w:rPr>
                <w:rFonts w:ascii="Arial" w:cs="Arial" w:eastAsia="Arial" w:hAnsi="Arial"/>
                <w:sz w:val="13"/>
                <w:szCs w:val="13"/>
                <w:color w:val="auto"/>
              </w:rPr>
              <w:t>SVB loan payable, current portion</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2,222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2,222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payroll tax, current portion</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100"/>
              <w:spacing w:after="0" w:line="135" w:lineRule="exact"/>
              <w:rPr>
                <w:sz w:val="20"/>
                <w:szCs w:val="20"/>
                <w:color w:val="auto"/>
              </w:rPr>
            </w:pPr>
            <w:r>
              <w:rPr>
                <w:rFonts w:ascii="Arial" w:cs="Arial" w:eastAsia="Arial" w:hAnsi="Arial"/>
                <w:sz w:val="13"/>
                <w:szCs w:val="13"/>
                <w:color w:val="auto"/>
              </w:rPr>
              <w:t>Finance lease obligation, current portion</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1,852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1,852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Operating lease obligation, current portion</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00" w:type="dxa"/>
            <w:vAlign w:val="bottom"/>
          </w:tcPr>
          <w:p>
            <w:pPr>
              <w:spacing w:after="0" w:line="129" w:lineRule="exact"/>
              <w:rPr>
                <w:sz w:val="20"/>
                <w:szCs w:val="20"/>
                <w:color w:val="auto"/>
              </w:rPr>
            </w:pPr>
            <w:r>
              <w:rPr>
                <w:rFonts w:ascii="Arial" w:cs="Arial" w:eastAsia="Arial" w:hAnsi="Arial"/>
                <w:sz w:val="13"/>
                <w:szCs w:val="13"/>
                <w:color w:val="auto"/>
              </w:rPr>
              <w:t>Total current liabilities</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15,953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(2,199)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13,974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Secured bank loan facility</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Contingent consideration</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147,679</w:t>
            </w:r>
          </w:p>
        </w:tc>
        <w:tc>
          <w:tcPr>
            <w:tcW w:w="2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(7)</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147,679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Warrant liabilities</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14,465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(14,000)</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(11)</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Deferred underwriters’ discount payable</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2,123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(2,123)</w:t>
            </w: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(6)</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SVB loan payable, net of current portion</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15,390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Deferred payroll tax, net of current portion</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144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Finance lease obligation, net of current portion</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22,133</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Operating lease obligation, net of current portion</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705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liabilities</w:t>
            </w: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16,808</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54,325</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129,357</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200,490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Commitments and contingencies</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Class A common stock subject to possible redemption</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78,702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(78,702)</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(2)</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Redeemable Convertible Preferred Stock</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Series A, B, C and D redeemable convertible preferred stock</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420,989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(420,989)</w:t>
            </w: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(4)</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redeemable convertible preferred stock</w:t>
            </w: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420,989</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(420,989)</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Stockholders’ (deficit) equity</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100"/>
              <w:spacing w:after="0" w:line="135" w:lineRule="exact"/>
              <w:rPr>
                <w:sz w:val="20"/>
                <w:szCs w:val="20"/>
                <w:color w:val="auto"/>
              </w:rPr>
            </w:pPr>
            <w:r>
              <w:rPr>
                <w:rFonts w:ascii="Arial" w:cs="Arial" w:eastAsia="Arial" w:hAnsi="Arial"/>
                <w:sz w:val="13"/>
                <w:szCs w:val="13"/>
                <w:color w:val="auto"/>
              </w:rPr>
              <w:t>Class A common stock</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(3)</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(8)</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(9)</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(12)</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Class B common stock</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(8)</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Common stock</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265</w:t>
            </w:r>
          </w:p>
        </w:tc>
        <w:tc>
          <w:tcPr>
            <w:tcW w:w="2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(4)</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(288)</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(9)</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12,728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45,810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78,701</w:t>
            </w:r>
          </w:p>
        </w:tc>
        <w:tc>
          <w:tcPr>
            <w:tcW w:w="2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541,416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174,998</w:t>
            </w: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(3)</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420,724</w:t>
            </w:r>
          </w:p>
        </w:tc>
        <w:tc>
          <w:tcPr>
            <w:tcW w:w="2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(20,000)</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(5)</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(324)</w:t>
            </w: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(6)</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(147,679)</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(7)</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283</w:t>
            </w:r>
          </w:p>
        </w:tc>
        <w:tc>
          <w:tcPr>
            <w:tcW w:w="2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(9)</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(7,730)</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(10)</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14,000</w:t>
            </w:r>
          </w:p>
        </w:tc>
        <w:tc>
          <w:tcPr>
            <w:tcW w:w="2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(30,096)</w:t>
            </w:r>
          </w:p>
        </w:tc>
        <w:tc>
          <w:tcPr>
            <w:tcW w:w="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(12)</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Accumulated (deficit) equity</w:t>
            </w: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(7,730)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(425,595)</w:t>
            </w: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7,730</w:t>
            </w:r>
          </w:p>
        </w:tc>
        <w:tc>
          <w:tcPr>
            <w:tcW w:w="2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(10)</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(425,595)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stockholders’ (deficit) equity</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(379,762)</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490,593</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115,831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liabilities, redeemable convertible preferred stock and stockholders’ (deficit) equity</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100,510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95,552</w:t>
            </w:r>
          </w:p>
        </w:tc>
        <w:tc>
          <w:tcPr>
            <w:tcW w:w="1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120,258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316,320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9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YEAR ENDED DECEMBER 31, 2020</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Humacyte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Transaction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Transaction</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AHAC</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Historical</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(Note 2)</w:t>
            </w: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(Note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66,091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(64,600)</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(64,600)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Change in fair value of warrant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8"/>
                <w:szCs w:val="18"/>
                <w:b w:val="1"/>
                <w:bCs w:val="1"/>
                <w:color w:val="auto"/>
              </w:rPr>
              <w:t>(2)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Offering expenses related to warrant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xml:space="preserve">(2,816) </w:t>
            </w: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(69,340)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shares outstanding of</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Class A common stock subject to possible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redemption</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6,338,515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9"/>
              </w:rPr>
              <w:t>Basic and diluted net income per share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w w:val="92"/>
              </w:rPr>
              <w:t>Class A common stock subject to possible</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redemption</w:t>
            </w:r>
          </w:p>
        </w:tc>
        <w:tc>
          <w:tcPr>
            <w:tcW w:w="180" w:type="dxa"/>
            <w:vAlign w:val="bottom"/>
            <w:gridSpan w:val="2"/>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 average shares outstanding of</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non-redeemable common stock</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Basic and diluted loss per share - non-</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redeemable common stock</w:t>
            </w:r>
          </w:p>
        </w:tc>
        <w:tc>
          <w:tcPr>
            <w:tcW w:w="1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 average shares outstanding of</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Humacyte common stock</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21,956,162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81,047,222</w:t>
            </w:r>
          </w:p>
        </w:tc>
        <w:tc>
          <w:tcPr>
            <w:tcW w:w="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103,003,384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(3.03)</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(0.68)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Humacyte 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period from July 1, 2020 (inception) through December 31,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98" w:lineRule="exact"/>
        <w:rPr>
          <w:sz w:val="20"/>
          <w:szCs w:val="20"/>
          <w:color w:val="auto"/>
        </w:rPr>
      </w:pPr>
    </w:p>
    <w:p>
      <w:pPr>
        <w:jc w:val="right"/>
        <w:ind w:right="3020"/>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27" w:lineRule="exact"/>
        <w:rPr>
          <w:sz w:val="20"/>
          <w:szCs w:val="20"/>
          <w:color w:val="auto"/>
        </w:rPr>
      </w:pPr>
    </w:p>
    <w:p>
      <w:pPr>
        <w:jc w:val="right"/>
        <w:ind w:right="29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Humacyte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3"/>
              </w:rPr>
              <w:t>Transaction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Transaction</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AHAC</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Accounting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Historical</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(Historical)</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(Note 2)</w:t>
            </w: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(Note 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39,883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(39,038)</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(39,038)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Change in fair value of warrant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(8,427)</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8,250</w:t>
            </w:r>
          </w:p>
        </w:tc>
        <w:tc>
          <w:tcPr>
            <w:tcW w:w="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PPP loan forgiveness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Offering expenses related to warrant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issuance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(693) </w:t>
            </w: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(9,149)</w:t>
            </w: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(37,499)</w:t>
            </w: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2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(38,192)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8,250</w:t>
            </w:r>
          </w:p>
        </w:tc>
        <w:tc>
          <w:tcPr>
            <w:tcW w:w="2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9"/>
              </w:rPr>
              <w:t>Weighted average shares outstanding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w w:val="92"/>
              </w:rPr>
              <w:t>Class A common stock subject to possible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redemption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8,315,869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and diluted net income per share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Class A common stock subject to possible</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redemption</w:t>
            </w:r>
          </w:p>
        </w:tc>
        <w:tc>
          <w:tcPr>
            <w:tcW w:w="1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9"/>
              </w:rPr>
              <w:t>Weighted average shares outstanding of</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non-redeemable common stock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4,539,131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loss per share - non-</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(2.02)</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redeemable common stock</w:t>
            </w:r>
          </w:p>
        </w:tc>
        <w:tc>
          <w:tcPr>
            <w:tcW w:w="1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9"/>
              </w:rPr>
              <w:t>Weighted average shares outstanding of</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Humacyte common stock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22,499,516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80,503,868</w:t>
            </w:r>
          </w:p>
        </w:tc>
        <w:tc>
          <w:tcPr>
            <w:tcW w:w="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103,003,384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(1.67)</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Humacyte common stock</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Unaudited Pro Forma Condensed Combined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Business Combination was accounted for as a reverse recapitalization in accordance with GAAP. Under this method of accounting, AHAC was treated as the “acquired” company for financial reporting purposes. Accordingly, for accounting purposes, the financial statements of New Humacyte represent a continuation of the financial statements of Humacyte, and the Business Combination was treated as the equivalent of Humacyte issuing stock for the net assets of AHAC, accompanied by a recapitalization. The net assets of AHAC are stated at historical cost, with no goodwill or other intangible assets recorded. Operations prior to the Business Combination are those of Humacyte.</w:t>
      </w:r>
    </w:p>
    <w:p>
      <w:pPr>
        <w:spacing w:after="0" w:line="15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unaudited pro forma condensed combined balance sheet as of June 30, 2021 gives pro forma effect to the Business Combination and other events contemplated by the Business Combination Agreement as if they had been consummated on June 30, 2021. The unaudited pro forma condensed combined statement of operations for the year ended December 31, 2020 and the six months ended June 30, 2021, gives pro forma effect to the Business Combination, the other events contemplated by the Business Combination Agreement and the financing transaction as if they had been consummated on January 1, 2020.</w:t>
      </w:r>
    </w:p>
    <w:p>
      <w:pPr>
        <w:spacing w:after="0" w:line="14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unaudited pro forma condensed combined financial information and the accompanying notes have been derived from and should be read in conjunction with the following information, which is included elsewhere in the registration statement of which this prospectus forms a part:</w:t>
      </w:r>
    </w:p>
    <w:p>
      <w:pPr>
        <w:spacing w:after="0" w:line="143" w:lineRule="exact"/>
        <w:rPr>
          <w:sz w:val="20"/>
          <w:szCs w:val="20"/>
          <w:color w:val="auto"/>
        </w:rPr>
      </w:pPr>
    </w:p>
    <w:p>
      <w:pPr>
        <w:ind w:left="680" w:right="16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historical audited financial statements of AHAC as of December 31, 2020 and for the period from July 1, 2020 (inception) through December 31, 2020 and the related notes;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historical unaudited financial statements of AHAC as of and for the six months ended June 30, 2021 and the related notes;</w:t>
      </w:r>
    </w:p>
    <w:p>
      <w:pPr>
        <w:spacing w:after="0" w:line="207" w:lineRule="exact"/>
        <w:rPr>
          <w:rFonts w:ascii="Arial" w:cs="Arial" w:eastAsia="Arial" w:hAnsi="Arial"/>
          <w:sz w:val="16"/>
          <w:szCs w:val="16"/>
          <w:color w:val="auto"/>
        </w:rPr>
      </w:pPr>
    </w:p>
    <w:p>
      <w:pPr>
        <w:ind w:left="680" w:hanging="321"/>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historical audited financial statements of Humacyte as of and for the year ended December 31, 2020 and the related notes;</w:t>
      </w:r>
    </w:p>
    <w:p>
      <w:pPr>
        <w:spacing w:after="0" w:line="221" w:lineRule="exact"/>
        <w:rPr>
          <w:rFonts w:ascii="Arial" w:cs="Arial" w:eastAsia="Arial" w:hAnsi="Arial"/>
          <w:sz w:val="16"/>
          <w:szCs w:val="16"/>
          <w:color w:val="auto"/>
        </w:rPr>
      </w:pPr>
    </w:p>
    <w:p>
      <w:pPr>
        <w:ind w:left="680" w:right="42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historical unaudited financial statements of Humacyte as of and for the six months ended June 30, 2021 and the related notes; and</w:t>
      </w:r>
    </w:p>
    <w:p>
      <w:pPr>
        <w:spacing w:after="0" w:line="129" w:lineRule="exact"/>
        <w:rPr>
          <w:rFonts w:ascii="Arial" w:cs="Arial" w:eastAsia="Arial" w:hAnsi="Arial"/>
          <w:sz w:val="18"/>
          <w:szCs w:val="18"/>
          <w:color w:val="auto"/>
        </w:rPr>
      </w:pPr>
    </w:p>
    <w:p>
      <w:pPr>
        <w:ind w:left="680" w:right="40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information relating to AHAC and Humacyte, including the Business Combination Agreement and the description of certain terms thereof.</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sections of the AHAC 10-K/A and the AHAC 10-Q entitled “Management’s Discussion and Analysis of Financial Condition and Results of Operations” and the section of this Current Report entitled “Management’s Discussion and Analysis of Financial Condition and Results of Operations,” as well as other financial information included elsewhere in this prospectus.</w:t>
      </w:r>
    </w:p>
    <w:p>
      <w:pPr>
        <w:spacing w:after="0" w:line="16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4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pro forma adjustments reflecting the consummation of the Business Combination are based on information available as of the date of this prospectus and certain assumptions and methodologies that management believes are reasonable under the circumstances. The unaudited condensed pro forma adjustments, which are described in these notes, may be revised as additional information becomes available and is evaluated. Therefore, the actual adjustments may materially differ from the pro forma adjustments that appear in the registration statement of which this prospectus forms a part. Management considers this basis of presentation to be reasonable under the circumstances.</w:t>
      </w:r>
    </w:p>
    <w:p>
      <w:pPr>
        <w:spacing w:after="0" w:line="15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One-time direct and incremental transaction costs anticipated to be incurred prior to, or concurrent with, the closing of the Business Combination are reflected in the unaudited pro forma condensed combined balance sheet as a direct reduction to the New Humacyte’s additional paid-in capital and are assumed to be cash settled.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1440"/>
        <w:spacing w:after="0" w:line="522" w:lineRule="auto"/>
        <w:rPr>
          <w:sz w:val="20"/>
          <w:szCs w:val="20"/>
          <w:color w:val="auto"/>
        </w:rPr>
      </w:pPr>
      <w:r>
        <w:rPr>
          <w:rFonts w:ascii="Arial" w:cs="Arial" w:eastAsia="Arial" w:hAnsi="Arial"/>
          <w:sz w:val="16"/>
          <w:szCs w:val="16"/>
          <w:b w:val="1"/>
          <w:bCs w:val="1"/>
          <w:color w:val="auto"/>
        </w:rPr>
        <w:t xml:space="preserve">2. Transaction Accounting Adjustments to Unaudited Pro Forma Condensed Combined Financial Information </w:t>
      </w:r>
      <w:r>
        <w:rPr>
          <w:rFonts w:ascii="Arial" w:cs="Arial" w:eastAsia="Arial" w:hAnsi="Arial"/>
          <w:sz w:val="16"/>
          <w:szCs w:val="16"/>
          <w:b w:val="1"/>
          <w:bCs w:val="1"/>
          <w:i w:val="1"/>
          <w:iCs w:val="1"/>
          <w:color w:val="auto"/>
        </w:rPr>
        <w:t>Transaction Accounting Adjustments to Unaudited Pro Forma Condensed Combined Balance Sheet</w:t>
      </w:r>
    </w:p>
    <w:p>
      <w:pPr>
        <w:ind w:right="100" w:firstLine="324"/>
        <w:spacing w:after="0" w:line="277" w:lineRule="auto"/>
        <w:rPr>
          <w:sz w:val="20"/>
          <w:szCs w:val="20"/>
          <w:color w:val="auto"/>
        </w:rPr>
      </w:pPr>
      <w:r>
        <w:rPr>
          <w:rFonts w:ascii="Arial" w:cs="Arial" w:eastAsia="Arial" w:hAnsi="Arial"/>
          <w:sz w:val="18"/>
          <w:szCs w:val="18"/>
          <w:color w:val="auto"/>
        </w:rPr>
        <w:t>The transaction accounting adjustments included in the unaudited pro forma condensed combined balance sheet as of June 30, 2021 are as follows:</w:t>
      </w:r>
    </w:p>
    <w:p>
      <w:pPr>
        <w:spacing w:after="0" w:line="130" w:lineRule="exact"/>
        <w:rPr>
          <w:sz w:val="20"/>
          <w:szCs w:val="20"/>
          <w:color w:val="auto"/>
        </w:rPr>
      </w:pPr>
    </w:p>
    <w:p>
      <w:pPr>
        <w:ind w:left="680" w:right="700" w:hanging="321"/>
        <w:spacing w:after="0" w:line="342"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Reflects the liquidation and reclassification of cash and investments held in the Trust Account (as defined in the Proxy Statement/Prospectus) that became available for general use by New Humacyte following the Business Combination.</w:t>
      </w:r>
    </w:p>
    <w:p>
      <w:pPr>
        <w:spacing w:after="0" w:line="96" w:lineRule="exact"/>
        <w:rPr>
          <w:rFonts w:ascii="Arial" w:cs="Arial" w:eastAsia="Arial" w:hAnsi="Arial"/>
          <w:sz w:val="16"/>
          <w:szCs w:val="16"/>
          <w:color w:val="auto"/>
        </w:rPr>
      </w:pPr>
    </w:p>
    <w:p>
      <w:pPr>
        <w:ind w:left="680" w:right="48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the transfer of AHAC’s Class A common stock subject to possible redemptions as of June 30, 2021 to permanent equity.</w:t>
      </w:r>
    </w:p>
    <w:p>
      <w:pPr>
        <w:spacing w:after="0" w:line="129"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the gross proceeds of $175.0 million from the PIPE Investment (17,500,000 shares of common stock at $10.00 per share).</w:t>
      </w:r>
    </w:p>
    <w:p>
      <w:pPr>
        <w:spacing w:after="0" w:line="129" w:lineRule="exact"/>
        <w:rPr>
          <w:rFonts w:ascii="Arial" w:cs="Arial" w:eastAsia="Arial" w:hAnsi="Arial"/>
          <w:sz w:val="18"/>
          <w:szCs w:val="18"/>
          <w:color w:val="auto"/>
        </w:rPr>
      </w:pPr>
    </w:p>
    <w:p>
      <w:pPr>
        <w:ind w:left="680" w:right="40" w:hanging="321"/>
        <w:spacing w:after="0" w:line="263"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the conversion of all Humacyte preferred stock (Series A preferred, Series B preferred, Series C preferred and Series D preferred) into common stock pursuant to the conversion rate for such shares of Humacyte preferred stock effective immediately prior to the closing.</w:t>
      </w:r>
    </w:p>
    <w:p>
      <w:pPr>
        <w:spacing w:after="0" w:line="143" w:lineRule="exact"/>
        <w:rPr>
          <w:rFonts w:ascii="Arial" w:cs="Arial" w:eastAsia="Arial" w:hAnsi="Arial"/>
          <w:sz w:val="18"/>
          <w:szCs w:val="18"/>
          <w:color w:val="auto"/>
        </w:rPr>
      </w:pPr>
    </w:p>
    <w:p>
      <w:pPr>
        <w:ind w:left="680" w:right="100" w:hanging="321"/>
        <w:spacing w:after="0" w:line="271"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Reflects the payment of direct and incremental transaction costs incurred prior to or concurrent with the Business Combination and PIPE Investment of $20.0 million, which were cash settled upon closing in accordance with the Business Combination Agreement. Transaction costs includes legal, accounting, financial advisory and other professional fees related to the Business Combination and PIPE Investment. For purposes of a reverse recapitalization transaction, these direct and incremental transaction costs related to the Business Combination were treated as a reduction of the cash proceeds resulting from the Business Combination and will accordingly be reported by the Combined Company as a reduction to additional paid-in capital rather than expensed as incurred. As of June 30, 2021, Humacyte had deferred transaction costs incurred of $3.2 million, of which $2.2 million was unpaid.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73"/>
              <w:spacing w:after="0"/>
              <w:rPr>
                <w:sz w:val="20"/>
                <w:szCs w:val="20"/>
                <w:color w:val="auto"/>
              </w:rPr>
            </w:pPr>
            <w:r>
              <w:rPr>
                <w:rFonts w:ascii="Arial" w:cs="Arial" w:eastAsia="Arial" w:hAnsi="Arial"/>
                <w:sz w:val="14"/>
                <w:szCs w:val="14"/>
                <w:b w:val="1"/>
                <w:bCs w:val="1"/>
                <w:color w:val="auto"/>
              </w:rPr>
              <w:t>Reverse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PIPE</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9"/>
              </w:rPr>
              <w:t>Recapitalization</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Advisory and broker fees</w:t>
            </w:r>
          </w:p>
        </w:tc>
        <w:tc>
          <w:tcPr>
            <w:tcW w:w="2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9,850,000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Legal</w:t>
            </w: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Accounting</w:t>
            </w:r>
          </w:p>
        </w:tc>
        <w:tc>
          <w:tcPr>
            <w:tcW w:w="2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9,800,000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10,200,000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80" w:right="160" w:hanging="321"/>
        <w:spacing w:after="0" w:line="263"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payment of the $2.4 million deferred underwriters’ discount payable related to AHAC’s initial public offering. As of June 30, 2021, $2.1 million was outstanding on AHAC’s balance sheet, which assumed the maximum number of shares of AHAC Class A common stock were redeemed.</w:t>
      </w:r>
    </w:p>
    <w:p>
      <w:pPr>
        <w:spacing w:after="0" w:line="156" w:lineRule="exact"/>
        <w:rPr>
          <w:rFonts w:ascii="Arial" w:cs="Arial" w:eastAsia="Arial" w:hAnsi="Arial"/>
          <w:sz w:val="18"/>
          <w:szCs w:val="18"/>
          <w:color w:val="auto"/>
        </w:rPr>
      </w:pPr>
    </w:p>
    <w:p>
      <w:pPr>
        <w:ind w:left="680" w:right="80" w:hanging="321"/>
        <w:spacing w:after="0" w:line="259"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preliminary estimated fair value of the shares of common stock contingently issuable to shareholders of Humacyte upon the occurrence of certain triggering events as of the closing. The preliminary estimated fair value of these shares was determined using the most reliable information available. The actual fair value could change materially once the final valuation is determined at the closing. Refer to Note 4 for more information.</w:t>
      </w:r>
    </w:p>
    <w:p>
      <w:pPr>
        <w:spacing w:after="0" w:line="146"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conversion of AHAC’s Class B common stock to Class A common stock.</w:t>
      </w:r>
    </w:p>
    <w:p>
      <w:pPr>
        <w:spacing w:after="0" w:line="184" w:lineRule="exact"/>
        <w:rPr>
          <w:rFonts w:ascii="Arial" w:cs="Arial" w:eastAsia="Arial" w:hAnsi="Arial"/>
          <w:sz w:val="18"/>
          <w:szCs w:val="18"/>
          <w:color w:val="auto"/>
        </w:rPr>
      </w:pPr>
    </w:p>
    <w:p>
      <w:pPr>
        <w:ind w:left="680" w:right="720" w:hanging="321"/>
        <w:spacing w:after="0" w:line="277"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recapitalization of equity as a result of the exchange of Humacyte common stock for common stock at the Exchange Ratio.</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elimination of AHAC’s accumulated deficit to additional paid-in capital.</w:t>
      </w:r>
    </w:p>
    <w:p>
      <w:pPr>
        <w:spacing w:after="0" w:line="184" w:lineRule="exact"/>
        <w:rPr>
          <w:rFonts w:ascii="Arial" w:cs="Arial" w:eastAsia="Arial" w:hAnsi="Arial"/>
          <w:sz w:val="18"/>
          <w:szCs w:val="18"/>
          <w:color w:val="auto"/>
        </w:rPr>
      </w:pPr>
    </w:p>
    <w:p>
      <w:pPr>
        <w:ind w:left="680" w:right="440" w:hanging="321"/>
        <w:spacing w:after="0" w:line="342" w:lineRule="auto"/>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the reclassification of the warrant liabilities associated with AHAC’s public warrants to additional paid in capital. AHAC’s public warrants are expected to be equity classified upon consummation of the Business Combination.</w:t>
      </w:r>
    </w:p>
    <w:p>
      <w:pPr>
        <w:spacing w:after="0" w:line="83" w:lineRule="exact"/>
        <w:rPr>
          <w:rFonts w:ascii="Arial" w:cs="Arial" w:eastAsia="Arial" w:hAnsi="Arial"/>
          <w:sz w:val="16"/>
          <w:szCs w:val="16"/>
          <w:color w:val="auto"/>
        </w:rPr>
      </w:pPr>
    </w:p>
    <w:p>
      <w:pPr>
        <w:ind w:left="680" w:right="160" w:hanging="321"/>
        <w:spacing w:after="0" w:line="277"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cash disbursement for the actual redemption of 3,008,551 shares of Class A Common Stock at a redemption price of approximately $10.00 per share, totaling approximately $30.1 million.</w:t>
      </w:r>
    </w:p>
    <w:p>
      <w:pPr>
        <w:sectPr>
          <w:pgSz w:w="11900" w:h="16838" w:orient="portrait"/>
          <w:cols w:equalWidth="0" w:num="1">
            <w:col w:w="9920"/>
          </w:cols>
          <w:pgMar w:left="980" w:top="12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Accounting Adjustments to Unaudited Pro Forma Condensed Combined Statement of Operations</w:t>
      </w:r>
    </w:p>
    <w:p>
      <w:pPr>
        <w:spacing w:after="0" w:line="19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transaction accounting adjustments included in the unaudited pro forma condensed combined statement of operations for the year ended December 31, 2020 and the six months ended June 30, 2021 are as follows:</w:t>
      </w:r>
    </w:p>
    <w:p>
      <w:pPr>
        <w:spacing w:after="0" w:line="130" w:lineRule="exact"/>
        <w:rPr>
          <w:sz w:val="20"/>
          <w:szCs w:val="20"/>
          <w:color w:val="auto"/>
        </w:rPr>
      </w:pPr>
    </w:p>
    <w:p>
      <w:pPr>
        <w:ind w:left="680" w:hanging="321"/>
        <w:spacing w:after="0"/>
        <w:tabs>
          <w:tab w:leader="none" w:pos="6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Reflects an adjustment to eliminate interest income related to the Trust Account.</w:t>
      </w:r>
    </w:p>
    <w:p>
      <w:pPr>
        <w:spacing w:after="0" w:line="184" w:lineRule="exact"/>
        <w:rPr>
          <w:rFonts w:ascii="Arial" w:cs="Arial" w:eastAsia="Arial" w:hAnsi="Arial"/>
          <w:sz w:val="18"/>
          <w:szCs w:val="18"/>
          <w:color w:val="auto"/>
        </w:rPr>
      </w:pPr>
    </w:p>
    <w:p>
      <w:pPr>
        <w:ind w:left="680" w:right="120" w:hanging="321"/>
        <w:spacing w:after="0" w:line="342" w:lineRule="auto"/>
        <w:tabs>
          <w:tab w:leader="none" w:pos="6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Reflects an adjustment to eliminate the change in fair value of warrant liabilities associated with AHAC’s public warrants, as such warrants are expected to become equity classified upon the consummation of the Business Combination.</w:t>
      </w:r>
    </w:p>
    <w:p>
      <w:pPr>
        <w:spacing w:after="0" w:line="96" w:lineRule="exact"/>
        <w:rPr>
          <w:rFonts w:ascii="Arial" w:cs="Arial" w:eastAsia="Arial" w:hAnsi="Arial"/>
          <w:sz w:val="16"/>
          <w:szCs w:val="16"/>
          <w:color w:val="auto"/>
        </w:rPr>
      </w:pPr>
    </w:p>
    <w:p>
      <w:pPr>
        <w:ind w:left="680" w:right="160" w:hanging="321"/>
        <w:spacing w:after="0" w:line="277" w:lineRule="auto"/>
        <w:tabs>
          <w:tab w:leader="none" w:pos="6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Reflects an adjustment for the interest expense, discount amortization, and accretion of the final payment related to the Loan Agreement.</w:t>
      </w:r>
    </w:p>
    <w:p>
      <w:pPr>
        <w:spacing w:after="0" w:line="129" w:lineRule="exact"/>
        <w:rPr>
          <w:rFonts w:ascii="Arial" w:cs="Arial" w:eastAsia="Arial" w:hAnsi="Arial"/>
          <w:sz w:val="18"/>
          <w:szCs w:val="18"/>
          <w:color w:val="auto"/>
        </w:rPr>
      </w:pPr>
    </w:p>
    <w:p>
      <w:pPr>
        <w:ind w:left="680" w:right="300" w:hanging="321"/>
        <w:spacing w:after="0" w:line="308" w:lineRule="auto"/>
        <w:tabs>
          <w:tab w:leader="none" w:pos="6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Reflects the increase in the weighted average shares of common stock outstanding due to the issuance of common stock in connection with the Business Combination and PIPE Investment, which is described further in Note 3.</w:t>
      </w:r>
    </w:p>
    <w:p>
      <w:pPr>
        <w:spacing w:after="0" w:line="101" w:lineRule="exact"/>
        <w:rPr>
          <w:rFonts w:ascii="Arial" w:cs="Arial" w:eastAsia="Arial" w:hAnsi="Arial"/>
          <w:sz w:val="17"/>
          <w:szCs w:val="17"/>
          <w:color w:val="auto"/>
        </w:rPr>
      </w:pPr>
    </w:p>
    <w:p>
      <w:pPr>
        <w:ind w:left="180" w:hanging="172"/>
        <w:spacing w:after="0"/>
        <w:tabs>
          <w:tab w:leader="none" w:pos="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Represents the net loss per share calculated using the historical weighted average shares of AHAC common stock outstanding, and the issuance of additional shares in connection with the Business Combination and other related events, assuming the shares were outstanding since January 1, 2020. As the Business Combination and other related events are being reflected as if they had occurred at the beginning of the period presented, the calculation of weighted average shares outstanding for basic and diluted net loss per share assumes that the shares issuable in connection with the Business Combination have been outstanding for the entire period presented. No unexercised stock options and warrants were included in the earnings per share calculation as they would be anti-dilutive.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(69,957,000)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103,003,384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Net loss per share - basic and diluted </w:t>
            </w:r>
            <w:r>
              <w:rPr>
                <w:rFonts w:ascii="Arial" w:cs="Arial" w:eastAsia="Arial" w:hAnsi="Arial"/>
                <w:sz w:val="25"/>
                <w:szCs w:val="25"/>
                <w:color w:val="auto"/>
                <w:vertAlign w:val="superscript"/>
              </w:rPr>
              <w:t>(1)</w:t>
            </w:r>
          </w:p>
        </w:tc>
        <w:tc>
          <w:tcPr>
            <w:tcW w:w="11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New Humacyte Class A public shares</w:t>
            </w: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vMerge w:val="continue"/>
          </w:tcPr>
          <w:p>
            <w:pPr>
              <w:spacing w:after="0"/>
              <w:rPr>
                <w:sz w:val="17"/>
                <w:szCs w:val="17"/>
                <w:color w:val="auto"/>
              </w:rPr>
            </w:pPr>
          </w:p>
        </w:tc>
        <w:tc>
          <w:tcPr>
            <w:tcW w:w="570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7,346,449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Humacyte Class B shares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New Humacyte shares issued to PIPE Investors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17,500,000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Humacyte shares issued in merger to Humacyte stockholders</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75,656,935</w:t>
            </w:r>
          </w:p>
        </w:tc>
        <w:tc>
          <w:tcPr>
            <w:tcW w:w="0" w:type="dxa"/>
            <w:vAlign w:val="bottom"/>
          </w:tcPr>
          <w:p>
            <w:pPr>
              <w:spacing w:after="0"/>
              <w:rPr>
                <w:sz w:val="1"/>
                <w:szCs w:val="1"/>
                <w:color w:val="auto"/>
              </w:rPr>
            </w:pPr>
          </w:p>
        </w:tc>
      </w:tr>
      <w:tr>
        <w:trPr>
          <w:trHeight w:val="209"/>
        </w:trPr>
        <w:tc>
          <w:tcPr>
            <w:tcW w:w="6700" w:type="dxa"/>
            <w:vAlign w:val="bottom"/>
            <w:gridSpan w:val="3"/>
          </w:tcPr>
          <w:p>
            <w:pPr>
              <w:ind w:left="1000"/>
              <w:spacing w:after="0"/>
              <w:rPr>
                <w:sz w:val="20"/>
                <w:szCs w:val="20"/>
                <w:color w:val="auto"/>
              </w:rPr>
            </w:pPr>
            <w:r>
              <w:rPr>
                <w:rFonts w:ascii="Arial" w:cs="Arial" w:eastAsia="Arial" w:hAnsi="Arial"/>
                <w:sz w:val="18"/>
                <w:szCs w:val="18"/>
                <w:color w:val="auto"/>
              </w:rPr>
              <w:t>Shares outstanding</w:t>
            </w:r>
          </w:p>
        </w:tc>
        <w:tc>
          <w:tcPr>
            <w:tcW w:w="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103,003,384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(39,091,000)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103,003,384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Net loss per share - basic and diluted </w:t>
            </w:r>
            <w:r>
              <w:rPr>
                <w:rFonts w:ascii="Arial" w:cs="Arial" w:eastAsia="Arial" w:hAnsi="Arial"/>
                <w:sz w:val="25"/>
                <w:szCs w:val="25"/>
                <w:color w:val="auto"/>
                <w:vertAlign w:val="superscript"/>
              </w:rPr>
              <w:t>(1)</w:t>
            </w:r>
          </w:p>
        </w:tc>
        <w:tc>
          <w:tcPr>
            <w:tcW w:w="11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New Humacyte Class A public shares</w:t>
            </w: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0" w:type="dxa"/>
            <w:vAlign w:val="bottom"/>
            <w:vMerge w:val="continue"/>
          </w:tcPr>
          <w:p>
            <w:pPr>
              <w:spacing w:after="0"/>
              <w:rPr>
                <w:sz w:val="17"/>
                <w:szCs w:val="17"/>
                <w:color w:val="auto"/>
              </w:rPr>
            </w:pPr>
          </w:p>
        </w:tc>
        <w:tc>
          <w:tcPr>
            <w:tcW w:w="570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7,346,449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Humacyte Class B shares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New Humacyte shares issued to PIPE Investors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17,500,000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Humacyte shares issued in merger to Humacyte stockholders</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75,656,935</w:t>
            </w:r>
          </w:p>
        </w:tc>
        <w:tc>
          <w:tcPr>
            <w:tcW w:w="0" w:type="dxa"/>
            <w:vAlign w:val="bottom"/>
          </w:tcPr>
          <w:p>
            <w:pPr>
              <w:spacing w:after="0"/>
              <w:rPr>
                <w:sz w:val="1"/>
                <w:szCs w:val="1"/>
                <w:color w:val="auto"/>
              </w:rPr>
            </w:pPr>
          </w:p>
        </w:tc>
      </w:tr>
      <w:tr>
        <w:trPr>
          <w:trHeight w:val="209"/>
        </w:trPr>
        <w:tc>
          <w:tcPr>
            <w:tcW w:w="6700" w:type="dxa"/>
            <w:vAlign w:val="bottom"/>
            <w:gridSpan w:val="3"/>
          </w:tcPr>
          <w:p>
            <w:pPr>
              <w:ind w:left="1000"/>
              <w:spacing w:after="0"/>
              <w:rPr>
                <w:sz w:val="20"/>
                <w:szCs w:val="20"/>
                <w:color w:val="auto"/>
              </w:rPr>
            </w:pPr>
            <w:r>
              <w:rPr>
                <w:rFonts w:ascii="Arial" w:cs="Arial" w:eastAsia="Arial" w:hAnsi="Arial"/>
                <w:sz w:val="18"/>
                <w:szCs w:val="18"/>
                <w:color w:val="auto"/>
              </w:rPr>
              <w:t>Shares outstanding</w:t>
            </w:r>
          </w:p>
        </w:tc>
        <w:tc>
          <w:tcPr>
            <w:tcW w:w="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103,003,384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880" w:right="3220" w:hanging="4872"/>
        <w:spacing w:after="0" w:line="778" w:lineRule="auto"/>
        <w:tabs>
          <w:tab w:leader="none" w:pos="3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of the Founder Shares converted into shares of common stock on the Closing Date.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125" w:right="11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outstanding shares of common stock equivalents are excluded from the computation of pro forma diluted net income per share for all the periods and scenarios presented because including them would have an anti-dilutive effect.</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5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2020</w:t>
            </w:r>
          </w:p>
        </w:tc>
      </w:tr>
      <w:tr>
        <w:trPr>
          <w:trHeight w:val="142"/>
        </w:trPr>
        <w:tc>
          <w:tcPr>
            <w:tcW w:w="65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Pro Forma Combined</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Private Placement Warrants</w:t>
            </w:r>
          </w:p>
        </w:tc>
        <w:tc>
          <w:tcPr>
            <w:tcW w:w="1380" w:type="dxa"/>
            <w:vAlign w:val="bottom"/>
          </w:tcPr>
          <w:p>
            <w:pPr>
              <w:jc w:val="right"/>
              <w:spacing w:after="0"/>
              <w:rPr>
                <w:sz w:val="20"/>
                <w:szCs w:val="20"/>
                <w:color w:val="auto"/>
              </w:rPr>
            </w:pPr>
            <w:r>
              <w:rPr>
                <w:rFonts w:ascii="Arial" w:cs="Arial" w:eastAsia="Arial" w:hAnsi="Arial"/>
                <w:sz w:val="18"/>
                <w:szCs w:val="18"/>
                <w:color w:val="auto"/>
              </w:rPr>
              <w:t>177,500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Exercisable SVB Warrants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287,704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Unexercisable SVB Warrants</w:t>
            </w:r>
          </w:p>
        </w:tc>
        <w:tc>
          <w:tcPr>
            <w:tcW w:w="1380" w:type="dxa"/>
            <w:vAlign w:val="bottom"/>
          </w:tcPr>
          <w:p>
            <w:pPr>
              <w:jc w:val="right"/>
              <w:spacing w:after="0"/>
              <w:rPr>
                <w:sz w:val="20"/>
                <w:szCs w:val="20"/>
                <w:color w:val="auto"/>
              </w:rPr>
            </w:pPr>
            <w:r>
              <w:rPr>
                <w:rFonts w:ascii="Arial" w:cs="Arial" w:eastAsia="Arial" w:hAnsi="Arial"/>
                <w:sz w:val="18"/>
                <w:szCs w:val="18"/>
                <w:color w:val="auto"/>
              </w:rPr>
              <w:t>123,302</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Vested options to purchase New Humacyte 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4,055,127</w:t>
            </w: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Unvested options to purchase New Humacyte common stock</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2,350,003</w:t>
            </w:r>
          </w:p>
        </w:tc>
      </w:tr>
      <w:tr>
        <w:trPr>
          <w:trHeight w:val="210"/>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11,993,636</w:t>
            </w:r>
          </w:p>
        </w:tc>
      </w:tr>
      <w:tr>
        <w:trPr>
          <w:trHeight w:val="20"/>
        </w:trPr>
        <w:tc>
          <w:tcPr>
            <w:tcW w:w="6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36"/>
        </w:trPr>
        <w:tc>
          <w:tcPr>
            <w:tcW w:w="65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65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2021</w:t>
            </w:r>
          </w:p>
        </w:tc>
      </w:tr>
      <w:tr>
        <w:trPr>
          <w:trHeight w:val="142"/>
        </w:trPr>
        <w:tc>
          <w:tcPr>
            <w:tcW w:w="65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Pro Forma Combined</w:t>
            </w: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Private Placement Warrants</w:t>
            </w:r>
          </w:p>
        </w:tc>
        <w:tc>
          <w:tcPr>
            <w:tcW w:w="1380" w:type="dxa"/>
            <w:vAlign w:val="bottom"/>
          </w:tcPr>
          <w:p>
            <w:pPr>
              <w:jc w:val="right"/>
              <w:spacing w:after="0"/>
              <w:rPr>
                <w:sz w:val="20"/>
                <w:szCs w:val="20"/>
                <w:color w:val="auto"/>
              </w:rPr>
            </w:pPr>
            <w:r>
              <w:rPr>
                <w:rFonts w:ascii="Arial" w:cs="Arial" w:eastAsia="Arial" w:hAnsi="Arial"/>
                <w:sz w:val="18"/>
                <w:szCs w:val="18"/>
                <w:color w:val="auto"/>
              </w:rPr>
              <w:t>177,500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Exercisable SVB Warrants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287,704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Unexercisable SVB Warrants</w:t>
            </w:r>
          </w:p>
        </w:tc>
        <w:tc>
          <w:tcPr>
            <w:tcW w:w="1380" w:type="dxa"/>
            <w:vAlign w:val="bottom"/>
          </w:tcPr>
          <w:p>
            <w:pPr>
              <w:jc w:val="right"/>
              <w:spacing w:after="0"/>
              <w:rPr>
                <w:sz w:val="20"/>
                <w:szCs w:val="20"/>
                <w:color w:val="auto"/>
              </w:rPr>
            </w:pPr>
            <w:r>
              <w:rPr>
                <w:rFonts w:ascii="Arial" w:cs="Arial" w:eastAsia="Arial" w:hAnsi="Arial"/>
                <w:sz w:val="18"/>
                <w:szCs w:val="18"/>
                <w:color w:val="auto"/>
              </w:rPr>
              <w:t>123,302</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Vested options to purchase New Humacyte 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4,055,127</w:t>
            </w: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Unvested options to purchase New Humacyte common stock</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2,350,003</w:t>
            </w:r>
          </w:p>
        </w:tc>
      </w:tr>
      <w:tr>
        <w:trPr>
          <w:trHeight w:val="209"/>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11,993,636</w:t>
            </w:r>
          </w:p>
        </w:tc>
      </w:tr>
      <w:tr>
        <w:trPr>
          <w:trHeight w:val="20"/>
        </w:trPr>
        <w:tc>
          <w:tcPr>
            <w:tcW w:w="6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15,000,000 Contingent Consideration shares are excluded from the calculation of pro forma net loss per share and the anti-dilutive table for all the periods and scenarios presented as such shares are contingently issuable until the share price of New Humacyte exceeds specified thresholds that have not yet been achieved, or upon the occurrence of a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Contingent Consideration</w:t>
      </w:r>
    </w:p>
    <w:p>
      <w:pPr>
        <w:spacing w:after="0" w:line="18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contingent obligations to issue the Contingent Consideration are expected to be accounted for as liability classified instruments that are earned upon the achievement of certain triggering events, which includes a change in control event that is not solely indexed to the common stock. The preliminary estimated fair value of the Contingent Consideration is $147.7 million. The Contingent Consideration will be remeasured to fair value at each reporting date with changes in fair value recognized in earnings. These changes in fair value may be material to future results of operations.</w:t>
      </w:r>
    </w:p>
    <w:p>
      <w:pPr>
        <w:spacing w:after="0" w:line="14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Contingent Consideration is comprised of two separate tranches of 7,500,000 shares of common stock per tranche. The first and second tranches are issuable if the volume weighted average price (“VWAP”) of shares of common stock on Nasdaq, or any other national securities exchange on which the shares of common stock are then traded is greater than or equal to $15.00 and $20.00, respectively, over any twenty trading days within any thirty trading day period.</w:t>
      </w:r>
    </w:p>
    <w:p>
      <w:pPr>
        <w:spacing w:after="0" w:line="16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estimated fair value of the Contingent Consideration was determined by using a Monte Carlo simulation valuation model using a distribution of potential outcomes on a monthly basis over a ten-year period. The preliminary estimated fair value of Contingent Consideration was determined using the most reliable information available. Assumptions used in the preliminary valuation, which are subject to change at the closing, were as follows:</w:t>
      </w:r>
    </w:p>
    <w:p>
      <w:pPr>
        <w:spacing w:after="0" w:line="14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 xml:space="preserve">Current stock price: </w:t>
      </w:r>
      <w:r>
        <w:rPr>
          <w:rFonts w:ascii="Arial" w:cs="Arial" w:eastAsia="Arial" w:hAnsi="Arial"/>
          <w:sz w:val="18"/>
          <w:szCs w:val="18"/>
          <w:color w:val="auto"/>
        </w:rPr>
        <w:t>The stock price was set at $10.19 per share based on the closing price per share of AHAC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as of June 30, 2021. A hypothetical 10% change in stock price would result in a $14.7 million change in the estimated fair value of the Contingent Consideration.</w:t>
      </w:r>
    </w:p>
    <w:p>
      <w:pPr>
        <w:spacing w:after="0" w:line="14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volatility rate was determined by using an average of historical volatilities of selected industry peers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comparable to our business over a five-year period.</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issuance for zero-coupon U.S. Treasury notes with ten-year maturities.</w:t>
      </w:r>
    </w:p>
    <w:p>
      <w:pPr>
        <w:spacing w:after="0" w:line="143"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i w:val="1"/>
          <w:iCs w:val="1"/>
          <w:color w:val="auto"/>
        </w:rPr>
        <w:t>Expected term:</w:t>
      </w:r>
      <w:r>
        <w:rPr>
          <w:sz w:val="20"/>
          <w:szCs w:val="20"/>
          <w:color w:val="auto"/>
        </w:rPr>
        <w:tab/>
      </w:r>
      <w:r>
        <w:rPr>
          <w:rFonts w:ascii="Arial" w:cs="Arial" w:eastAsia="Arial" w:hAnsi="Arial"/>
          <w:sz w:val="15"/>
          <w:szCs w:val="15"/>
          <w:color w:val="auto"/>
        </w:rPr>
        <w:t>The expected term is ten years.</w:t>
      </w:r>
    </w:p>
    <w:p>
      <w:pPr>
        <w:sectPr>
          <w:pgSz w:w="11900" w:h="16838" w:orient="portrait"/>
          <w:cols w:equalWidth="0" w:num="1">
            <w:col w:w="9900"/>
          </w:cols>
          <w:pgMar w:left="980" w:top="125"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expected dividend yield is zero as Humacyte has never declared or paid cash dividends and New</w:t>
      </w:r>
      <w:r>
        <w:rPr>
          <w:rFonts w:ascii="Arial" w:cs="Arial" w:eastAsia="Arial" w:hAnsi="Arial"/>
          <w:sz w:val="18"/>
          <w:szCs w:val="18"/>
          <w:i w:val="1"/>
          <w:iCs w:val="1"/>
          <w:color w:val="auto"/>
        </w:rPr>
        <w:t xml:space="preserve"> </w:t>
      </w:r>
      <w:r>
        <w:rPr>
          <w:rFonts w:ascii="Arial" w:cs="Arial" w:eastAsia="Arial" w:hAnsi="Arial"/>
          <w:sz w:val="18"/>
          <w:szCs w:val="18"/>
          <w:color w:val="auto"/>
        </w:rPr>
        <w:t>Humacyte has no current plans to do so during the expected term.</w:t>
      </w:r>
    </w:p>
    <w:p>
      <w:pPr>
        <w:spacing w:after="0" w:line="14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actual fair value of Contingent Consideration is subject to change as additional information becomes available and additional analyses are performed, and such changes could be material once the final valuation of the Contingent Consideration is determined at the closing.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Management’s discussion and analysis of the financial condition and results of operations of Legacy Humacyte as of December 31, 2020 and for the years ended December 31, 2020 and 2019 and as of June 30, 2021 and for the six months ended June 30, 2021 and 2020 is set forth below.</w:t>
      </w:r>
    </w:p>
    <w:p>
      <w:pPr>
        <w:spacing w:after="0" w:line="14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related notes set forth elsewhere in the registration statement of which this prospectus forms a part. Unless the context otherwise requires, when we use the terms “we,” “us,” and “our” in the following discussion and analysis we are referring to Humacyte, Inc. prior to the completion of the Business Combination (Legacy Humacyte).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19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In addition to historical information, some of the information contained in this discussion and analysis or set forth elsewhere in this prospectus, including information with respect to our plans and strategy for our business, future financial performance, expense levels and liquidity sources, includes forward-looking statements that involve risks and uncertainties. You should read the sections of this prospectus entitled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pioneering the development and manufacture of off-the-shelf, universally implantable, bioengineered human tissues to improve the lives of patients and transform the practice of medicine. We believe our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Our goal is to develop and manufacture these tissues for the treatment of diseases and conditions across a range of anatomic locations in multiple therapeutic areas.</w:t>
      </w:r>
    </w:p>
    <w:p>
      <w:pPr>
        <w:spacing w:after="0" w:line="1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initially using our proprietary scientific technology platform to engineer and manufacture HAVs. Our HAVs are designed to be easily implanted into any patient without inducing a foreign body response or leading to immune rejection. We are developing our “cabinet” of HAVs of varying diameters and lengths. The HAV cabinet would initially target the vascular repair, reconstruction and replacement market, including use in AVs access for hemodialysis, trauma, PAD and CABG. In addition, we are developing our HAVs as conduits for pediatric heart surgery and the delivery of cellular therapies, including pancreatic islet cell transplantation for the treatment of Type 1 diabetes. We intend to continue to explore the application of our technology across a broad range of markets and indications, including the development of urinary conduit, trachea, esophagus and other novel cell delivery systems.</w:t>
      </w:r>
    </w:p>
    <w:p>
      <w:pPr>
        <w:spacing w:after="0" w:line="15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use autologous vessels and synthetic grafts and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HAVs may have over existing vascular substitutes, we believe that HAVs have the potential to become the standard of care and lead to improved patient outcomes and lower healthcare costs.</w:t>
      </w:r>
    </w:p>
    <w:p>
      <w:pPr>
        <w:spacing w:after="0" w:line="14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incurred net losses in each year since our inception in 2004. As of December 31, 2020 and June 30, 2021, we had an accumulated deficit of $388.1 million and $425.6 million, respectively, and working capital of $30.2 million and $15.2 million, respectively. Our net losses were approximately $85.4 million and $66.5 million for the years ended December 31, 2019 and 2020, respectively, and $32.6 million and $37.5 million for the six months ended June 30, 2020 and 2021, respectively. Substantially all of our net losses resulted from costs incurred in connection with our research and development programs and from general and administrative costs associated with our operations.</w:t>
      </w:r>
    </w:p>
    <w:p>
      <w:pPr>
        <w:spacing w:after="0" w:line="152"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As of December 31, 2020 and June 30, 2021, we had cash and cash equivalents of $39.9 million and $29.0 million, respectively. Including the $223.5 million in net proceeds from the Business Combination and the related PIPE Investment received on August 26, 2021 and the cash and cash equivalents on hand, we believe our combined cash and cash equivalents will be sufficient to fund</w:t>
      </w:r>
    </w:p>
    <w:p>
      <w:pPr>
        <w:sectPr>
          <w:pgSz w:w="11900" w:h="16838" w:orient="portrait"/>
          <w:cols w:equalWidth="0" w:num="1">
            <w:col w:w="9900"/>
          </w:cols>
          <w:pgMar w:left="980" w:top="12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operations, including clinical trial expenses and capital expenditure requirements for at least 12 months from the date of this prospectus. See Note 15 to our related interim financial statements contained elsewhere in the registration statement of which this prospectus forms a part for additional information on our assessment.</w:t>
      </w:r>
    </w:p>
    <w:p>
      <w:pPr>
        <w:spacing w:after="0" w:line="15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report of our independent registered public accounting firm on our financial statements as of and for the year ended December 31, 2020 includes an explanatory paragraph indicating that there is substantial doubt about our ability to continue as a going concern, as at the time of the issuance date of those financial statements there was substantial doubt about our ability to continue as a going concern.</w:t>
      </w:r>
    </w:p>
    <w:p>
      <w:pPr>
        <w:spacing w:after="0" w:line="14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need for additional capital will depend in part on the scope and costs of our development and commercial manufacturing activities.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the section of this prospectus entitled “Risk Factors” for additional information.</w:t>
      </w:r>
    </w:p>
    <w:p>
      <w:pPr>
        <w:spacing w:after="0" w:line="1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expect to continue to incur significant expenses and to increase operating losses for at least the next several years. We anticipate that our expenses will increase substantially as we seek to:</w:t>
      </w:r>
    </w:p>
    <w:p>
      <w:pPr>
        <w:spacing w:after="0" w:line="143" w:lineRule="exact"/>
        <w:rPr>
          <w:sz w:val="20"/>
          <w:szCs w:val="20"/>
          <w:color w:val="auto"/>
        </w:rPr>
      </w:pPr>
    </w:p>
    <w:p>
      <w:pPr>
        <w:ind w:left="680" w:right="140" w:hanging="321"/>
        <w:spacing w:after="0" w:line="277"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 marketing approval for our 6 millimeter HAV for vascular repair, reconstruction and replacement, including for trauma and AV access for hemodialysis;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commercialize the HAV via U.S. market launches in trauma and dialysis AV access;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scale out our manufacturing facility to satisfy potential demand following any receipt of marketing approval;</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 our preclinical and clinical development efforts;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to support, among other things, our product development and commercialization efforts and operations; and</w:t>
      </w:r>
    </w:p>
    <w:p>
      <w:pPr>
        <w:spacing w:after="0" w:line="129" w:lineRule="exact"/>
        <w:rPr>
          <w:rFonts w:ascii="Arial" w:cs="Arial" w:eastAsia="Arial" w:hAnsi="Arial"/>
          <w:sz w:val="18"/>
          <w:szCs w:val="18"/>
          <w:color w:val="auto"/>
        </w:rPr>
      </w:pPr>
    </w:p>
    <w:p>
      <w:pPr>
        <w:ind w:left="680" w:right="200" w:hanging="321"/>
        <w:spacing w:after="0" w:line="263"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operate as a public company, which includes higher costs associated with hiring additional personnel, director and officer insurance premiums, audit and legal fees, investor relations fees and expenses for compliance with public company reporting requirements under the Exchange Act and rules implemented by the SEC and Nasdaq.</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8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COVID-19 pandemic, which began in December 2019 and has spread worldwide,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our business, as supply chains have been disrupted, and facilities and production have been suspended. The future progression of the pandemic and its effects on our business and operations are uncertain. The COVID-19 pandemic may affect our ability to initiate and complete preclinical studies, delay our clinical trials or future clinical trials, disrupt regulatory activities, or have other adverse effects on our business and operations. The pandemic has already caused significant disruptions in the financial markets, and may continue to cause such disruptions, which could impact our ability to raise additional funds to support our operations. Moreover, the pandemic has significantly impacted economies worldwide and could result in adverse effects on our business and operations.</w:t>
      </w:r>
    </w:p>
    <w:p>
      <w:pPr>
        <w:spacing w:after="0" w:line="126"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To date, the COVID-19 pandemic has not resulted in material financial impacts or impairment losses in the carrying values of our assets as a result of the pandemic and we are not aware of any specific related event or circumstance that would require us to revise the estimates reflected in our financial statements. The extent to which the COVID-19 pandemic will directly or indirectly impact our business, results of operations and financial condition, including current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economic impact of the pandemic.</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To date, we have not generated revenue from the sale of any products. All of our revenue has been derived from government and other grants. Since inception we have been awarded grants from the California Institute of Regenerative Medicine (“CIRM”), the National Institutes of Health (“NIH”), and the Department of Defense (“DoD”), to support our development, production scaling and clinical trials of our product candidates. We recognized $30.5 million in revenue from inception to June 30, 2021 from these sources, including $11.2 million from CIRM under a program that ended in 2020.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spacing w:after="0" w:line="108" w:lineRule="exact"/>
        <w:rPr>
          <w:sz w:val="20"/>
          <w:szCs w:val="20"/>
          <w:color w:val="auto"/>
        </w:rPr>
      </w:pPr>
    </w:p>
    <w:p>
      <w:pPr>
        <w:ind w:left="680" w:right="980" w:hanging="321"/>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salaries and related overhead expenses for personnel in research and development functions, including stock-based compensation and benefits;</w:t>
      </w:r>
    </w:p>
    <w:p>
      <w:pPr>
        <w:spacing w:after="0" w:line="129"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CROs, including in connection with our clinical trials, and other related clinical trial fees, such as for investigator grants, patient screening, laboratory work and statistical compilation and analysis;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allocation of facility lease and maintenance costs;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depreciation of leasehold improvements, laboratory equipment and computers;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related to purchasing raw materials for and producing our product candidates for clinical trials;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related to our manufacturing scale-out initiative;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license fees related to in-licensed technologies.</w:t>
      </w:r>
    </w:p>
    <w:p>
      <w:pPr>
        <w:spacing w:after="0" w:line="18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majority of our research and development resources are currently focused on our Phase III clinical trials for our 6 millimeter HAV and other work needed to obtain marketing approval for our 6 millimeter HAV for use for vascular repair, reconstruction and replacement, including trauma and AV access in hemodialysis in the United States and Europe.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II and Phase III clinical trials. We do not allocate our costs by each research and development program for which we are developing our cabinet of HAVs, as a significant amount of our development activities broadly support multiple programs that use our technology platform. Subject to the availability of additional funding, we plan to further increase our research and development expenses for the foreseeable future as we continue the development of our proprietary scientific technology platform and our novel manufacturing paradigm.</w:t>
      </w:r>
    </w:p>
    <w:p>
      <w:pPr>
        <w:spacing w:after="0" w:line="13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successful development of our preclinical and clinical product candidates is highly uncertain. At this time, we cannot reasonably estimate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17" w:lineRule="exact"/>
        <w:rPr>
          <w:sz w:val="20"/>
          <w:szCs w:val="20"/>
          <w:color w:val="auto"/>
        </w:rPr>
      </w:pPr>
    </w:p>
    <w:p>
      <w:pPr>
        <w:ind w:left="680" w:right="360" w:hanging="321"/>
        <w:spacing w:after="0" w:line="277"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our preclinical development activities, our ongoing clinical trials and any additional clinical trials that we may conduct, and other research and development activities;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98"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 including the FDA and non-U.S. regulators;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84" w:lineRule="exact"/>
        <w:rPr>
          <w:rFonts w:ascii="Arial" w:cs="Arial" w:eastAsia="Arial" w:hAnsi="Arial"/>
          <w:sz w:val="18"/>
          <w:szCs w:val="18"/>
          <w:color w:val="auto"/>
        </w:rPr>
      </w:pPr>
    </w:p>
    <w:p>
      <w:pPr>
        <w:ind w:left="680" w:right="120" w:hanging="321"/>
        <w:spacing w:after="0" w:line="308" w:lineRule="auto"/>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development of clinical and commercial manufacturing capabilities or making arrangements with third-party manufacturers in order to ensure that it or its third-party manufacturers are able to successfully manufacture our product;</w:t>
      </w:r>
    </w:p>
    <w:p>
      <w:pPr>
        <w:spacing w:after="0" w:line="119" w:lineRule="exact"/>
        <w:rPr>
          <w:rFonts w:ascii="Arial" w:cs="Arial" w:eastAsia="Arial" w:hAnsi="Arial"/>
          <w:sz w:val="17"/>
          <w:szCs w:val="17"/>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and changing government regulations;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approved, whether alone or in collaboration with others;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degree of market acceptance of any product candidates that obtain marketing approval; and</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following approval, if any, of our product candidates.</w:t>
      </w:r>
    </w:p>
    <w:p>
      <w:pPr>
        <w:spacing w:after="0" w:line="185"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auto"/>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4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expanded infrastructure and increased costs of operating as a public company. These increases are expected to include increased costs for fees to members of our board of directors, increased employee-related expenses, and increased director and officer insurance premiums, audit and legal fees, investor relations fees and expenses for compliance with public company reporting requirements under the Exchange Act and rules implemented by the SEC, as well as Nasdaq rules.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(Expenses), Net</w:t>
      </w:r>
    </w:p>
    <w:p>
      <w:pPr>
        <w:spacing w:after="0" w:line="19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Total other income (expenses), net consists of a gain on Paycheck Protection Program (“PPP”) loan forgiveness, interest income earned on our cash and cash equivalents and interest expense relating to interest incurred on our finance leases and PPP loan under the Coronavirus Aid, Relief, and Economic Security Act (“CARES Act”). We expect our interest income to increase following the completion of the Business Combination as we invest the net proceeds in a variety of capital preservation investments, including short-term, investment-grade, interest-bearing obligations of the U.S. government and its agencies. Interest expense primarily relates to interest incurred on our finance leases. See Note 4 to our financial statements contained elsewhere in the registration statement of which this prospectus forms a part for a description of the leases.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Six Months Ended June 30, 2020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4"/>
                <w:szCs w:val="14"/>
                <w:color w:val="auto"/>
              </w:rPr>
            </w:pPr>
          </w:p>
        </w:tc>
        <w:tc>
          <w:tcPr>
            <w:tcW w:w="1160" w:type="dxa"/>
            <w:vAlign w:val="bottom"/>
            <w:gridSpan w:val="4"/>
          </w:tcPr>
          <w:p>
            <w:pPr>
              <w:ind w:left="5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39,883</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(37,499)</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8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the six months ended June 30, 2020 and 2021, revenue totalled $0.5 million and $0.8 million, respectively, an increase of $0.3 million, or 87%, and was related to our grant from DoD.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5"/>
              </w:rPr>
              <w:t>Six Months Ended June 30,</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External services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Lab supplies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5,194</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1,652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Payroll and personnel expenses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3,518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Research and development expenses increased from $26.2 million for the six months ended June 30, 2020 to $29.7 million for the six months ended June 30, 2021. The increase of $3.5 million, or 13%, was primarily driven by the purchase of lab supplies used to develop our commercial manufacturing process and in our research and development initiatives, including clinical studies.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General and administrative expenses were $6.0 million and $10.2 million for the six months ended June 30, 2020 and 2021, respectively. The increase in general and administrative expenses of $4.2 million, or 70%, was driven by an increase in non-cash stock compensation expense of $2.3 million, external services and professional fees of $1.0 million, including those related to preparations for commercial launch, and $0.4 million in salaries and benefits.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9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Other income (expense) was $(0.8) million and $1.5 million for the six months ended June 30, 2020 and 2021, respectively. The increase of $2.3 million resulted from a gain on PPP loan forgiveness partially offset by an increase in interest expense related to our loan facility with Silicon Valley Bank, and a decrease in interest income earned on our cash equivalents due to lower interest rates and lower average cash balances during the year. Interest expense on our finance lease right of use assets was not impacted by these lower interest rates.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216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(21,525)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32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(4,262)</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(25,787)</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(85,691)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(64,600)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21,091</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9"/>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(85,422)</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(66,524)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18,898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8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the years ended December 31, 2019 and 2020, we generated $6.2 million and $1.5 million of revenue, respectively, related to the reimbursement of qualifying expenses incurred in connection with our grants from DoD, NIH and CIRM. The decrease in revenue of $4.7 million, or 76%, was primarily driven by the completion of certain DoD awards during the year ended December 31, 2019 and a decrease of $1.7 million in revenue related to our CIRM awards, a program that ended during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7"/>
              </w:rPr>
              <w:t>Year Ended December 31,</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External services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Lab supplies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9,769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Payroll and personnel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11,749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Research and development expenses decreased from $75.6 million for the year ended December 31, 2019 to $54.1 million for the year ended December 31, 2020. The decrease of $21.5 million, or 28%, was due to the completion of certain programs, combined with initiatives implemented to extend our cash runway, including decreased requirements for lab supplies used to develop our commercial manufacturing process and used in our research and development initiatives, totalling $11.7 million of the decrease. External services decreased by $10.6 million, or 42%, due to our V006 trial completing enrollment and our V007 trial enrollment slowing due to the COVID-19 pandemic, which comprised $4.5 million of the decrease, the termination of our agreement with our contract manufacturing organization, which comprised $2.9 million of the decrease, and initiatives implemented to extend our cash runway, which comprised $3.2 million of the decrease.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General and administrative expenses were $16.3 million and $12.0 million for the years ended December 31, 2019 and 2020, respectively. The decrease in general and administrative expenses during this period of $4.3 million, or 26%, was similarly driven by our adoption of a lower operating budget in 2020 to extend our cash runway, and primarily due to the decrease in professional fees of $2.3 million, $1.5 million of which related to offering costs that were charged to expense in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9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Other income (expense) was $0.3 million and $(1.9) million for the years ended December 31, 2019 and 2020, respectively. The decrease of $2.2 million resulted from a decrease in interest income earned on our cash equivalents due to lower interest rates and lower average cash balances during the year. Interest expense on our finance lease right of use assets was not impacted by these lower interest rates.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8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To date, we have financed our operations primarily through the sale of equity securities and convertible debt and, to a lesser extent, through grants from governmental and other agencies. Since our inception, we have incurred significant operating losses and negative cash flows. As of December 31, 2020 and June 30, 2021, we had an accumulated deficit of $388.1 million and $425.6 million, respectively.</w:t>
      </w:r>
    </w:p>
    <w:p>
      <w:pPr>
        <w:spacing w:after="0" w:line="14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of December 31, 2020 and June 30, 2021, we had cash and cash equivalents of $39.9 million and $29.0 million, respectively. Including the $223.5 million in net proceeds from the Business Combination and the related PIPE Investment received on August 26, 2021 and the cash and cash equivalents on hand, we believe our combined cash and cash equivalents will be sufficient to fund operations, including clinical trial expenses and capital expenditure requirements for at least 12 months from August 27, 2021, the issuance date of our interim financial statements. See Note 15 to our related interim financial statements contained elsewhere in the registration statement of which this prospectus forms a part for additional information on our assessment.</w:t>
      </w:r>
    </w:p>
    <w:p>
      <w:pPr>
        <w:spacing w:after="0" w:line="13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April 2020, we received loan proceeds in the amount of approximately $3.3 million under the PPP as established under the CARES Act. The loan and accrued interest were forgivable after a 24-week period as long as we used the loan proceeds for eligible purposes, including payroll, benefits, rent and utilities, and maintained its payroll levels. On May 25, 2021, the Small Business Administration approved the forgiveness of the outstanding amount of the PPP loan and we recognized a gain from loan extinguishment in the amount of $3.3 million during the six months ended June 30, 2021.</w:t>
      </w:r>
    </w:p>
    <w:p>
      <w:pPr>
        <w:spacing w:after="0" w:line="14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March 2021, we entered into the Loan Agreement with Silicon Valley Bank and SVB Innovation Credit Fund VIII, L.P., which provides a term loan facility of up to $50.0 million, with a maturity date of March 1, 2025, of which $20.0 million was funded upon the closing of the Loan Agreement, and the additional $30.0 million is accessible in three tranches of $10.0 million each contingent on the achievement of certain business and clinical development milestones. Our obligations under the Loan Agreement are secured by substantially all of our assets, except for our intellectual property. The Loan Agreement contains certain customary covenants, including, but not limited to, those relating to additional indebtedness, liens, asset divestitures, and affiliate transactions. We may use the proceeds of borrowings under the Loan Agreement as working capital and to fund our general business requirements.</w:t>
      </w:r>
    </w:p>
    <w:p>
      <w:pPr>
        <w:spacing w:after="0" w:line="126"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Borrowings under the Loan Agreement bear interest at a rate of 7.5% or the sum of the Wall Street Journal Prime Rate plus 4.25%, whichever is greater. In addition, the lenders were each granted a warrant to purchase Humacyte common stock.</w:t>
      </w:r>
    </w:p>
    <w:p>
      <w:pPr>
        <w:spacing w:after="0" w:line="106"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As of June 30, 2021, principal of $20.0 million was outstanding under the Loan Agreement. On July 9, 2021 the Company had not yet achieved certain financial covenants and $10.0 million of the loan proceeds has been classified as restricted cash. The Company met these financial covenants as a result of the Business Combination and the related PIPE Investment on August 26,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1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expect to incur significant expenses in connection with our ongoing activities as we seek to (i) continue clinical development of our 6 millimeter HAV for use in dialysis AV access and vascular repair and submit biologics license applications for FDA approval, (ii) if marketing approval is obtained, to launch and commercialize our HAVs for dialysis AV access and vascular repair in the U.S. market, including subsequent launches in key international markets, (iii) advance our pipeline in major markets, including PAD Phase III trials and continue preclinical and clinical development for proof of concept in CABG and biovascular pancreas for diabetes, and (iv) scale out our manufacturing facility to satisfy potential demand if our HAVs receive marketing approval. We will need additional funding in connection with these activities. Our future funding requirements, both short-term and long-term, will depend on many factors, including:</w:t>
      </w:r>
    </w:p>
    <w:p>
      <w:pPr>
        <w:spacing w:after="0" w:line="151" w:lineRule="exact"/>
        <w:rPr>
          <w:sz w:val="20"/>
          <w:szCs w:val="20"/>
          <w:color w:val="auto"/>
        </w:rPr>
      </w:pPr>
    </w:p>
    <w:p>
      <w:pPr>
        <w:ind w:left="680" w:hanging="321"/>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progress and results of our clinical trials and interpretation of those results by the FDA and other regulatory authorities;</w:t>
      </w:r>
    </w:p>
    <w:p>
      <w:pPr>
        <w:spacing w:after="0" w:line="209" w:lineRule="exact"/>
        <w:rPr>
          <w:rFonts w:ascii="Arial" w:cs="Arial" w:eastAsia="Arial" w:hAnsi="Arial"/>
          <w:sz w:val="17"/>
          <w:szCs w:val="17"/>
          <w:color w:val="auto"/>
        </w:rPr>
      </w:pPr>
    </w:p>
    <w:p>
      <w:pPr>
        <w:ind w:left="680" w:right="18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 particularly for marketing approval of our HAVs in the United States;</w:t>
      </w:r>
    </w:p>
    <w:p>
      <w:pPr>
        <w:spacing w:after="0" w:line="129"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additional product candidates;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120" w:hanging="321"/>
        <w:spacing w:after="0" w:line="342" w:lineRule="auto"/>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96" w:lineRule="exact"/>
        <w:rPr>
          <w:rFonts w:ascii="Arial" w:cs="Arial" w:eastAsia="Arial" w:hAnsi="Arial"/>
          <w:sz w:val="16"/>
          <w:szCs w:val="16"/>
          <w:color w:val="auto"/>
        </w:rPr>
      </w:pPr>
    </w:p>
    <w:p>
      <w:pPr>
        <w:ind w:left="680" w:right="480" w:hanging="321"/>
        <w:spacing w:after="0" w:line="277"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and timing of revenues, if any, that we receive from commercial sales of any product candidates for which we receive marketing approval;</w:t>
      </w:r>
    </w:p>
    <w:p>
      <w:pPr>
        <w:spacing w:after="0" w:line="129"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29" w:lineRule="exact"/>
        <w:rPr>
          <w:rFonts w:ascii="Arial" w:cs="Arial" w:eastAsia="Arial" w:hAnsi="Arial"/>
          <w:sz w:val="18"/>
          <w:szCs w:val="18"/>
          <w:color w:val="auto"/>
        </w:rPr>
      </w:pPr>
    </w:p>
    <w:p>
      <w:pPr>
        <w:ind w:left="680" w:right="240" w:hanging="321"/>
        <w:spacing w:after="0" w:line="263"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of operating as a public company, including hiring additional personnel as well as increased director and officer insurance premiums, audit and legal fees, investor relations fees and expenses for compliance with public company reporting requirements under the Exchange Act and rules implemented by the SEC and Nasdaq.</w:t>
      </w:r>
    </w:p>
    <w:p>
      <w:pPr>
        <w:spacing w:after="0" w:line="15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We do not currently have any committed external source of funds beyond the Business Combination and the PIPE Investment, other than the Loan Agreement, subject to the terms thereof.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additional funds through equity or debt financings or other arrangements when needed, we may be required to delay, reduce, suspend or cease our research and development programs or any future commercialization efforts, which would have a negative impact on our business, prospects, operating results and financial condition. See the section of this prospectus titled “Risk Factors” for additional risks associated with our substantial capital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 summary of our cash flows for each of the periods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w w:val="97"/>
              </w:rPr>
              <w:t>Year Ended December 31,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 data:</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 cash (used in)/provided by: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(71,787)</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(55,568)</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(29,223)</w:t>
            </w: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18,355</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(79,986)</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(53,784)</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(25,069)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(10,960)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Net cash used in operating activities of $71.8 million during the year ended December 31, 2019 was primarily the result of our net loss of $85.4 million to support our ongoing research and development, regulatory and other clinical trial costs, and related general and administrative costs as well as a decrease in deferred revenue of $0.6 million related to our CIRM awards, partially offset by a $2.4 million increase in accounts payable and by non-cash items of $11.3 million primarily related to $4.7 million of depreciation expense, $4.5 million for stock-based compensation and $2.1 million for amortization of finance lease right-of-use assets.</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Net cash used in operating activities of $55.6 million during the year ended December 31, 2020 was primarily the result of our net loss of $66.5 million to support our research and development, regulatory and other clinical trial costs, and related general and administrative costs as well as a $2.3 million decrease in accounts payable and accrued expenses, partially offset by a $0.5 million decrease in accounts receivable and by non-cash items of $13.4 million primarily related to $6.3 million for depreciation, $4.7 million for stock-based compensation, $2.1 million for amortization of finance lease right-of-use assets, and $0.3 million for deferred payroll taxes related to Section 2302 of the CARES Act.</w:t>
      </w:r>
    </w:p>
    <w:p>
      <w:pPr>
        <w:spacing w:after="0" w:line="152"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Net cash used in operating activities of $27.6 million during the six months ended June 30, 2020 was primarily the result of our net loss of $32.6 million to support our ongoing research and development, regulatory and other clinical trial costs, and related general</w:t>
      </w:r>
    </w:p>
    <w:p>
      <w:pPr>
        <w:sectPr>
          <w:pgSz w:w="11900" w:h="16838" w:orient="portrait"/>
          <w:cols w:equalWidth="0" w:num="1">
            <w:col w:w="9920"/>
          </w:cols>
          <w:pgMar w:left="980" w:top="12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and administrative costs as well as a decrease in accrued expenses and accounts payable of $1.4 million and a decrease in prepaid expenses of $0.7 million, partially offset by a $6.7 million increase in non-cash items primarily related to $3.2 million of depreciation expense, $2.3 million for stock-based compensation and $1.0 million for amortization of finance lease right-of-use assets.</w:t>
      </w:r>
    </w:p>
    <w:p>
      <w:pPr>
        <w:spacing w:after="0" w:line="12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Net cash used in operating activities of $29.2 million during the six months ended June 30, 2021 was primarily the result of our net loss of $37.5 million to support our research and development, regulatory and other clinical trial costs, and related general and administrative costs as well as a $3.3 million non-cash gain on PPP loan forgiveness and a $0.6 million increase in accounts receivable, which are related to our DoD grant, partially offset by a $2.2 million increase in accounts payable and accrued expenses and by non-cash items of $6.7 million primarily related to $5.5 million for stock-based compensation, $3.1 million for depreciation and $1.0 million for amortization of finance lease right-of-use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Net cash used in investing activities during the year ended December 31, 2019 was $8.1 million, primarily consisting of purchases related to construction in progress of $4.5 million for the build-out of our manufacturing facility and laboratory equipment of $3.6 million to equip our manufacturing facility with scientific equipment and LUNA200 manufacturing systems.</w:t>
      </w:r>
    </w:p>
    <w:p>
      <w:pPr>
        <w:spacing w:after="0" w:line="1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was $0.3 million, primarily consisting of purchases of scientific equipment.</w:t>
      </w:r>
    </w:p>
    <w:p>
      <w:pPr>
        <w:spacing w:after="0" w:line="130"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Net cash used in investing activities during the six months ended June 30, 2020 was $0.2 million, primarily consisting of the purchases of laboratory equipment of $0.2 million to equip our manufacturing facility with scientific equipment and LUNA200 manufacturing systems.</w:t>
      </w:r>
    </w:p>
    <w:p>
      <w:pPr>
        <w:spacing w:after="0" w:line="143"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Net cash used in investing activities during the six months ended June 30, 2021 was $0.1 million, primarily consisting of the purchases of laboratory equipment of $0.1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Financing Activities</w:t>
      </w:r>
    </w:p>
    <w:p>
      <w:pPr>
        <w:spacing w:after="0" w:line="198" w:lineRule="exact"/>
        <w:rPr>
          <w:sz w:val="20"/>
          <w:szCs w:val="20"/>
          <w:color w:val="auto"/>
        </w:rPr>
      </w:pPr>
    </w:p>
    <w:p>
      <w:pPr>
        <w:jc w:val="both"/>
        <w:ind w:right="360" w:firstLine="324"/>
        <w:spacing w:after="0" w:line="342" w:lineRule="auto"/>
        <w:rPr>
          <w:sz w:val="20"/>
          <w:szCs w:val="20"/>
          <w:color w:val="auto"/>
        </w:rPr>
      </w:pPr>
      <w:r>
        <w:rPr>
          <w:rFonts w:ascii="Arial" w:cs="Arial" w:eastAsia="Arial" w:hAnsi="Arial"/>
          <w:sz w:val="16"/>
          <w:szCs w:val="16"/>
          <w:color w:val="auto"/>
        </w:rPr>
        <w:t>Net cash used in financing activities during the year ended December 31, 2019 was $0.1 million, consisting of payments of $1.3 million in connection with a finance lease obligation, partially offset by proceeds of $1.2 million from the exercise of stock options.</w:t>
      </w:r>
    </w:p>
    <w:p>
      <w:pPr>
        <w:spacing w:after="0" w:line="8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2020 was $2.1 million, consisting of $3.3 million of the proceeds from our PPP loan and $0.3 million from the exercise of stock options, partially offset by principal payments of $1.5 million in connection with a finance lease obligation.</w:t>
      </w:r>
    </w:p>
    <w:p>
      <w:pPr>
        <w:spacing w:after="0" w:line="143"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Net cash provided by financing activities during the six months ended June 30, 2020 was $2.8 million, consisting of $3.3 million of the proceeds from our PPP loan and proceeds of $0.2 million from the exercise of stock options, partially offset by principal payments of $0.7 million in connection with a finance lease obligation.</w:t>
      </w:r>
    </w:p>
    <w:p>
      <w:pPr>
        <w:spacing w:after="0" w:line="15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Net cash provided by financing activities during the six months ended June 30, 2021 was $18.4 million, consisting of $19.7 million of net proceeds from our loan facility with Silicon Valley Bank and $0.2 million from the exercise of stock options, partially offset by principal payments of $0.8 million in connection with a finance lease obligation and $0.7 million in connection with the payment of deferred offering costs.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5"/>
              <w:spacing w:after="0"/>
              <w:rPr>
                <w:sz w:val="20"/>
                <w:szCs w:val="20"/>
                <w:color w:val="auto"/>
              </w:rPr>
            </w:pPr>
            <w:r>
              <w:rPr>
                <w:rFonts w:ascii="Arial" w:cs="Arial" w:eastAsia="Arial" w:hAnsi="Arial"/>
                <w:sz w:val="14"/>
                <w:szCs w:val="14"/>
                <w:b w:val="1"/>
                <w:bCs w:val="1"/>
                <w:color w:val="auto"/>
                <w:w w:val="92"/>
              </w:rPr>
              <w:t>More than</w:t>
            </w:r>
          </w:p>
        </w:tc>
      </w:tr>
      <w:tr>
        <w:trPr>
          <w:trHeight w:val="417"/>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 3 years</w:t>
            </w:r>
          </w:p>
        </w:tc>
        <w:tc>
          <w:tcPr>
            <w:tcW w:w="8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3 – 5 years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115"/>
              <w:spacing w:after="0"/>
              <w:rPr>
                <w:sz w:val="20"/>
                <w:szCs w:val="20"/>
                <w:color w:val="auto"/>
              </w:rPr>
            </w:pPr>
            <w:r>
              <w:rPr>
                <w:rFonts w:ascii="Arial" w:cs="Arial" w:eastAsia="Arial" w:hAnsi="Arial"/>
                <w:sz w:val="14"/>
                <w:szCs w:val="14"/>
                <w:b w:val="1"/>
                <w:bCs w:val="1"/>
                <w:color w:val="auto"/>
              </w:rPr>
              <w:t>5 years</w:t>
            </w:r>
          </w:p>
        </w:tc>
      </w:tr>
      <w:tr>
        <w:trPr>
          <w:trHeight w:val="209"/>
        </w:trPr>
        <w:tc>
          <w:tcPr>
            <w:tcW w:w="5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Finance leases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36,775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7,833</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8,232</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16,937</w:t>
            </w:r>
          </w:p>
        </w:tc>
      </w:tr>
      <w:tr>
        <w:trPr>
          <w:trHeight w:val="216"/>
        </w:trPr>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16"/>
        </w:trPr>
        <w:tc>
          <w:tcPr>
            <w:tcW w:w="502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PPP loan payable</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Noncancelable purchase commitments</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Total contractual obligations</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49,236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14,312</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17,615</w:t>
            </w:r>
          </w:p>
        </w:tc>
      </w:tr>
      <w:tr>
        <w:trPr>
          <w:trHeight w:val="20"/>
        </w:trPr>
        <w:tc>
          <w:tcPr>
            <w:tcW w:w="2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6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PPP loan was forgiven on May 25, 2021.</w:t>
      </w:r>
    </w:p>
    <w:p>
      <w:pPr>
        <w:spacing w:after="0" w:line="198"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of December 31, 2020, we had non-cancellable purchase commitments of $8.0 million for supplies and services that are primarily for research and development. We have also entered into contracts with CROs primarily for clinical trials. These contracts generally provide for termination upon limited notice, and therefore we believe that our non-cancellable obligations under these agreements are not material.</w:t>
      </w:r>
    </w:p>
    <w:p>
      <w:pPr>
        <w:spacing w:after="0" w:line="14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table above does not include potential milestone payments, license fee payments, royalties and other payments that we may be required to make under our license agreements with Duke and Yale and our distribution agreement with Fresenius Medical Care. These payments are not included in the preceding table as the amount and timing of such payments are unknown or uncertain at December 31, 2020. For additional information regarding these agreements and the nature of payments that could become due thereunder, see the sections of the Proxy Statement/Prospectus entitled “Information About Humacyte—Business Overview—Distribution” and “Information About Humacyte—Business Overview—Intellectual Property,” beginning on pages 197 and 199 of the Proxy Statement/Prospectus, respectively. Our contractual obligations have increased materially from December 31, 2020 as a result of entering into a Loan Agreement with Silicon Valley Bank and SVB Innovation Credit Fund VIII, L.P., which provides a term loan facility of up to $50.0 million with a maturity date of March 1, 2025, of which $20.0 million was outstanding as of June 30, 2021. Our contractual obligation under the Loan Agreement include cash payments related to principal and interest of $3.7 million within one year, $15.1 million within one to three years, and $5.6 million within three to five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9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SEC rules and regulations.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Significant Judgments and Estimates</w:t>
      </w:r>
    </w:p>
    <w:p>
      <w:pPr>
        <w:spacing w:after="0" w:line="18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Our financial statements are prepared in accordance with U.S. GAAP. The preparation of our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 Our critical accounting policies are summarized below. See Note 2 to our financial statements contained elsewhere in the registration statement of which this prospectus forms a part for a description of our other significant accounting policies.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revenues generally consist of grant revenues, including revenues generated under Federal contracts and other awarded grants.</w:t>
      </w:r>
    </w:p>
    <w:p>
      <w:pPr>
        <w:spacing w:after="0" w:line="20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2014, the Financial Accounting Standards Board (“FASB”) issued Accounting Standards Update No. 2014-09, Revenues from Contracts with Customers (Topic 606) (“ASC 606”). This guidance became effective January 1, 2019 for private companies, with early adoption allowed. We adopted ASC 606 on January 1, 2019 using the modified-retrospective adoption method for all contracts that were not completed as of the date of adoption. Under the modified-retrospective method, there was no cumulative effect of applying the standard as of January 1, 2019.</w:t>
      </w:r>
    </w:p>
    <w:p>
      <w:pPr>
        <w:spacing w:after="0" w:line="161"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Under ASC 606, revenue is recognized when a customer obtains control of promised goods or services and is recognized in an amount that reflects the consideration that an entity expects to receive in exchange for those goods or services. To determine revenue</w:t>
      </w:r>
    </w:p>
    <w:p>
      <w:pPr>
        <w:sectPr>
          <w:pgSz w:w="11900" w:h="16838" w:orient="portrait"/>
          <w:cols w:equalWidth="0" w:num="1">
            <w:col w:w="9920"/>
          </w:cols>
          <w:pgMar w:left="980" w:top="12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recognition for arrangements that an entity determines are within the scope of Topic 606, the entity performs the following five steps:</w:t>
      </w:r>
    </w:p>
    <w:p>
      <w:pPr>
        <w:spacing w:after="0" w:line="46"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identify the contract(s) with a customer; (ii) identify the performance obligations in the contract; (iii) determine the transaction price;</w:t>
      </w:r>
    </w:p>
    <w:p>
      <w:pPr>
        <w:spacing w:after="0" w:line="32" w:lineRule="exact"/>
        <w:rPr>
          <w:rFonts w:ascii="Arial" w:cs="Arial" w:eastAsia="Arial" w:hAnsi="Arial"/>
          <w:sz w:val="16"/>
          <w:szCs w:val="16"/>
          <w:color w:val="auto"/>
        </w:rPr>
      </w:pPr>
    </w:p>
    <w:p>
      <w:pPr>
        <w:jc w:val="both"/>
        <w:ind w:right="540" w:firstLine="8"/>
        <w:spacing w:after="0" w:line="255" w:lineRule="auto"/>
        <w:tabs>
          <w:tab w:leader="none" w:pos="3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(v) recognize revenue when (or as) the entity satisfies a performance obligation. Topic 606 also impacts certain other areas, such as the accounting for costs to obtain or fulfill a contract.</w:t>
      </w:r>
    </w:p>
    <w:p>
      <w:pPr>
        <w:spacing w:after="0" w:line="16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 addition, the standard requires disclosure of the nature, amount, timing, and uncertainty of revenue and cash flows arising from contracts with customers.</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of January 1, 2019, we determined that there was no material impact that the adoption of ASC 606 had on our financial statements. We have determined that our government grants are not within the scope of ASC 606 as they do not meet the definition of a contract with a customer.</w:t>
      </w:r>
    </w:p>
    <w:p>
      <w:pPr>
        <w:spacing w:after="0" w:line="143"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generate revenue primarily from government grants that reimburse us for certain allowable costs related to research and development efforts. We have determined that government grants are not within the scope of ASC 606 as they do not meet the definition of a contract with a customer. We have concluded that the grants meet the definition of a contribution and are nonexchange transactions and have applied the contribution accounting model in Subtopic 958-605, Not-for-Profit-Entities-Revenue Recognition by analogy.</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recognize funding received from grants as revenue, rather than as a reduction of research and development expenses, because we are the principal in conducting the research and development activities and these grants are central to our ongoing operations. We recognize revenue only after the qualifying expenses related to the grants have been incurred and it is reasonably assured that the expenses will be reimbursed and the revenue will be collectible. The related costs incurred are included in research and development expense in our statements of operations and comprehensive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18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part of the process of preparing financial statements, we are required to estimate accrued expenses. This process involves reviewing open contracts and purchase orders, communicating with applicable vendor personnel to identify services that have been performed on our behalf and estimating the level of service performed and the associated cost incurred for the service when we have not yet been invoiced or otherwise notified of actual cost.</w:t>
      </w:r>
    </w:p>
    <w:p>
      <w:pPr>
        <w:spacing w:after="0" w:line="146"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Our understanding of the status and timing of services performed relative to the actual status and timing may vary and may result in our reporting changes in estimates in a particular period. Changes in estimates have not resulted in any material changes to our accrued expenses to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measure and recognize compensation expense for all options based on the estimated fair value of the award on the grant date. We use the Black-Scholes option-pricing model to estimate the fair value of option awards. The fair value is recognized as expense on a straight-line basis over the requisite service period. We account for forfeitures as they occur.</w:t>
      </w:r>
    </w:p>
    <w:p>
      <w:pPr>
        <w:spacing w:after="0" w:line="143"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determination of the grant date fair value of options using an option pricing model is affected principally by our estimated fair value of shares of our common stock and requires management to make a number of other assumptions, including the expected term of the option, the volatility of the underlying shares, the risk-free interest rate and expected dividends. The assumptions used in our Black-Scholes option-pricing model represent management’s good faith estimates at the time of measurement. These estimates are complex,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assumptions are estimated as follows:</w:t>
      </w:r>
    </w:p>
    <w:p>
      <w:pPr>
        <w:spacing w:after="0" w:line="185" w:lineRule="exact"/>
        <w:rPr>
          <w:sz w:val="20"/>
          <w:szCs w:val="20"/>
          <w:color w:val="auto"/>
        </w:rPr>
      </w:pPr>
    </w:p>
    <w:p>
      <w:pPr>
        <w:ind w:left="680" w:right="260" w:hanging="321"/>
        <w:spacing w:after="0" w:line="259"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our common stock has not historically been publicly traded, the fair value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underlying the options has historically been determined by our board of directors with input from management, after considering independent third-party valuation reports. See “Fair Value of Common Stock” and “Common Stock Valuation Methodology.”</w:t>
      </w:r>
    </w:p>
    <w:p>
      <w:pPr>
        <w:spacing w:after="0" w:line="146" w:lineRule="exact"/>
        <w:rPr>
          <w:rFonts w:ascii="Arial" w:cs="Arial" w:eastAsia="Arial" w:hAnsi="Arial"/>
          <w:sz w:val="18"/>
          <w:szCs w:val="18"/>
          <w:color w:val="auto"/>
        </w:rPr>
      </w:pPr>
    </w:p>
    <w:p>
      <w:pPr>
        <w:ind w:left="680" w:right="200" w:hanging="321"/>
        <w:spacing w:after="0" w:line="342" w:lineRule="auto"/>
        <w:tabs>
          <w:tab w:leader="none" w:pos="6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expected term represents the period that stock options are expected to be outstanding. We calculated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term using the simplified method for options, which is available where there is insufficient historical data about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spacing w:after="0" w:line="257" w:lineRule="auto"/>
        <w:rPr>
          <w:sz w:val="20"/>
          <w:szCs w:val="20"/>
          <w:color w:val="auto"/>
        </w:rPr>
      </w:pPr>
      <w:r>
        <w:rPr>
          <w:rFonts w:ascii="Arial" w:cs="Arial" w:eastAsia="Arial" w:hAnsi="Arial"/>
          <w:sz w:val="18"/>
          <w:szCs w:val="18"/>
          <w:color w:val="auto"/>
        </w:rPr>
        <w:t>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61" w:lineRule="exact"/>
        <w:rPr>
          <w:sz w:val="20"/>
          <w:szCs w:val="20"/>
          <w:color w:val="auto"/>
        </w:rPr>
      </w:pPr>
    </w:p>
    <w:p>
      <w:pPr>
        <w:ind w:left="680" w:right="180" w:hanging="321"/>
        <w:spacing w:after="0" w:line="279" w:lineRule="auto"/>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The expected volatility was based on the historical share volatility of several publicly traded peer</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over a period of time equal to the expected term of the options, as we do not have any trading history to use to determine the volatility of our common stock. For purposes of identifying these peer companies, we considered the industry, stage of development, size and financial leverage of potential comparable companies.</w:t>
      </w:r>
    </w:p>
    <w:p>
      <w:pPr>
        <w:spacing w:after="0" w:line="130" w:lineRule="exact"/>
        <w:rPr>
          <w:rFonts w:ascii="Arial" w:cs="Arial" w:eastAsia="Arial" w:hAnsi="Arial"/>
          <w:sz w:val="17"/>
          <w:szCs w:val="17"/>
          <w:color w:val="auto"/>
        </w:rPr>
      </w:pPr>
    </w:p>
    <w:p>
      <w:pPr>
        <w:ind w:left="680" w:right="46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was based on the yields of U.S. Treasury zero-coupon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similar in duration to the expected term of the options.</w:t>
      </w:r>
    </w:p>
    <w:p>
      <w:pPr>
        <w:spacing w:after="0" w:line="129" w:lineRule="exact"/>
        <w:rPr>
          <w:rFonts w:ascii="Arial" w:cs="Arial" w:eastAsia="Arial" w:hAnsi="Arial"/>
          <w:sz w:val="18"/>
          <w:szCs w:val="18"/>
          <w:color w:val="auto"/>
        </w:rPr>
      </w:pPr>
    </w:p>
    <w:p>
      <w:pPr>
        <w:ind w:left="680" w:right="62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not paid dividends on our common stock nor do we expect to pay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Accordingly, we have estimated the dividend yield to be zero.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Historically, for all periods prior to this transaction, the fair values of the shares of common stock underlying our options were determined on each grant date by our board of directors with input from management. In order to determine the fair value, our board of directors considered, among other things, contemporaneous valuations of our common stock and preferred stock prepared by an unrelated third-party valuation firm in accordance with the guidance provided by the American Institute of Certified Public Accountants 2013 Practice Aid, Valuation of Privately-Held-Company Equity Securities Issued as Compensation (the “Practice Aid”). Given the absence of a public trading market of our capital stock, the assumptions used to determine the estimated fair value of our common stock are based on a number of objective and subjective factors, including:</w:t>
      </w:r>
    </w:p>
    <w:p>
      <w:pPr>
        <w:spacing w:after="0" w:line="137" w:lineRule="exact"/>
        <w:rPr>
          <w:sz w:val="20"/>
          <w:szCs w:val="20"/>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stage of development and business strategy;</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prices, rights, preferences and privileges of our redeemable convertible preferred stock relative to our common stock;</w:t>
      </w:r>
    </w:p>
    <w:p>
      <w:pPr>
        <w:spacing w:after="0" w:line="209" w:lineRule="exact"/>
        <w:rPr>
          <w:rFonts w:ascii="Arial" w:cs="Arial" w:eastAsia="Arial" w:hAnsi="Arial"/>
          <w:sz w:val="17"/>
          <w:szCs w:val="17"/>
          <w:color w:val="auto"/>
        </w:rPr>
      </w:pPr>
    </w:p>
    <w:p>
      <w:pPr>
        <w:ind w:left="680" w:hanging="321"/>
        <w:spacing w:after="0"/>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business, financial condition and results of operations, including related industry trends affecting our operations;</w:t>
      </w:r>
    </w:p>
    <w:p>
      <w:pPr>
        <w:spacing w:after="0" w:line="196" w:lineRule="exact"/>
        <w:rPr>
          <w:rFonts w:ascii="Arial" w:cs="Arial" w:eastAsia="Arial" w:hAnsi="Arial"/>
          <w:sz w:val="17"/>
          <w:szCs w:val="17"/>
          <w:color w:val="auto"/>
        </w:rPr>
      </w:pPr>
    </w:p>
    <w:p>
      <w:pPr>
        <w:ind w:left="680" w:right="80" w:hanging="321"/>
        <w:spacing w:after="0" w:line="277"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 given prevailing market conditions;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 and global economic and capital market conditions and outlook.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Valuation Methodology</w:t>
      </w:r>
    </w:p>
    <w:p>
      <w:pPr>
        <w:spacing w:after="0" w:line="198"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43" w:lineRule="exact"/>
        <w:rPr>
          <w:sz w:val="20"/>
          <w:szCs w:val="20"/>
          <w:color w:val="auto"/>
        </w:rPr>
      </w:pPr>
    </w:p>
    <w:p>
      <w:pPr>
        <w:ind w:left="680" w:right="20" w:hanging="321"/>
        <w:spacing w:after="0" w:line="263"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Option Pricing Method.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43" w:lineRule="exact"/>
        <w:rPr>
          <w:rFonts w:ascii="Arial" w:cs="Arial" w:eastAsia="Arial" w:hAnsi="Arial"/>
          <w:sz w:val="18"/>
          <w:szCs w:val="18"/>
          <w:color w:val="auto"/>
        </w:rPr>
      </w:pPr>
    </w:p>
    <w:p>
      <w:pPr>
        <w:ind w:left="680" w:right="100" w:hanging="321"/>
        <w:spacing w:after="0" w:line="286" w:lineRule="auto"/>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Probability-Weighted Expected Return Method. The probability-weighted expected return method (“PWERM”) is a scenario-based analysis that estimates value per share based on the probability-weighted present value of expected future investment returns, assuming various outcomes, as well as the economic and control rights of each share class.</w:t>
      </w:r>
    </w:p>
    <w:p>
      <w:pPr>
        <w:spacing w:after="0" w:line="138"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Based on our early stage of development, we determined that the PWERM method, incorporating the OPM as one of several scenarios, was the most appropriate method for allocating our enterprise value to determine the estimated fair value of our common</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125" w:right="10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stock for valuations performed as of November 13, 2020 and October 23, 2019, which resulted in common stock valuations of $2.699 and $2.228 per share, respectively. In January, February, March and June 2021, stock options were granted at fair market value with an exercise price of $2.699, consistent with the fair market value determined two months earlier in November 2020. When adjusted for the estimated Exchange Ratio, as defined in the Business Combination Agreement, the $2.699 exercise price is greater than the public trading price of the AHAC Class A common stock as of the date of grant and also greater than the share price reflected in the $800 million equity value agreed upon in connection with the Business Combination. We also utilized the PWERM method for our valuation as of June 25, 2018, which resulted in a common stock valuation of $2.226 per share.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4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Following the closing of the Business Combination, the fair value of our common stock will be determined based on the closing price of our common stock on the primary stock exchange on which our common stock is traded on the date stock options or other awards are granted under the 2021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Income taxes are computed using the asset and liability approach that requires the recognition of deferred tax assets and liabilities for the expected future tax consequences of events that have been recognized in our financial statements. In estimating future tax consequences, we consider all expected future events other than enactment of changes in tax laws or rates. A valuation allowance is recorded to reduce net deferred tax assets to their realizable values if management does not believe it is more likely than not that the net deferred tax assets will be realized. As of December 31, 2019 and 2020, we have recorded a full valuation allowance against our net deferred tax assets.</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recognize the benefit of an income tax position only if it is more likely than not (greater than 50%) that the tax position will be sustained upon tax examination, based solely on the technical merits of the tax position. Otherwise, no benefit can be recognized. Assessing an uncertain tax position begins with the initial determination of the sustainability of the position and is measured at the largest amount of benefit that is greater than 50% likely of being realized upon ultimate settlement. As of each balance sheet date, unresolved uncertain tax positions must be reassessed. Additionally, we must accrue interest and related penalties, if applicable, on all tax exposures for which reserves have been established consistent with jurisdictional tax laws. We have not identified any uncertain tax positions for the years ended December 31, 2019 and 2020.</w:t>
      </w:r>
    </w:p>
    <w:p>
      <w:pPr>
        <w:spacing w:after="0" w:line="13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have analyzed our filing positions in all significant Federal and state jurisdictions where we are required to file income tax returns, as well as open tax years in these jurisdictions. As of December 31, 2019 and 2020, we have determined that no uncertain tax positions would have a material impact on our financial statements. We are no longer subject to U.S. Federal, state, and local tax examinations by tax authorities for years before 2017 although carry-forward attributes that were generated prior to 2017 may still be adjusted upon examination by the taxing authorities if they either have been or will be used in a future period. No income tax returns are currently under examination by taxing authorities.</w:t>
      </w:r>
    </w:p>
    <w:p>
      <w:pPr>
        <w:spacing w:after="0" w:line="1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of December 31, 2019 and 2020, we had not recorded any amounts for unrecognized tax benefits. Our policy is to recognize interest and penalties related to uncertain tax positions in the provision for income taxes, if any. As of December 31, 2019 and 2020, we had no accrued interest or penalties related to uncertain tax positions, and no amounts had been recognized in our statements of operations and comprehensive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9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See Note 2 to our financial statements contained elsewhere in the registration statement of which this prospectus forms a part for a description of recent accounting pronouncements applicable to our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and Smaller Reporting Company Status</w:t>
      </w:r>
    </w:p>
    <w:p>
      <w:pPr>
        <w:spacing w:after="0" w:line="18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Humacyte is an “emerging growth company” as defined in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Humacyte to avail itself of the extended transition period and, therefore, while Humacyte is an emerging growth company it will not be subject to new or revised accounting standards at the same time that they become applicable to other public companies that are not</w:t>
      </w:r>
    </w:p>
    <w:p>
      <w:pPr>
        <w:sectPr>
          <w:pgSz w:w="11900" w:h="16838" w:orient="portrait"/>
          <w:cols w:equalWidth="0" w:num="1">
            <w:col w:w="9920"/>
          </w:cols>
          <w:pgMar w:left="980" w:top="12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emerging growth companies, unless it chooses to early adopt a new or revised accounting standard. This may make it difficult or impossible to compare Humacyte’s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6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Additionally, Humacyte is a “smaller reporting company” as defined in Item 10(f)(1) of Regulation S-K. Smaller reporting companies may take advantage of certain reduced disclosure obligations, including, among other things, providing only two years of audited financial statements. Humacyte will remain a smaller reporting company if (1) the market value of Humacyte common stock held by non-affiliates is less than $250 million as of the last business day of the second fiscal quarter, or (2) Humacyte’s annual revenues in its most recent fiscal year completed before the last business day of its second fiscal quarter are less than $100 million and the market value of Humacyte common stock held by non-affiliates is less than $700 million as of the last business day of the second fiscal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and Qualitative Disclosure about Market Risk</w:t>
      </w:r>
    </w:p>
    <w:p>
      <w:pPr>
        <w:spacing w:after="0" w:line="18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are exposed to market risk in the ordinary course of business. As of December 31, 2020 and June 30, 2021, we were not subject to any material market, currency, or interest rate risk.</w:t>
      </w:r>
    </w:p>
    <w:p>
      <w:pPr>
        <w:spacing w:after="0" w:line="14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primary exposure to market risk is associated with changes in interest rates related to the interest income from our cash and cash equivalents of $39.9 million and $29.0 million as of December 31, 2020 and June 30, 2021, respectively, which we invest in money market funds invested only in obligations of the U.S. government and its agencies. Due to the short-term maturities and low risk profile of our cash and cash equivalents, an immediate 10.0% change in interest rates would not have a material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Humacyte is pioneering the development and manufacture of off-the-shelf, universally implantable, bioengineered human tissues with the goal of improving the lives of patients and transforming the practice of medicine. We believe our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6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initially using our proprietary, scientific technology platform to engineer and manufacture human acellular vessels, or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trauma; AV access for hemodialysis; PAD; and coronary artery bypass grafting (“CABG”). In addition, we are developing our HAVs for pediatric heart surgery and the delivery of cellular therapies, including pancreatic islet cell transplantation to treat Type 1 diabetes. We will continue to explore the application of our technology across a broad range of markets and indications including the development of urinary conduit, trachea, esophagus and other novel cell delivery systems.</w:t>
      </w:r>
    </w:p>
    <w:p>
      <w:pPr>
        <w:spacing w:after="0" w:line="15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spacing w:after="0" w:line="126"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As of September 1, 2021, our HAVs have been implanted in approximately 460 patients. We are currently conducting Phase II and Phase III trials of our 6 millimeter HAV across two therapeutic indications, vascular trauma and AV access for hemodialysis, as well as continuing long-term follow up of patients in our Phase II PAD studies. We were granted Fast Track designation by the FDA for our 6 millimeter HAV for use in AV access for hemodialysis in 2014. We also received the first RMAT designation from the FDA, for the creation of vascular access for performing hemodialysis, in March 2017. In addition, in 2018 our HAV product candidate was assigned a priority designation by the Secretary of Defense under Public Law 115-92, enacted to expedite the FDA’s review of products that are intended to diagnose, treat or prevent serious or life-threatening conditions facing American military personnel. Upon completion of our Phase III trials, we intend to submit a BLA to the FDA for indications in vascular trauma in 2022 and AV access for hemodialysis in 2023.</w:t>
      </w:r>
    </w:p>
    <w:p>
      <w:pPr>
        <w:spacing w:after="0" w:line="156"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have developed a novel paradigm for manufacturing human tissues that is intended to mimic key aspects of human physiology. We have an 83,000 square foot bioprocessing facility housing our modular manufacturing process with the ability to manufacture HAVs of different diameters and lengths at commercial scale. As we continue to expand production, we believe we will have the ability to take advantage of economies of scale to reduce costs of production. We believe our established, controlled manufacturing process demonstrates a significant competitive advantage in the regenerative medicine market.</w:t>
      </w:r>
    </w:p>
    <w:p>
      <w:pPr>
        <w:spacing w:after="0" w:line="14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technology is protected by our patent portfolio. Our patent portfolio, which includes certain patents licensed from parties as well as intellectual property generated internally at Humacyte, is comprised of 15 families of patents, many of which generally relate to the scaffolds used to make our vessels, the composition of our vessels and systems and methods of manufacturing our vessels. For more information, see “— Intellectual Property” below.</w:t>
      </w:r>
    </w:p>
    <w:p>
      <w:pPr>
        <w:spacing w:after="0" w:line="14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intend to continue to shape our commercial and distribution strategy by indication and pursue collaborations with partners in markets where such partners provide strategic opportunities in launching our product candidates and enabling access to specific patient populations.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world-class senior management team and board of directors will be instrumental in helping us achieve our goals. Our President and Chief Executive Officer, Laura Niklason M.D., PhD., who founded Legacy Humacyte, is an internationally respected physician scientist and a world leader in regenerative medicine technologies. Dr. Niklason is also a member of three national academies — Inventors, Medicine and Engineering. Our current Chairman of the Board is Kathleen Sebelius, the former Secretary of the Department of Health and Human Services (HHS), and the former Governor of Kansas.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Approach</w:t>
      </w:r>
    </w:p>
    <w:p>
      <w:pPr>
        <w:spacing w:after="0" w:line="18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developed an approach that relies on two key complementary elements to address the significant market opportunity for the global treatment of cardiovascular disease including patients in need of vascular replacement, repair and reconstruction, as well as vascular access for dialysis and future indications:</w:t>
      </w:r>
    </w:p>
    <w:p>
      <w:pPr>
        <w:spacing w:after="0" w:line="143" w:lineRule="exact"/>
        <w:rPr>
          <w:sz w:val="20"/>
          <w:szCs w:val="20"/>
          <w:color w:val="auto"/>
        </w:rPr>
      </w:pPr>
    </w:p>
    <w:p>
      <w:pPr>
        <w:ind w:left="680" w:right="760" w:hanging="321"/>
        <w:spacing w:after="0" w:line="27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proprietary scientific and engineering technology platform allows us to grow human tissues, which are ultimately decellularized and therefore expected to be non-immunogenic and universally implantable; and</w:t>
      </w:r>
    </w:p>
    <w:p>
      <w:pPr>
        <w:spacing w:after="0" w:line="143" w:lineRule="exact"/>
        <w:rPr>
          <w:rFonts w:ascii="Arial" w:cs="Arial" w:eastAsia="Arial" w:hAnsi="Arial"/>
          <w:sz w:val="18"/>
          <w:szCs w:val="18"/>
          <w:color w:val="auto"/>
        </w:rPr>
      </w:pPr>
    </w:p>
    <w:p>
      <w:pPr>
        <w:ind w:left="680" w:right="460" w:hanging="321"/>
        <w:spacing w:after="0" w:line="308" w:lineRule="auto"/>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novel, scalable manufacturing paradigm is designed to allow us to produce thousands of HAVs per year at the time of commercial launch, with the ability to expand manufacturing to meet expected future global demand.</w:t>
      </w:r>
    </w:p>
    <w:p>
      <w:pPr>
        <w:spacing w:after="0" w:line="106"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Using this approach to manufacture, we are pursuing the use of acellular human tissues to address a broad range of disease indications, if approved. We intend to develop a readily available “cabinet” of HAVs of varying diameters and lengths to address the significant unmet needs across multiple potential indications in vascular repair, reconstruction and replacement.</w:t>
      </w:r>
    </w:p>
    <w:p>
      <w:pPr>
        <w:spacing w:after="0" w:line="125"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Illustration of our Proposed HAV “Cabinet” for Vascular Repair, Reconstruction, and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126365</wp:posOffset>
            </wp:positionV>
            <wp:extent cx="4303395" cy="26314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0339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Scientific Technology Platform</w:t>
      </w:r>
    </w:p>
    <w:p>
      <w:pPr>
        <w:spacing w:after="0" w:line="19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proprietary scientific technology platform uses primary human aortic vascular cells from a working cell stock, isolated from donor tissues and cryopreserved. The working cell stock is expanded using traditional cell culture techniques, and the cells are transferred onto a biocompatible, biodegradable polymer mesh within a flexible, single-use bioreactor bag. Over the course of weeks,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solutions. The resulting HAV retains the extracellular matrix constituents and, therefore, the biomechanical properties of the bioengineered vessel, but is cleansed of the cells and cellular components that could induce a foreign body response or immune rejection following implantation. Our functionally closed system allows for the HAV to be grown, decellularized and ultimately shipped within the same flexible bioreactor bag. Our HAVs are designed to be shipped to hospitals, trauma centers and outpatient surgical settings, where they can then be stored at refrigerated temperatures for immediate use by removing each HAV from its packaging.</w:t>
      </w:r>
    </w:p>
    <w:p>
      <w:pPr>
        <w:sectPr>
          <w:pgSz w:w="11900" w:h="16838" w:orient="portrait"/>
          <w:cols w:equalWidth="0" w:num="1">
            <w:col w:w="9880"/>
          </w:cols>
          <w:pgMar w:left="980" w:top="125" w:right="1039" w:bottom="1440" w:gutter="0" w:footer="0" w:header="0"/>
        </w:sect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image summarizes key information about our proprietary scientific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134620</wp:posOffset>
            </wp:positionV>
            <wp:extent cx="5040630" cy="24777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40630"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Novel Manufacturing Paradigm</w:t>
      </w:r>
    </w:p>
    <w:p>
      <w:pPr>
        <w:spacing w:after="0" w:line="1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developed a novel paradigm for manufacturing human tissues that is intended to mimic key aspects of human physiology. Our proprietary manufacturing process was designed with a modular approach allowing us to produce HAVs in smaller batches for clinical trials and scale out to larger batches for commercial manufacturing. The system used in our clinical trials from 2016 to 2021, including our Phase III trials, utilized a single tray within one growth drawer holding 10 HAVs per batch. In 2021 we commenced supplying our ongoing clinical trials with HAVs produced in our current, commercial-scale LUNA200 system, which consists of 20 growth drawers per production unit for a total of 200 HAVs per batch. Each growth drawer is capable of producing ten 42cm HAVs, each of which is contained within an individual bioreactor bag. Inside a LUNA200, a tubing network connects all HAVs, allowing the entire system to share nutritive media. In this way, a single LUNA200 can produce up to 200 HAVs (42cm in length) per batch while maintaining the critical operating parameters, such as biomechanical pulsing, that affect growth.</w:t>
      </w:r>
    </w:p>
    <w:p>
      <w:pPr>
        <w:spacing w:after="0" w:line="154"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A thorough comparability assessment was performed to evaluate HAV batches produced in the single drawer system and used in Phase III studies versus the 20-drawer LUNA200 system. The study assessed 22 separate comparisons on the identity, strength, quality, purity, and potency of the HAV product. In this study, we observed that HAVs produced in the LUNA200 system were comparable to HAVs used in our Phase III trials. Additionally, a crossover study, called V011, completed enrollment of 30 subjects to evaluate HAVs that are manufactured on Humacyte’s commercial LUNA200 platform with the primary goal to evaluate the safety, efficacy and immunogenicity of the LUNA200-manufactured HAVs. Thus far in this trial we have observed comparable safety profile between HAV used in previous studies and the HAV manufactured in the LUNA200 commercial system. The results of the comparability assessment and the 30-day results from the V011 crossover study were submitted to the FDA. In 2021 the FDA authorized the use of HAVs produced in the commercial LUNA200 system to supply our ongoing clinical trials. We plan to also use the LUNA200 system for anticipated commercial launches of the HAV if it is approved.</w:t>
      </w:r>
    </w:p>
    <w:p>
      <w:pPr>
        <w:spacing w:after="0" w:line="14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current 83,000 square foot manufacturing facility has completed utility connections for 33 LUNA200 systems, with additional space to further expand manufacturing capacity as needed, to over 40 LUNA200 systems. Currently, eight LUNA200 systems are installed and operational.</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383540</wp:posOffset>
            </wp:positionV>
            <wp:extent cx="5349240" cy="25374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4924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believe that the LUNA200 can produce HAVs in diameter sizes from 3mm to 10mm and lengths from 10cm to 42cm, making the equipment suitable for the varied array of product candidates in our pipeline. We intend to introduce a 13cm-long HAV line extension after commercial launch of the 42cm HAV for surgeries that require shorter segments of HAV in the setting of vascular trauma and repair. Using our existing LUNA200 manufacturing equipment without modification, we believe we have the ability to generate 400 HAVs (13cm in length) or 200 HAVs (42cm in length) per manufactured batch. We have designed our manufacturing system to be functionally closed, to utilize single-use disposable materials with aseptic connections, and to be fully automated, which allows us to control and maximize HAV production.</w:t>
      </w:r>
    </w:p>
    <w:p>
      <w:pPr>
        <w:spacing w:after="0" w:line="154"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Based on observations to date, the HAV has withstood maximal pressures that are comparable to those reported for native arteries. For example, the human aorta is reported to have rupture strengths around 1,400 mmHg, while human cerebral arteries rupture around 1,800 mmHg. We have observed HAVs withstanding maximal pressures of approximately 3,200 mmHg before rupturing, making their mechanical properties on par with native human blood vessels.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8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are a biotechnology company with Phase III clinical trials in two indications and a strong pipeline for additional products and indications. Additionally, we have had significant interest from surgeons to use our HAV in life and limb saving surgeries as demonstrated by their requests to the FDA to use our HAV in multiple expanded access (compassionate use) cases where no alternative was available.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Initial Market Opportunity in Vascular Repair, Reconstruction and Replacement</w:t>
      </w:r>
    </w:p>
    <w:p>
      <w:pPr>
        <w:spacing w:after="0" w:line="18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believe there is a significant market opportunity for our technology across a number of important clinical areas within vascular reconstruction and replacement including vascular trauma, AV access for hemodialysis, peripheral arterial disease, and adult cardiac surgery. To treat these diseases and conditions, patients often require invasive cardiovascular surgery, which involves the use of alternative vascular synthetic materials or autologous vessels harvested from elsewhere in the body. For more information about our evaluation of market opportunity, see “Risk Factors—Risks Related to the Development and Commercialization of Our Product Candidates—The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383540</wp:posOffset>
            </wp:positionV>
            <wp:extent cx="5349240" cy="27603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u w:val="single" w:color="auto"/>
          <w:color w:val="auto"/>
        </w:rPr>
        <w:t>Vascular Trauma</w:t>
      </w:r>
      <w:r>
        <w:rPr>
          <w:rFonts w:ascii="Arial" w:cs="Arial" w:eastAsia="Arial" w:hAnsi="Arial"/>
          <w:sz w:val="16"/>
          <w:szCs w:val="16"/>
          <w:color w:val="auto"/>
        </w:rPr>
        <w:t>: We believe our addressable market opportunity in trauma is approximately $3.2 billion worldwide. 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accidents, gun violence, mass casualty terrorist attacks, stabbings and blunt trauma. We estimate that central or peripheral vascular injuries in civilian patients account for approximately 150,000 of all injuries reported in global trauma patients. Furthermore, these injuries account for greater than 20% of all trauma-related deaths. Extending management’s current estimated average global pricing of $21,000 per HAV to the approximately 150,000 total annual global patients suggests a total addressable market opportunity of approximately $3.2 billion. While we believe our assumptions and the data underlying this estimate are reasonable, they may be inaccurate or based on imprecise data; in addition, the assumptions and conditions underlying the estimate may change at any time.</w:t>
      </w:r>
    </w:p>
    <w:p>
      <w:pPr>
        <w:spacing w:after="0" w:line="128"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Civilian patients with central or peripheral vascular injuries are estimated to account for approximately 75,000 of all injuries reported in trauma patients in the U.S., inclusive of urgent and iatrogenic vascular trauma injuries. However, these injuries account for greater than 20% of all trauma-related deaths.</w:t>
      </w:r>
    </w:p>
    <w:p>
      <w:pPr>
        <w:spacing w:after="0" w:line="143"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believe our HAVs will be a promising alternative that can address critical gaps in existing treatment options for acute vascular injuries due to trauma. We are developing our HAVs with the goal of providing an effective solution in all time-constrained surgical environments and in resource-limited, infection prone battlefield environments. The ability to create immediately available, non-immunogenic, universally implantable material that is less susceptible to infection represents a clinically significant advantage over existing options.</w:t>
      </w:r>
    </w:p>
    <w:p>
      <w:pPr>
        <w:spacing w:after="0" w:line="16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u w:val="single" w:color="auto"/>
          <w:color w:val="auto"/>
        </w:rPr>
        <w:t>Arteriovenous Access for Hemodialysis</w:t>
      </w:r>
      <w:r>
        <w:rPr>
          <w:rFonts w:ascii="Arial" w:cs="Arial" w:eastAsia="Arial" w:hAnsi="Arial"/>
          <w:sz w:val="18"/>
          <w:szCs w:val="18"/>
          <w:color w:val="auto"/>
        </w:rPr>
        <w:t>: We believe our addressable market opportunity in patients with end stage renal disease requiring AV access for hemodialysis is approximately $6.5 billion worldwide. Additionally, an estimated $5 to $6 billion per year is spent on hospital admissions in hemodialysis patients with infection and access complications. In 2017, there were nearly 500,000 patients receiving hemodialysis in the United States. Annually, at least 160,000 existing or new dialysis patients require a new AV access in the U.S. and an additional 150,000 patients require a new AV access in Europe and Japan. Extending management’s currently estimated average global pricing of $21,000 per HAV to the approximately 310,000 total annual global patients suggests a total addressable market opportunity of approximately $6.5 billion. While we believe our assumptions and the data underlying this estimate are reasonable, they may be inaccurate or based on imprecise data; in addition, the assumptions and conditions underlying the estimate may change at any time.</w:t>
      </w:r>
    </w:p>
    <w:p>
      <w:pPr>
        <w:spacing w:after="0" w:line="156"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Hemodialysis patients are a chronically ill patient population, suffering an average of 1.8 hospital admissions, three visits to the emergency department, and four days hospitalized for infections each year. The two most common causes of hospital admissions in hemodialysis patients are infection and access complications, resulting in an estimated total spend of $5 billion to $6 billion per year.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hemodialysis patients, an infected access can lead to sepsis, which is life threatening, is the most expensive cause for hospitalization in the United States and carries at least a 10% overall mortality rate.</w:t>
      </w:r>
    </w:p>
    <w:p>
      <w:pPr>
        <w:spacing w:after="0" w:line="14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believe that our HAVs, when used as AV access for hemodialysis, can decrease infections and dialysis access failures, which would improve patient outcomes and lower the burden of dialysis costs on the healthcare system. We expect to file a BLA with the FDA, seeking approval for the use of HAV in AV access for hemodialysis, and to target our commercialization efforts particularly toward those patients who are at high risk of fistula failure or non-maturation, or for those patients at high risk of vascular access infection.</w:t>
      </w:r>
    </w:p>
    <w:p>
      <w:pPr>
        <w:spacing w:after="0" w:line="117"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u w:val="single" w:color="auto"/>
          <w:color w:val="auto"/>
        </w:rPr>
        <w:t>Peripheral Artery Disease (PAD)</w:t>
      </w:r>
      <w:r>
        <w:rPr>
          <w:rFonts w:ascii="Arial" w:cs="Arial" w:eastAsia="Arial" w:hAnsi="Arial"/>
          <w:sz w:val="17"/>
          <w:szCs w:val="17"/>
          <w:color w:val="auto"/>
        </w:rPr>
        <w:t>: We believe our addressable market opportunity in patients with PAD is approximately $10.5 billion worldwide. PAD is a cardiovascular disease of blood vessels located outside the brain and heart. PAD occurs when plaque builds up in arteries that carry blood to the head, organs, and limbs. PAD usually affects arteries in the legs, but it can also affect arteries that carry blood from heart to head, arms, kidneys, and stomach. We believe our HAVs can be used as a bypass conduit in patients with PAD. Peripheral arterial bypass procedures are common with as many as 160,000 PAD related procedures reported annually in the U.S. and over 550,000 annual PAD procedures estimated globally. Expanding into markets outside the U.S., annual peripheral bypass procedures are nearly 170,000 per year in Europe, and approximately 220,000 per year in Asia. Extending management’s currently estimated average global pricing of $19,000 per HAV to the approximately 550,000 total annual global patients suggests a total addressable market opportunity of approximately $10.5 billion. While we believe our assumptions and the data underlying this estimate are reasonable, they may be inaccurate or based on imprecise data; in addition, the assumptions and conditions underlying the estimates may change at any time.</w:t>
      </w:r>
    </w:p>
    <w:p>
      <w:pPr>
        <w:spacing w:after="0" w:line="14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While endovascular techniques have become available over the past ten years to treat an array of vascular occlusions, depending on the nature and length of the blockage these types of treatment options have met with both mixed success and durability compared to conventional surgical bypass. Both angioplasty and stenting procedures provide near term success, however long-term durability has remained a question.</w:t>
      </w:r>
    </w:p>
    <w:p>
      <w:pPr>
        <w:spacing w:after="0" w:line="16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u w:val="single" w:color="auto"/>
          <w:color w:val="auto"/>
        </w:rPr>
        <w:t>Type I Diabetes</w:t>
      </w:r>
      <w:r>
        <w:rPr>
          <w:rFonts w:ascii="Arial" w:cs="Arial" w:eastAsia="Arial" w:hAnsi="Arial"/>
          <w:sz w:val="17"/>
          <w:szCs w:val="17"/>
          <w:color w:val="auto"/>
        </w:rPr>
        <w:t>: Type 1 diabetes, caused by auto-immune destruction of insulin-producing cells in the islets of the pancreas, is a devastating disease affecting more than 1.2 million people in the United States, and costing at least $10 billion to $14 billion annually. In Europe, the number of patients suffering with Type 1 diabetes is estimated at approximately 2.2 million. Even with the newer insulin delivery technologies, less than one-third of patients achieve consistent target blood sugar levels.</w:t>
      </w:r>
    </w:p>
    <w:p>
      <w:pPr>
        <w:spacing w:after="0" w:line="13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Pancreas transplantation is limited due to the associated morbidity and cost of the whole pancreas organ transplantation procedure. As an alternative to pancreas transplantation, the “Edmonton Protocol” has been developed whereby insulin producing cells are transplanted into the portal vein in the liver. However, the majority of the injected cells are lost to inflammation and clotting, and only 16% of Type 1 diabetes patients who receive the Protocol are cured long term.</w:t>
      </w:r>
    </w:p>
    <w:p>
      <w:pPr>
        <w:spacing w:after="0" w:line="13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our HAVs present a means to deliver a therapeutic number of pancreatic islets to patients with Type 1 diabetes. Pancreatic islets are embedded on the outer surface of our HAV and implanted as an AV graft, analogous to the outpatient procedure done for hemodialysis access. After implantation, the islets have the potential to sense blood glucose and then respond by secreting appropriate levels of insulin to maintain glucose levels in the blood. We have termed this new paradigm for pancreatic islet cell delivery the “Biovascular Pancreas.” Proof-of-concept studies in rodents and pigs have shown promise that the BVP can reduce glucose levels. Studies in non-human primates are planned.</w:t>
      </w:r>
    </w:p>
    <w:p>
      <w:pPr>
        <w:spacing w:after="0" w:line="15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believe that a reliable, low-risk, and easily implantable islet cell delivery method that could ensure the survival and functionality of a therapeutic number of islet cells in a human adult would be transformational for the treatment of Type 1 diabetes.</w:t>
      </w:r>
    </w:p>
    <w:p>
      <w:pPr>
        <w:spacing w:after="0" w:line="11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u w:val="single" w:color="auto"/>
          <w:color w:val="auto"/>
        </w:rPr>
        <w:t>Coronary Artery Bypass Graft (CABG)</w:t>
      </w:r>
      <w:r>
        <w:rPr>
          <w:rFonts w:ascii="Arial" w:cs="Arial" w:eastAsia="Arial" w:hAnsi="Arial"/>
          <w:sz w:val="17"/>
          <w:szCs w:val="17"/>
          <w:color w:val="auto"/>
        </w:rPr>
        <w:t>: We believe our current market for CABG is approximately $69.5 billion worldwide. CABG is a surgery used to treat a blockage or narrowing of one or more of the coronary arteries to restore the blood supply to the heart muscle. We believe our HAVs can replace existing vascular substitutes and improve patient outcomes, particularly in obese patients or those suffering from diabetes, in whom the risks of saphenous vein harvesting are more substantial. CABG procedures are common, with 350,000 CABG procedures reported annually in the U.S. and over 765,000 annual CABG procedures globally. Extending management’s currently estimated average global cost for a CABG procedure of $91,000 per patient to the approximately 765,000 total annual global procedures suggests a total current addressable market opportunity of approximately $69.5 billion. While we believe our assumptions and the data underlying this estimate are reasonable, they may be inaccurate or based on imprecise data; in addition, the assumptions and conditions underlying the estimates may change at any time.</w:t>
      </w:r>
    </w:p>
    <w:p>
      <w:pPr>
        <w:spacing w:after="0" w:line="140"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Typically, a CABG operation involves the use of both the patient’s own artery and vein. In patients who are obese, have diabetes, or who are very elderly, there are higher risks for vein harvest complications, including failure to heal the vein harvest incision,</w:t>
      </w:r>
    </w:p>
    <w:p>
      <w:pPr>
        <w:sectPr>
          <w:pgSz w:w="11900" w:h="16838" w:orient="portrait"/>
          <w:cols w:equalWidth="0" w:num="1">
            <w:col w:w="9920"/>
          </w:cols>
          <w:pgMar w:left="980" w:top="12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infection, and prolonged swelling of the operative leg. Furthermore, complications from the vein harvest incision site are more common than complications from the chest incision in CABG patients. It is estimated that approximately 20% of patients requiring bypass surgery have no suitable grafts available, with sources reporting as high as 45% of CABG patients are without suitable autologous vein.</w:t>
      </w:r>
    </w:p>
    <w:p>
      <w:pPr>
        <w:spacing w:after="0" w:line="12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u w:val="single" w:color="auto"/>
          <w:color w:val="auto"/>
        </w:rPr>
        <w:t>Pediatric Heart Surgery</w:t>
      </w:r>
      <w:r>
        <w:rPr>
          <w:rFonts w:ascii="Arial" w:cs="Arial" w:eastAsia="Arial" w:hAnsi="Arial"/>
          <w:sz w:val="16"/>
          <w:szCs w:val="16"/>
          <w:color w:val="auto"/>
        </w:rPr>
        <w:t>: We are developing a smaller diameter HAV product for use in pediatric heart surgery as a Blalock Taussig (BT) shunt. The BT shunt is a surgical procedure that is used to increase pulmonary blood flow for the treatment of babies born with a complex congenital heart defect called Tetralogy of Fallot, a common type of “blue baby syndrome”. In 2018, there were 4 million babies born in the United States and approximately 1,500 to 2,000 of these babies were born with Tetralogy of Fallot. The BT shunt is a life-saving procedure for these babies, and we plan to submit an orphan drug application for use of our HAV as a BT shunt for infants born with cyanotic congenital heart defects. Although 3 – 4mm inner diameter expanded polytetrafluoroethylene (“ePTFE”) grafts are currently used as the most common BT shunt, they suffer from limitations that impact morbidity and mortality in these infants.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Clinical and Pre-Clinical Stage Product Pipeline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key information about our current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134620</wp:posOffset>
            </wp:positionV>
            <wp:extent cx="4337685" cy="1423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376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began clinical evaluations of our HAVs in December 2012, with the enrollment of the first Phase II patient in our V001 hemodialysis access trial in Europe. Since then, we have completed one Phase II trial in the United States, and currently have seven trials either actively enrolling or in long-term follow-up. HAVs have been implanted in approximately 60 clinical centers in six countries around the world, and by more than 100 practicing surgeons.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Overview of Clinical Trials Assessing the Safety and Efficacy of the HAV in Multiple Indications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gridSpan w:val="2"/>
          </w:tcPr>
          <w:p>
            <w:pPr>
              <w:ind w:left="200"/>
              <w:spacing w:after="0"/>
              <w:rPr>
                <w:sz w:val="20"/>
                <w:szCs w:val="20"/>
                <w:color w:val="auto"/>
              </w:rPr>
            </w:pPr>
            <w:r>
              <w:rPr>
                <w:rFonts w:ascii="Arial" w:cs="Arial" w:eastAsia="Arial" w:hAnsi="Arial"/>
                <w:sz w:val="14"/>
                <w:szCs w:val="14"/>
                <w:b w:val="1"/>
                <w:bCs w:val="1"/>
                <w:color w:val="auto"/>
              </w:rPr>
              <w:t>Clinical Trial Number</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Indication</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Begin Enrollment</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Design/Phase</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Number of Subjects</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Outcomes**</w:t>
            </w:r>
          </w:p>
        </w:tc>
      </w:tr>
      <w:tr>
        <w:trPr>
          <w:trHeight w:val="142"/>
        </w:trPr>
        <w:tc>
          <w:tcPr>
            <w:tcW w:w="20" w:type="dxa"/>
            <w:vAlign w:val="bottom"/>
          </w:tcPr>
          <w:p>
            <w:pPr>
              <w:spacing w:after="0"/>
              <w:rPr>
                <w:sz w:val="12"/>
                <w:szCs w:val="12"/>
                <w:color w:val="auto"/>
              </w:rPr>
            </w:pPr>
          </w:p>
        </w:tc>
        <w:tc>
          <w:tcPr>
            <w:tcW w:w="17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Vascular Trauma</w:t>
            </w:r>
          </w:p>
        </w:tc>
        <w:tc>
          <w:tcPr>
            <w:tcW w:w="1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V005</w:t>
            </w:r>
          </w:p>
        </w:tc>
        <w:tc>
          <w:tcPr>
            <w:tcW w:w="10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Vascular</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2018</w:t>
            </w:r>
          </w:p>
        </w:tc>
        <w:tc>
          <w:tcPr>
            <w:tcW w:w="2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6"/>
              </w:rPr>
              <w:t>Phase II/III Single-</w:t>
            </w:r>
          </w:p>
        </w:tc>
        <w:tc>
          <w:tcPr>
            <w:tcW w:w="18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Targeting 75± total 43 total</w:t>
            </w:r>
          </w:p>
        </w:tc>
        <w:tc>
          <w:tcPr>
            <w:tcW w:w="9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Enrolling</w:t>
            </w:r>
          </w:p>
        </w:tc>
        <w:tc>
          <w:tcPr>
            <w:tcW w:w="1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Trial is currently</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Trauma</w:t>
            </w: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arm Historical</w:t>
            </w:r>
          </w:p>
        </w:tc>
        <w:tc>
          <w:tcPr>
            <w:tcW w:w="1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(31 lower extremity)</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enrolling</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Comparator</w:t>
            </w:r>
          </w:p>
        </w:tc>
        <w:tc>
          <w:tcPr>
            <w:tcW w:w="1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enrolled as of September 1,</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8"/>
              </w:rPr>
              <w:t>Unblinded</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2021</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Dialysis Access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V001</w:t>
            </w:r>
          </w:p>
        </w:tc>
        <w:tc>
          <w:tcPr>
            <w:tcW w:w="10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Dialysis</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2012</w:t>
            </w:r>
          </w:p>
        </w:tc>
        <w:tc>
          <w:tcPr>
            <w:tcW w:w="2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Phase II Single-</w:t>
            </w:r>
          </w:p>
        </w:tc>
        <w:tc>
          <w:tcPr>
            <w:tcW w:w="16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40</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8"/>
              </w:rPr>
              <w:t>10-year</w:t>
            </w:r>
          </w:p>
        </w:tc>
        <w:tc>
          <w:tcPr>
            <w:tcW w:w="1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30-day PP: 95%  %</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Access</w:t>
            </w: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arm</w:t>
            </w: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follow-up</w:t>
            </w: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6-month SP:</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ongoing</w:t>
            </w: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12-month</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 97%</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Infection Rate/yr:</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 Number of</w:t>
            </w: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Rejections: 0</w:t>
            </w: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Five-year SP: 58</w:t>
            </w:r>
          </w:p>
        </w:tc>
      </w:tr>
      <w:tr>
        <w:trPr>
          <w:trHeight w:val="130"/>
        </w:trPr>
        <w:tc>
          <w:tcPr>
            <w:tcW w:w="20" w:type="dxa"/>
            <w:vAlign w:val="bottom"/>
          </w:tcPr>
          <w:p>
            <w:pPr>
              <w:spacing w:after="0"/>
              <w:rPr>
                <w:sz w:val="11"/>
                <w:szCs w:val="11"/>
                <w:color w:val="auto"/>
              </w:rPr>
            </w:pP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V003</w:t>
            </w:r>
          </w:p>
        </w:tc>
        <w:tc>
          <w:tcPr>
            <w:tcW w:w="10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9"/>
              </w:rPr>
              <w:t>Dialysis</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6"/>
              </w:rPr>
              <w:t>2013</w:t>
            </w:r>
          </w:p>
        </w:tc>
        <w:tc>
          <w:tcPr>
            <w:tcW w:w="200" w:type="dxa"/>
            <w:vAlign w:val="bottom"/>
          </w:tcPr>
          <w:p>
            <w:pPr>
              <w:spacing w:after="0"/>
              <w:rPr>
                <w:sz w:val="11"/>
                <w:szCs w:val="11"/>
                <w:color w:val="auto"/>
              </w:rPr>
            </w:pPr>
          </w:p>
        </w:tc>
        <w:tc>
          <w:tcPr>
            <w:tcW w:w="12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Phase II Single-</w:t>
            </w:r>
          </w:p>
        </w:tc>
        <w:tc>
          <w:tcPr>
            <w:tcW w:w="1640" w:type="dxa"/>
            <w:vAlign w:val="bottom"/>
          </w:tcPr>
          <w:p>
            <w:pPr>
              <w:jc w:val="center"/>
              <w:spacing w:after="0" w:line="130" w:lineRule="exact"/>
              <w:rPr>
                <w:sz w:val="20"/>
                <w:szCs w:val="20"/>
                <w:color w:val="auto"/>
              </w:rPr>
            </w:pPr>
            <w:r>
              <w:rPr>
                <w:rFonts w:ascii="Arial" w:cs="Arial" w:eastAsia="Arial" w:hAnsi="Arial"/>
                <w:sz w:val="14"/>
                <w:szCs w:val="14"/>
                <w:color w:val="auto"/>
                <w:w w:val="89"/>
              </w:rPr>
              <w:t>20</w:t>
            </w:r>
          </w:p>
        </w:tc>
        <w:tc>
          <w:tcPr>
            <w:tcW w:w="200" w:type="dxa"/>
            <w:vAlign w:val="bottom"/>
          </w:tcPr>
          <w:p>
            <w:pPr>
              <w:spacing w:after="0"/>
              <w:rPr>
                <w:sz w:val="11"/>
                <w:szCs w:val="11"/>
                <w:color w:val="auto"/>
              </w:rPr>
            </w:pPr>
          </w:p>
        </w:tc>
        <w:tc>
          <w:tcPr>
            <w:tcW w:w="9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1"/>
              </w:rPr>
              <w:t>Complete 2-</w:t>
            </w:r>
          </w:p>
        </w:tc>
        <w:tc>
          <w:tcPr>
            <w:tcW w:w="1200" w:type="dxa"/>
            <w:vAlign w:val="bottom"/>
            <w:gridSpan w:val="2"/>
          </w:tcPr>
          <w:p>
            <w:pPr>
              <w:spacing w:after="0" w:line="130" w:lineRule="exact"/>
              <w:rPr>
                <w:sz w:val="20"/>
                <w:szCs w:val="20"/>
                <w:color w:val="auto"/>
              </w:rPr>
            </w:pPr>
            <w:r>
              <w:rPr>
                <w:rFonts w:ascii="Arial" w:cs="Arial" w:eastAsia="Arial" w:hAnsi="Arial"/>
                <w:sz w:val="14"/>
                <w:szCs w:val="14"/>
                <w:color w:val="auto"/>
              </w:rPr>
              <w:t>30-day PP: 95%</w:t>
            </w: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Access</w:t>
            </w: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arm</w:t>
            </w: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year follow-   6-month SP: 89%</w:t>
            </w: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up</w:t>
            </w:r>
          </w:p>
        </w:tc>
        <w:tc>
          <w:tcPr>
            <w:tcW w:w="1200" w:type="dxa"/>
            <w:vAlign w:val="bottom"/>
            <w:gridSpan w:val="2"/>
          </w:tcPr>
          <w:p>
            <w:pPr>
              <w:spacing w:after="0" w:line="149" w:lineRule="exact"/>
              <w:rPr>
                <w:sz w:val="20"/>
                <w:szCs w:val="20"/>
                <w:color w:val="auto"/>
              </w:rPr>
            </w:pPr>
            <w:r>
              <w:rPr>
                <w:rFonts w:ascii="Arial" w:cs="Arial" w:eastAsia="Arial" w:hAnsi="Arial"/>
                <w:sz w:val="14"/>
                <w:szCs w:val="14"/>
                <w:color w:val="auto"/>
              </w:rPr>
              <w:t>12-month SP:</w:t>
            </w: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spacing w:after="0" w:line="149" w:lineRule="exact"/>
              <w:rPr>
                <w:sz w:val="20"/>
                <w:szCs w:val="20"/>
                <w:color w:val="auto"/>
              </w:rPr>
            </w:pPr>
            <w:r>
              <w:rPr>
                <w:rFonts w:ascii="Arial" w:cs="Arial" w:eastAsia="Arial" w:hAnsi="Arial"/>
                <w:sz w:val="14"/>
                <w:szCs w:val="14"/>
                <w:color w:val="auto"/>
              </w:rPr>
              <w:t>81% Infection</w:t>
            </w: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spacing w:after="0" w:line="149" w:lineRule="exact"/>
              <w:rPr>
                <w:sz w:val="20"/>
                <w:szCs w:val="20"/>
                <w:color w:val="auto"/>
              </w:rPr>
            </w:pPr>
            <w:r>
              <w:rPr>
                <w:rFonts w:ascii="Arial" w:cs="Arial" w:eastAsia="Arial" w:hAnsi="Arial"/>
                <w:sz w:val="14"/>
                <w:szCs w:val="14"/>
                <w:color w:val="auto"/>
              </w:rPr>
              <w:t>Rate/yr: 4% (1</w:t>
            </w: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spacing w:after="0" w:line="149" w:lineRule="exact"/>
              <w:rPr>
                <w:sz w:val="20"/>
                <w:szCs w:val="20"/>
                <w:color w:val="auto"/>
              </w:rPr>
            </w:pPr>
            <w:r>
              <w:rPr>
                <w:rFonts w:ascii="Arial" w:cs="Arial" w:eastAsia="Arial" w:hAnsi="Arial"/>
                <w:sz w:val="14"/>
                <w:szCs w:val="14"/>
                <w:color w:val="auto"/>
              </w:rPr>
              <w:t>event) Number of</w:t>
            </w:r>
          </w:p>
        </w:tc>
      </w:tr>
      <w:tr>
        <w:trPr>
          <w:trHeight w:val="167"/>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Rejections: 0</w:t>
            </w:r>
          </w:p>
        </w:tc>
      </w:tr>
      <w:tr>
        <w:trPr>
          <w:trHeight w:val="130"/>
        </w:trPr>
        <w:tc>
          <w:tcPr>
            <w:tcW w:w="20" w:type="dxa"/>
            <w:vAlign w:val="bottom"/>
          </w:tcPr>
          <w:p>
            <w:pPr>
              <w:spacing w:after="0"/>
              <w:rPr>
                <w:sz w:val="11"/>
                <w:szCs w:val="11"/>
                <w:color w:val="auto"/>
              </w:rPr>
            </w:pPr>
          </w:p>
        </w:tc>
        <w:tc>
          <w:tcPr>
            <w:tcW w:w="1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V006</w:t>
            </w:r>
          </w:p>
        </w:tc>
        <w:tc>
          <w:tcPr>
            <w:tcW w:w="10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Dialysis</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2016</w:t>
            </w:r>
          </w:p>
        </w:tc>
        <w:tc>
          <w:tcPr>
            <w:tcW w:w="2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Phase III</w:t>
            </w:r>
          </w:p>
        </w:tc>
        <w:tc>
          <w:tcPr>
            <w:tcW w:w="18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355 total; 177 received</w:t>
            </w:r>
          </w:p>
        </w:tc>
        <w:tc>
          <w:tcPr>
            <w:tcW w:w="9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5"/>
              </w:rPr>
              <w:t>5-year</w:t>
            </w:r>
          </w:p>
        </w:tc>
        <w:tc>
          <w:tcPr>
            <w:tcW w:w="1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30-day PP HAV:</w:t>
            </w: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Access</w:t>
            </w: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Prospective</w:t>
            </w:r>
          </w:p>
        </w:tc>
        <w:tc>
          <w:tcPr>
            <w:tcW w:w="1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HAV 178 received ePTFE</w:t>
            </w:r>
          </w:p>
        </w:tc>
        <w:tc>
          <w:tcPr>
            <w:tcW w:w="9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follow-up</w:t>
            </w: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93% 12-month</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Randomized</w:t>
            </w: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ongoing</w:t>
            </w: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 HAV: 82% 24-</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8"/>
              </w:rPr>
              <w:t>Blinded</w:t>
            </w: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month SP HAV:</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67% 12-month</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 ePTFE: 80%</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24-month SP</w:t>
            </w: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ePTFE: 74%</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Infection Rate</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HAV/yr: 0.93 %</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Infection Rate</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ePTFE/yr: 4.5%</w:t>
            </w: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Number of HAV</w:t>
            </w: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Rejections: 0</w:t>
            </w:r>
          </w:p>
        </w:tc>
      </w:tr>
      <w:tr>
        <w:trPr>
          <w:trHeight w:val="130"/>
        </w:trPr>
        <w:tc>
          <w:tcPr>
            <w:tcW w:w="20" w:type="dxa"/>
            <w:vAlign w:val="bottom"/>
          </w:tcPr>
          <w:p>
            <w:pPr>
              <w:spacing w:after="0"/>
              <w:rPr>
                <w:sz w:val="11"/>
                <w:szCs w:val="11"/>
                <w:color w:val="auto"/>
              </w:rPr>
            </w:pP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V007</w:t>
            </w:r>
          </w:p>
        </w:tc>
        <w:tc>
          <w:tcPr>
            <w:tcW w:w="10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9"/>
              </w:rPr>
              <w:t>Dialysis</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6"/>
              </w:rPr>
              <w:t>2017</w:t>
            </w:r>
          </w:p>
        </w:tc>
        <w:tc>
          <w:tcPr>
            <w:tcW w:w="200" w:type="dxa"/>
            <w:vAlign w:val="bottom"/>
          </w:tcPr>
          <w:p>
            <w:pPr>
              <w:spacing w:after="0"/>
              <w:rPr>
                <w:sz w:val="11"/>
                <w:szCs w:val="11"/>
                <w:color w:val="auto"/>
              </w:rPr>
            </w:pPr>
          </w:p>
        </w:tc>
        <w:tc>
          <w:tcPr>
            <w:tcW w:w="12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Phase III</w:t>
            </w:r>
          </w:p>
        </w:tc>
        <w:tc>
          <w:tcPr>
            <w:tcW w:w="18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Target 240 total; 200</w:t>
            </w:r>
          </w:p>
        </w:tc>
        <w:tc>
          <w:tcPr>
            <w:tcW w:w="9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9"/>
              </w:rPr>
              <w:t>Enrolling</w:t>
            </w:r>
          </w:p>
        </w:tc>
        <w:tc>
          <w:tcPr>
            <w:tcW w:w="1200" w:type="dxa"/>
            <w:vAlign w:val="bottom"/>
            <w:gridSpan w:val="2"/>
          </w:tcPr>
          <w:p>
            <w:pPr>
              <w:spacing w:after="0" w:line="130" w:lineRule="exact"/>
              <w:rPr>
                <w:sz w:val="20"/>
                <w:szCs w:val="20"/>
                <w:color w:val="auto"/>
              </w:rPr>
            </w:pPr>
            <w:r>
              <w:rPr>
                <w:rFonts w:ascii="Arial" w:cs="Arial" w:eastAsia="Arial" w:hAnsi="Arial"/>
                <w:sz w:val="14"/>
                <w:szCs w:val="14"/>
                <w:color w:val="auto"/>
              </w:rPr>
              <w:t>Trial is currently</w:t>
            </w: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Access</w:t>
            </w: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Prospective</w:t>
            </w:r>
          </w:p>
        </w:tc>
        <w:tc>
          <w:tcPr>
            <w:tcW w:w="1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enrolled (as of September 1,</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spacing w:after="0" w:line="149" w:lineRule="exact"/>
              <w:rPr>
                <w:sz w:val="20"/>
                <w:szCs w:val="20"/>
                <w:color w:val="auto"/>
              </w:rPr>
            </w:pPr>
            <w:r>
              <w:rPr>
                <w:rFonts w:ascii="Arial" w:cs="Arial" w:eastAsia="Arial" w:hAnsi="Arial"/>
                <w:sz w:val="14"/>
                <w:szCs w:val="14"/>
                <w:color w:val="auto"/>
              </w:rPr>
              <w:t>enrolling</w:t>
            </w: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Randomized</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4"/>
              </w:rPr>
              <w:t>2021)</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Blinded</w:t>
            </w: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V011</w:t>
            </w:r>
          </w:p>
        </w:tc>
        <w:tc>
          <w:tcPr>
            <w:tcW w:w="10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Dialysis</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2019</w:t>
            </w:r>
          </w:p>
        </w:tc>
        <w:tc>
          <w:tcPr>
            <w:tcW w:w="2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89"/>
              </w:rPr>
              <w:t>Phase II</w:t>
            </w:r>
          </w:p>
        </w:tc>
        <w:tc>
          <w:tcPr>
            <w:tcW w:w="16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30</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5"/>
              </w:rPr>
              <w:t>3-year</w:t>
            </w:r>
          </w:p>
        </w:tc>
        <w:tc>
          <w:tcPr>
            <w:tcW w:w="1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30-day PP: 97%</w:t>
            </w: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Access</w:t>
            </w: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(LUNA200</w:t>
            </w: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follow-up</w:t>
            </w: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30-day SP: 100%</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manufacturing</w:t>
            </w: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ongoing</w:t>
            </w: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Infection Rate/yr:</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system)</w:t>
            </w: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 Number of</w:t>
            </w: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HAV Rejections:</w:t>
            </w: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Peripheral Arterial Disease</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V002</w:t>
            </w:r>
          </w:p>
        </w:tc>
        <w:tc>
          <w:tcPr>
            <w:tcW w:w="10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Peripheral</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2013</w:t>
            </w:r>
          </w:p>
        </w:tc>
        <w:tc>
          <w:tcPr>
            <w:tcW w:w="2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Phase II Single-</w:t>
            </w:r>
          </w:p>
        </w:tc>
        <w:tc>
          <w:tcPr>
            <w:tcW w:w="16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20</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8"/>
              </w:rPr>
              <w:t>10-year</w:t>
            </w:r>
          </w:p>
        </w:tc>
        <w:tc>
          <w:tcPr>
            <w:tcW w:w="1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30-day PP: 100%</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9"/>
              </w:rPr>
              <w:t>Arterial</w:t>
            </w: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arm</w:t>
            </w: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follow-up</w:t>
            </w: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6-month SP: 84%</w:t>
            </w: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Disease</w:t>
            </w: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ongoing</w:t>
            </w: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12-month SP:</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84% Infection</w:t>
            </w: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Rate/yr: 0%</w:t>
            </w: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Number of</w:t>
            </w: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Rejections: 0</w:t>
            </w:r>
          </w:p>
        </w:tc>
      </w:tr>
      <w:tr>
        <w:trPr>
          <w:trHeight w:val="130"/>
        </w:trPr>
        <w:tc>
          <w:tcPr>
            <w:tcW w:w="20" w:type="dxa"/>
            <w:vAlign w:val="bottom"/>
          </w:tcPr>
          <w:p>
            <w:pPr>
              <w:spacing w:after="0"/>
              <w:rPr>
                <w:sz w:val="11"/>
                <w:szCs w:val="11"/>
                <w:color w:val="auto"/>
              </w:rPr>
            </w:pP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V004</w:t>
            </w:r>
          </w:p>
        </w:tc>
        <w:tc>
          <w:tcPr>
            <w:tcW w:w="10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0"/>
              </w:rPr>
              <w:t>Peripheral</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6"/>
              </w:rPr>
              <w:t>2016</w:t>
            </w:r>
          </w:p>
        </w:tc>
        <w:tc>
          <w:tcPr>
            <w:tcW w:w="200" w:type="dxa"/>
            <w:vAlign w:val="bottom"/>
          </w:tcPr>
          <w:p>
            <w:pPr>
              <w:spacing w:after="0"/>
              <w:rPr>
                <w:sz w:val="11"/>
                <w:szCs w:val="11"/>
                <w:color w:val="auto"/>
              </w:rPr>
            </w:pPr>
          </w:p>
        </w:tc>
        <w:tc>
          <w:tcPr>
            <w:tcW w:w="12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Phase II Single-</w:t>
            </w:r>
          </w:p>
        </w:tc>
        <w:tc>
          <w:tcPr>
            <w:tcW w:w="1640" w:type="dxa"/>
            <w:vAlign w:val="bottom"/>
          </w:tcPr>
          <w:p>
            <w:pPr>
              <w:jc w:val="center"/>
              <w:spacing w:after="0" w:line="130" w:lineRule="exact"/>
              <w:rPr>
                <w:sz w:val="20"/>
                <w:szCs w:val="20"/>
                <w:color w:val="auto"/>
              </w:rPr>
            </w:pPr>
            <w:r>
              <w:rPr>
                <w:rFonts w:ascii="Arial" w:cs="Arial" w:eastAsia="Arial" w:hAnsi="Arial"/>
                <w:sz w:val="14"/>
                <w:szCs w:val="14"/>
                <w:color w:val="auto"/>
                <w:w w:val="89"/>
              </w:rPr>
              <w:t>15</w:t>
            </w:r>
          </w:p>
        </w:tc>
        <w:tc>
          <w:tcPr>
            <w:tcW w:w="200" w:type="dxa"/>
            <w:vAlign w:val="bottom"/>
          </w:tcPr>
          <w:p>
            <w:pPr>
              <w:spacing w:after="0"/>
              <w:rPr>
                <w:sz w:val="11"/>
                <w:szCs w:val="11"/>
                <w:color w:val="auto"/>
              </w:rPr>
            </w:pPr>
          </w:p>
        </w:tc>
        <w:tc>
          <w:tcPr>
            <w:tcW w:w="9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5"/>
              </w:rPr>
              <w:t>5-year</w:t>
            </w:r>
          </w:p>
        </w:tc>
        <w:tc>
          <w:tcPr>
            <w:tcW w:w="1200" w:type="dxa"/>
            <w:vAlign w:val="bottom"/>
            <w:gridSpan w:val="2"/>
          </w:tcPr>
          <w:p>
            <w:pPr>
              <w:spacing w:after="0" w:line="130" w:lineRule="exact"/>
              <w:rPr>
                <w:sz w:val="20"/>
                <w:szCs w:val="20"/>
                <w:color w:val="auto"/>
              </w:rPr>
            </w:pPr>
            <w:r>
              <w:rPr>
                <w:rFonts w:ascii="Arial" w:cs="Arial" w:eastAsia="Arial" w:hAnsi="Arial"/>
                <w:sz w:val="14"/>
                <w:szCs w:val="14"/>
                <w:color w:val="auto"/>
              </w:rPr>
              <w:t>30-day PP: 100%</w:t>
            </w: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Arterial</w:t>
            </w: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arm</w:t>
            </w: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follow-up</w:t>
            </w:r>
          </w:p>
        </w:tc>
        <w:tc>
          <w:tcPr>
            <w:tcW w:w="1200" w:type="dxa"/>
            <w:vAlign w:val="bottom"/>
            <w:gridSpan w:val="2"/>
          </w:tcPr>
          <w:p>
            <w:pPr>
              <w:spacing w:after="0" w:line="149" w:lineRule="exact"/>
              <w:rPr>
                <w:sz w:val="20"/>
                <w:szCs w:val="20"/>
                <w:color w:val="auto"/>
              </w:rPr>
            </w:pPr>
            <w:r>
              <w:rPr>
                <w:rFonts w:ascii="Arial" w:cs="Arial" w:eastAsia="Arial" w:hAnsi="Arial"/>
                <w:sz w:val="14"/>
                <w:szCs w:val="14"/>
                <w:color w:val="auto"/>
              </w:rPr>
              <w:t>6-month SP: 86%</w:t>
            </w: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Disease</w:t>
            </w: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ongoing</w:t>
            </w:r>
          </w:p>
        </w:tc>
        <w:tc>
          <w:tcPr>
            <w:tcW w:w="1200" w:type="dxa"/>
            <w:vAlign w:val="bottom"/>
            <w:gridSpan w:val="2"/>
          </w:tcPr>
          <w:p>
            <w:pPr>
              <w:spacing w:after="0" w:line="149" w:lineRule="exact"/>
              <w:rPr>
                <w:sz w:val="20"/>
                <w:szCs w:val="20"/>
                <w:color w:val="auto"/>
              </w:rPr>
            </w:pPr>
            <w:r>
              <w:rPr>
                <w:rFonts w:ascii="Arial" w:cs="Arial" w:eastAsia="Arial" w:hAnsi="Arial"/>
                <w:sz w:val="14"/>
                <w:szCs w:val="14"/>
                <w:color w:val="auto"/>
              </w:rPr>
              <w:t>12-month SP:</w:t>
            </w:r>
          </w:p>
        </w:tc>
      </w:tr>
      <w:tr>
        <w:trPr>
          <w:trHeight w:val="16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64% Infection</w:t>
            </w:r>
          </w:p>
        </w:tc>
      </w:tr>
    </w:tbl>
    <w:p>
      <w:pPr>
        <w:ind w:left="8720"/>
        <w:spacing w:after="0" w:line="221" w:lineRule="auto"/>
        <w:rPr>
          <w:sz w:val="20"/>
          <w:szCs w:val="20"/>
          <w:color w:val="auto"/>
        </w:rPr>
      </w:pPr>
      <w:r>
        <w:rPr>
          <w:rFonts w:ascii="Arial" w:cs="Arial" w:eastAsia="Arial" w:hAnsi="Arial"/>
          <w:sz w:val="14"/>
          <w:szCs w:val="14"/>
          <w:color w:val="auto"/>
        </w:rPr>
        <w:t>Rate/yr: 0%</w:t>
      </w:r>
    </w:p>
    <w:p>
      <w:pPr>
        <w:ind w:left="8720"/>
        <w:spacing w:after="0" w:line="221" w:lineRule="auto"/>
        <w:rPr>
          <w:sz w:val="20"/>
          <w:szCs w:val="20"/>
          <w:color w:val="auto"/>
        </w:rPr>
      </w:pPr>
      <w:r>
        <w:rPr>
          <w:rFonts w:ascii="Arial" w:cs="Arial" w:eastAsia="Arial" w:hAnsi="Arial"/>
          <w:sz w:val="14"/>
          <w:szCs w:val="14"/>
          <w:color w:val="auto"/>
        </w:rPr>
        <w:t>Number of</w:t>
      </w:r>
    </w:p>
    <w:p>
      <w:pPr>
        <w:ind w:left="8720"/>
        <w:spacing w:after="0" w:line="222" w:lineRule="auto"/>
        <w:rPr>
          <w:sz w:val="20"/>
          <w:szCs w:val="20"/>
          <w:color w:val="auto"/>
        </w:rPr>
      </w:pPr>
      <w:r>
        <w:rPr>
          <w:rFonts w:ascii="Arial" w:cs="Arial" w:eastAsia="Arial" w:hAnsi="Arial"/>
          <w:sz w:val="14"/>
          <w:szCs w:val="14"/>
          <w:color w:val="auto"/>
        </w:rPr>
        <w:t>Rejections: 0</w:t>
      </w:r>
    </w:p>
    <w:p>
      <w:pPr>
        <w:ind w:left="8720"/>
        <w:spacing w:after="0" w:line="221" w:lineRule="auto"/>
        <w:rPr>
          <w:sz w:val="20"/>
          <w:szCs w:val="20"/>
          <w:color w:val="auto"/>
        </w:rPr>
      </w:pPr>
      <w:r>
        <w:rPr>
          <w:rFonts w:ascii="Arial" w:cs="Arial" w:eastAsia="Arial" w:hAnsi="Arial"/>
          <w:sz w:val="14"/>
          <w:szCs w:val="14"/>
          <w:color w:val="auto"/>
        </w:rPr>
        <w:t>Number of</w:t>
      </w:r>
    </w:p>
    <w:p>
      <w:pPr>
        <w:ind w:left="8720"/>
        <w:spacing w:after="0"/>
        <w:rPr>
          <w:sz w:val="20"/>
          <w:szCs w:val="20"/>
          <w:color w:val="auto"/>
        </w:rPr>
      </w:pPr>
      <w:r>
        <w:rPr>
          <w:rFonts w:ascii="Arial" w:cs="Arial" w:eastAsia="Arial" w:hAnsi="Arial"/>
          <w:sz w:val="14"/>
          <w:szCs w:val="14"/>
          <w:color w:val="auto"/>
        </w:rPr>
        <w:t>Amputations: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15684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76" w:lineRule="exact"/>
        <w:rPr>
          <w:sz w:val="20"/>
          <w:szCs w:val="20"/>
          <w:color w:val="auto"/>
        </w:rPr>
      </w:pPr>
    </w:p>
    <w:p>
      <w:pPr>
        <w:ind w:left="340" w:right="36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PP: Primary Patency, which is the interval of time of access placement until any intervention designed to maintain or reestablish patency, access thrombosis, or the time of measurement of patency, i.e. patent without interventions.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440" w:right="420" w:hanging="26"/>
        <w:spacing w:after="0" w:line="277" w:lineRule="auto"/>
        <w:rPr>
          <w:sz w:val="20"/>
          <w:szCs w:val="20"/>
          <w:color w:val="auto"/>
        </w:rPr>
      </w:pPr>
      <w:r>
        <w:rPr>
          <w:rFonts w:ascii="Arial" w:cs="Arial" w:eastAsia="Arial" w:hAnsi="Arial"/>
          <w:sz w:val="18"/>
          <w:szCs w:val="18"/>
          <w:color w:val="auto"/>
        </w:rPr>
        <w:t>SP: Secondary Patency, which is the interval from the time of access placement until abandonment, i.e. patent with or without interventions.</w:t>
      </w:r>
    </w:p>
    <w:p>
      <w:pPr>
        <w:spacing w:after="0" w:line="143"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As of September 1, 2021, approximately 460 patients worldwide have received our HAVs for the treatment of trauma, AV access for hemodialysis, PAD, and in expanded access cases resulting in approximately 915 subject-years of exposure to the HAV. Our cumulative HAV exposure is approximately 760 subject-years in the hemodialysis access population, 110 subject-years in the PAD population, and 45 subject-years in the arterial trauma population. The longest our HAV has been in a patient and used for dialysis is more than</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eight years and, there have been more than 105,000 estimated dialysis sessions using our HAVs. Additionally, a total of 11 expanded access/compassionate use cases have been granted by the FDA. Throughout all of these trials, we have observed that our HAVs functioned as intended and provided functional blood flow to affected limbs. We have also observed consistent durability with a strong tolerability profile. Furthermore, we have observed no evidence of clinically relevant immunologic reactions to our HAVs, supporting the potential use of our HAVs as off-the-shelf, universally implantable, bioengineered human tissues.</w:t>
      </w:r>
    </w:p>
    <w:p>
      <w:pPr>
        <w:spacing w:after="0" w:line="13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Overall, the HAV has functioned well and as intended, across eight different clinical trials in three clinical indications. The HAV has been implanted in approximately 460 patients, across approximately 60 clinical sites in six countries, over more than eight years (as of September 1, 2021). Rates of primary and secondary patency were similar across trial designs and disease states, with 30-day primary patency ranging from 95% – 100%. Six-month secondary patency ranges from 84% – 100%, and 12-month secondary patency ranges from 81% – 97%, across multiple clinical trials, disease states, and patient age ranges and demographics.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have observed zero instances of clinical rejection of the HAV in any clinical trial over the past eight years, suggesting that the HAV was not immunologically rejected after implantation.</w:t>
      </w:r>
    </w:p>
    <w:p>
      <w:pPr>
        <w:spacing w:after="0" w:line="14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Based on clinical trial results to date, we have observed that the HAVs were highly resistant to infection, with an infection rate averaging approximately 1.3% per patient-year in our AV access trials, and an infection rate currently at 0% in our trauma and PAD trials. Vascular graft infections are a potentially serious complication and can result in adverse outcomes such as sepsis, hospitalization, long-term antibiotic use, repeat procedures and even death.</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HAVs Remodel with Host Cells After Implantation</w:t>
      </w:r>
    </w:p>
    <w:p>
      <w:pPr>
        <w:spacing w:after="0" w:line="18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 xml:space="preserve">Additionally, based on clinical samples obtained during our Phase II AV access trials and published in three peer reviewed journals, </w:t>
      </w:r>
      <w:r>
        <w:rPr>
          <w:rFonts w:ascii="Arial" w:cs="Arial" w:eastAsia="Arial" w:hAnsi="Arial"/>
          <w:sz w:val="17"/>
          <w:szCs w:val="17"/>
          <w:i w:val="1"/>
          <w:iCs w:val="1"/>
          <w:color w:val="auto"/>
        </w:rPr>
        <w:t xml:space="preserve">The Lancet </w:t>
      </w:r>
      <w:r>
        <w:rPr>
          <w:rFonts w:ascii="Arial" w:cs="Arial" w:eastAsia="Arial" w:hAnsi="Arial"/>
          <w:sz w:val="17"/>
          <w:szCs w:val="17"/>
          <w:color w:val="auto"/>
        </w:rPr>
        <w:t>in 2016,</w:t>
      </w:r>
      <w:r>
        <w:rPr>
          <w:rFonts w:ascii="Arial" w:cs="Arial" w:eastAsia="Arial" w:hAnsi="Arial"/>
          <w:sz w:val="17"/>
          <w:szCs w:val="17"/>
          <w:i w:val="1"/>
          <w:iCs w:val="1"/>
          <w:color w:val="auto"/>
        </w:rPr>
        <w:t xml:space="preserve"> Science Translational Medicine </w:t>
      </w:r>
      <w:r>
        <w:rPr>
          <w:rFonts w:ascii="Arial" w:cs="Arial" w:eastAsia="Arial" w:hAnsi="Arial"/>
          <w:sz w:val="17"/>
          <w:szCs w:val="17"/>
          <w:color w:val="auto"/>
        </w:rPr>
        <w:t>in 2019, and in the</w:t>
      </w:r>
      <w:r>
        <w:rPr>
          <w:rFonts w:ascii="Arial" w:cs="Arial" w:eastAsia="Arial" w:hAnsi="Arial"/>
          <w:sz w:val="17"/>
          <w:szCs w:val="17"/>
          <w:i w:val="1"/>
          <w:iCs w:val="1"/>
          <w:color w:val="auto"/>
        </w:rPr>
        <w:t xml:space="preserve"> Journal of Vascular Surgery </w:t>
      </w:r>
      <w:r>
        <w:rPr>
          <w:rFonts w:ascii="Arial" w:cs="Arial" w:eastAsia="Arial" w:hAnsi="Arial"/>
          <w:sz w:val="17"/>
          <w:szCs w:val="17"/>
          <w:color w:val="auto"/>
        </w:rPr>
        <w:t>in 2020, we observed that the HAV</w:t>
      </w:r>
      <w:r>
        <w:rPr>
          <w:rFonts w:ascii="Arial" w:cs="Arial" w:eastAsia="Arial" w:hAnsi="Arial"/>
          <w:sz w:val="17"/>
          <w:szCs w:val="17"/>
          <w:i w:val="1"/>
          <w:iCs w:val="1"/>
          <w:color w:val="auto"/>
        </w:rPr>
        <w:t xml:space="preserve"> </w:t>
      </w:r>
      <w:r>
        <w:rPr>
          <w:rFonts w:ascii="Arial" w:cs="Arial" w:eastAsia="Arial" w:hAnsi="Arial"/>
          <w:sz w:val="17"/>
          <w:szCs w:val="17"/>
          <w:color w:val="auto"/>
        </w:rPr>
        <w:t>became populated with healthy, vascular cells from the patient. Over time, we’ve published that the patient’s cells have been observed to transform the HAV into a multi-layered living tissue similar to native blood vessels. In these trials we have also observed ongoing cellular repair of HAV tissues that had been previously injured during cannulation with dialysis needles, which suggests that the recellularized HAV was capable of self-healing. The image below shows an HAV that had been implanted in a hemodialysis patient for 44 weeks, that had developed alpha-actin positive vascular smooth muscle cells throughout the wall (red staining in the left-hand panel), and had developed a layer of CD31+ endothelial cells on the inner luminal surface of the HAV (line of red endothelial cells indicated in the right-hand panel).</w:t>
      </w:r>
    </w:p>
    <w:p>
      <w:pPr>
        <w:spacing w:after="0" w:line="140"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Histological Images of HAV Repopulated with the Patient’s Own Vascular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134620</wp:posOffset>
            </wp:positionV>
            <wp:extent cx="4972050" cy="2134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72050" cy="21342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Options for Surgical Treatment of Vascular Disease Are Not Sufficient</w:t>
      </w:r>
    </w:p>
    <w:p>
      <w:pPr>
        <w:spacing w:after="0" w:line="198"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table below contains a summary of the efficacy of autologous veins, ePTFE grafts, cryopreserved human cadaveric veins, and preserved bovine veins. For the treatment of vascular trauma, saphenous vein presents challenges in terms of time to procure the vein, and ePTFE grafts carry extremely high infection rates: 24% - 29% per patient year in the studies below. Similarly, autogenous fistulas and ePTFE grafts for dialysis access have low functional patencies at six and 12 months, and ePTFE is burdened with high rates of annual infection: 3%-17% in the studies below. Both cryopreserved human cadaver vein, and preserved bovine veins, have low patency at 12 months, and also suffer from high rates of aneurysm formation. Lastly, for bypass of PAD, vein has acceptable patency but is not available for all subjects, while ePTFE carries lower patencies and higher infection risk, and bovine vein becomes aneurysmal at unacceptably high rates.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Published Studies in Vascular Surgery</w:t>
      </w:r>
    </w:p>
    <w:p>
      <w:pPr>
        <w:spacing w:after="0" w:line="18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derived the data in the table below from data contained in certain published papers on vascular trauma, hemodialysis and PAD between 2002 and the present. These data are from different studies and thus are not directly comparable. In addition, many of these papers reported on additional endpoints that are not included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Published</w:t>
            </w: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Infection</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Secondary</w:t>
            </w:r>
          </w:p>
        </w:tc>
        <w:tc>
          <w:tcPr>
            <w:tcW w:w="126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Rejection</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Indication</w:t>
            </w: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Type of Conduit</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380" w:type="dxa"/>
            <w:vAlign w:val="bottom"/>
            <w:gridSpan w:val="2"/>
            <w:vMerge w:val="continue"/>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Patency</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(per patient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Patients</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Outcome</w:t>
            </w: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-year)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Outcome</w:t>
            </w:r>
          </w:p>
        </w:tc>
        <w:tc>
          <w:tcPr>
            <w:tcW w:w="0" w:type="dxa"/>
            <w:vAlign w:val="bottom"/>
          </w:tcPr>
          <w:p>
            <w:pPr>
              <w:spacing w:after="0"/>
              <w:rPr>
                <w:sz w:val="1"/>
                <w:szCs w:val="1"/>
                <w:color w:val="auto"/>
              </w:rPr>
            </w:pPr>
          </w:p>
        </w:tc>
      </w:tr>
      <w:tr>
        <w:trPr>
          <w:trHeight w:val="123"/>
        </w:trPr>
        <w:tc>
          <w:tcPr>
            <w:tcW w:w="18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Vascular Trauma</w:t>
            </w:r>
          </w:p>
        </w:tc>
        <w:tc>
          <w:tcPr>
            <w:tcW w:w="240" w:type="dxa"/>
            <w:vAlign w:val="bottom"/>
            <w:tcBorders>
              <w:top w:val="single" w:sz="8" w:color="CCEEFF"/>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Saphenous Vein</w:t>
            </w:r>
          </w:p>
        </w:tc>
        <w:tc>
          <w:tcPr>
            <w:tcW w:w="2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2002 – 2012</w:t>
            </w:r>
          </w:p>
        </w:tc>
        <w:tc>
          <w:tcPr>
            <w:tcW w:w="24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rPr>
              <w:t>24</w:t>
            </w:r>
          </w:p>
        </w:tc>
        <w:tc>
          <w:tcPr>
            <w:tcW w:w="34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12 months: ~78%</w:t>
            </w:r>
          </w:p>
        </w:tc>
        <w:tc>
          <w:tcPr>
            <w:tcW w:w="3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8"/>
              </w:rPr>
              <w:t>4%</w:t>
            </w:r>
          </w:p>
        </w:tc>
        <w:tc>
          <w:tcPr>
            <w:tcW w:w="3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2"/>
              </w:rPr>
              <w:t>(autologous)</w:t>
            </w: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7"/>
              </w:rPr>
              <w:t>function</w:t>
            </w: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jc w:val="right"/>
              <w:ind w:right="548"/>
              <w:spacing w:after="0" w:line="130" w:lineRule="exact"/>
              <w:rPr>
                <w:sz w:val="20"/>
                <w:szCs w:val="20"/>
                <w:color w:val="auto"/>
              </w:rPr>
            </w:pPr>
            <w:r>
              <w:rPr>
                <w:rFonts w:ascii="Arial" w:cs="Arial" w:eastAsia="Arial" w:hAnsi="Arial"/>
                <w:sz w:val="14"/>
                <w:szCs w:val="14"/>
                <w:color w:val="auto"/>
              </w:rPr>
              <w:t>2014</w:t>
            </w:r>
          </w:p>
        </w:tc>
        <w:tc>
          <w:tcPr>
            <w:tcW w:w="240" w:type="dxa"/>
            <w:vAlign w:val="bottom"/>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4"/>
                <w:szCs w:val="14"/>
                <w:color w:val="auto"/>
                <w:w w:val="94"/>
              </w:rPr>
              <w:t>152</w:t>
            </w:r>
          </w:p>
        </w:tc>
        <w:tc>
          <w:tcPr>
            <w:tcW w:w="240" w:type="dxa"/>
            <w:vAlign w:val="bottom"/>
          </w:tcPr>
          <w:p>
            <w:pPr>
              <w:spacing w:after="0"/>
              <w:rPr>
                <w:sz w:val="11"/>
                <w:szCs w:val="11"/>
                <w:color w:val="auto"/>
              </w:rPr>
            </w:pPr>
          </w:p>
        </w:tc>
        <w:tc>
          <w:tcPr>
            <w:tcW w:w="1380" w:type="dxa"/>
            <w:vAlign w:val="bottom"/>
            <w:gridSpan w:val="2"/>
          </w:tcPr>
          <w:p>
            <w:pPr>
              <w:jc w:val="center"/>
              <w:ind w:right="320"/>
              <w:spacing w:after="0" w:line="130" w:lineRule="exact"/>
              <w:rPr>
                <w:sz w:val="20"/>
                <w:szCs w:val="20"/>
                <w:color w:val="auto"/>
              </w:rPr>
            </w:pPr>
            <w:r>
              <w:rPr>
                <w:rFonts w:ascii="Arial" w:cs="Arial" w:eastAsia="Arial" w:hAnsi="Arial"/>
                <w:sz w:val="14"/>
                <w:szCs w:val="14"/>
                <w:color w:val="auto"/>
                <w:w w:val="92"/>
              </w:rPr>
              <w:t>30 days: ~90%</w:t>
            </w:r>
          </w:p>
        </w:tc>
        <w:tc>
          <w:tcPr>
            <w:tcW w:w="1440" w:type="dxa"/>
            <w:vAlign w:val="bottom"/>
            <w:gridSpan w:val="2"/>
          </w:tcPr>
          <w:p>
            <w:pPr>
              <w:jc w:val="center"/>
              <w:ind w:right="340"/>
              <w:spacing w:after="0" w:line="130" w:lineRule="exact"/>
              <w:rPr>
                <w:sz w:val="20"/>
                <w:szCs w:val="20"/>
                <w:color w:val="auto"/>
              </w:rPr>
            </w:pPr>
            <w:r>
              <w:rPr>
                <w:rFonts w:ascii="Arial" w:cs="Arial" w:eastAsia="Arial" w:hAnsi="Arial"/>
                <w:sz w:val="14"/>
                <w:szCs w:val="14"/>
                <w:color w:val="auto"/>
              </w:rPr>
              <w:t>N/A</w:t>
            </w: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function</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ePTFE (synthetic graft)</w:t>
            </w:r>
          </w:p>
        </w:tc>
        <w:tc>
          <w:tcPr>
            <w:tcW w:w="98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89"/>
              </w:rPr>
              <w:t>2002 – 2012</w:t>
            </w:r>
          </w:p>
        </w:tc>
        <w:tc>
          <w:tcPr>
            <w:tcW w:w="1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25</w:t>
            </w:r>
          </w:p>
        </w:tc>
        <w:tc>
          <w:tcPr>
            <w:tcW w:w="3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center"/>
              <w:ind w:right="340"/>
              <w:spacing w:after="0" w:line="130" w:lineRule="exact"/>
              <w:rPr>
                <w:sz w:val="20"/>
                <w:szCs w:val="20"/>
                <w:color w:val="auto"/>
              </w:rPr>
            </w:pPr>
            <w:r>
              <w:rPr>
                <w:rFonts w:ascii="Arial" w:cs="Arial" w:eastAsia="Arial" w:hAnsi="Arial"/>
                <w:sz w:val="14"/>
                <w:szCs w:val="14"/>
                <w:color w:val="auto"/>
                <w:w w:val="93"/>
              </w:rPr>
              <w:t>12 months: ~50%</w:t>
            </w:r>
          </w:p>
        </w:tc>
        <w:tc>
          <w:tcPr>
            <w:tcW w:w="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24%</w:t>
            </w: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7"/>
              </w:rPr>
              <w:t>function</w:t>
            </w: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jc w:val="right"/>
              <w:ind w:right="548"/>
              <w:spacing w:after="0" w:line="130" w:lineRule="exact"/>
              <w:rPr>
                <w:sz w:val="20"/>
                <w:szCs w:val="20"/>
                <w:color w:val="auto"/>
              </w:rPr>
            </w:pPr>
            <w:r>
              <w:rPr>
                <w:rFonts w:ascii="Arial" w:cs="Arial" w:eastAsia="Arial" w:hAnsi="Arial"/>
                <w:sz w:val="14"/>
                <w:szCs w:val="14"/>
                <w:color w:val="auto"/>
              </w:rPr>
              <w:t>2005</w:t>
            </w:r>
          </w:p>
        </w:tc>
        <w:tc>
          <w:tcPr>
            <w:tcW w:w="240" w:type="dxa"/>
            <w:vAlign w:val="bottom"/>
          </w:tcPr>
          <w:p>
            <w:pPr>
              <w:spacing w:after="0"/>
              <w:rPr>
                <w:sz w:val="11"/>
                <w:szCs w:val="11"/>
                <w:color w:val="auto"/>
              </w:rPr>
            </w:pPr>
          </w:p>
        </w:tc>
        <w:tc>
          <w:tcPr>
            <w:tcW w:w="98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14 of 95</w:t>
            </w:r>
          </w:p>
        </w:tc>
        <w:tc>
          <w:tcPr>
            <w:tcW w:w="1380" w:type="dxa"/>
            <w:vAlign w:val="bottom"/>
            <w:gridSpan w:val="2"/>
          </w:tcPr>
          <w:p>
            <w:pPr>
              <w:jc w:val="center"/>
              <w:ind w:right="320"/>
              <w:spacing w:after="0" w:line="130" w:lineRule="exact"/>
              <w:rPr>
                <w:sz w:val="20"/>
                <w:szCs w:val="20"/>
                <w:color w:val="auto"/>
              </w:rPr>
            </w:pPr>
            <w:r>
              <w:rPr>
                <w:rFonts w:ascii="Arial" w:cs="Arial" w:eastAsia="Arial" w:hAnsi="Arial"/>
                <w:sz w:val="14"/>
                <w:szCs w:val="14"/>
                <w:color w:val="auto"/>
                <w:w w:val="92"/>
              </w:rPr>
              <w:t>30 days: ~79%</w:t>
            </w: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2"/>
              </w:rPr>
              <w:t>29%</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function</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Hemodialysis Access</w:t>
            </w:r>
          </w:p>
        </w:tc>
        <w:tc>
          <w:tcPr>
            <w:tcW w:w="1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Fistula (autogenous)</w:t>
            </w:r>
          </w:p>
        </w:tc>
        <w:tc>
          <w:tcPr>
            <w:tcW w:w="9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0"/>
              </w:rPr>
              <w:t>Post-2005</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2,800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2"/>
              </w:rPr>
              <w:t>12 months: 75%</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2019</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14,892</w:t>
            </w:r>
          </w:p>
        </w:tc>
        <w:tc>
          <w:tcPr>
            <w:tcW w:w="2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6 months: 51%</w:t>
            </w: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N/A</w:t>
            </w: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6,439</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4%</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2018</w:t>
            </w: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602</w:t>
            </w:r>
          </w:p>
        </w:tc>
        <w:tc>
          <w:tcPr>
            <w:tcW w:w="3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6 months: 61%</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N/A</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ePTFE (synthetic graft)</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2013</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128</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2"/>
              </w:rPr>
              <w:t>6 months: ~60%</w:t>
            </w:r>
          </w:p>
        </w:tc>
        <w:tc>
          <w:tcPr>
            <w:tcW w:w="12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2019</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5"/>
              </w:rPr>
              <w:t>&gt; 400</w:t>
            </w:r>
          </w:p>
        </w:tc>
        <w:tc>
          <w:tcPr>
            <w:tcW w:w="2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N/A</w:t>
            </w: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3% – 17%</w:t>
            </w: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2020</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&gt; 3,000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2"/>
              </w:rPr>
              <w:t>12 months: 70%</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9%</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240"/>
              <w:spacing w:after="0" w:line="130" w:lineRule="exact"/>
              <w:rPr>
                <w:sz w:val="20"/>
                <w:szCs w:val="20"/>
                <w:color w:val="auto"/>
              </w:rPr>
            </w:pPr>
            <w:r>
              <w:rPr>
                <w:rFonts w:ascii="Arial" w:cs="Arial" w:eastAsia="Arial" w:hAnsi="Arial"/>
                <w:sz w:val="14"/>
                <w:szCs w:val="14"/>
                <w:color w:val="auto"/>
                <w:w w:val="94"/>
              </w:rPr>
              <w:t>Cryovein (cryopreserved</w:t>
            </w:r>
          </w:p>
        </w:tc>
        <w:tc>
          <w:tcPr>
            <w:tcW w:w="740" w:type="dxa"/>
            <w:vAlign w:val="bottom"/>
          </w:tcPr>
          <w:p>
            <w:pPr>
              <w:jc w:val="center"/>
              <w:spacing w:after="0" w:line="130" w:lineRule="exact"/>
              <w:rPr>
                <w:sz w:val="20"/>
                <w:szCs w:val="20"/>
                <w:color w:val="auto"/>
              </w:rPr>
            </w:pPr>
            <w:r>
              <w:rPr>
                <w:rFonts w:ascii="Arial" w:cs="Arial" w:eastAsia="Arial" w:hAnsi="Arial"/>
                <w:sz w:val="14"/>
                <w:szCs w:val="14"/>
                <w:color w:val="auto"/>
                <w:w w:val="96"/>
              </w:rPr>
              <w:t>2002</w:t>
            </w:r>
          </w:p>
        </w:tc>
        <w:tc>
          <w:tcPr>
            <w:tcW w:w="24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Arial" w:cs="Arial" w:eastAsia="Arial" w:hAnsi="Arial"/>
                <w:sz w:val="14"/>
                <w:szCs w:val="14"/>
                <w:color w:val="auto"/>
              </w:rPr>
              <w:t>45</w:t>
            </w:r>
          </w:p>
        </w:tc>
        <w:tc>
          <w:tcPr>
            <w:tcW w:w="340" w:type="dxa"/>
            <w:vAlign w:val="bottom"/>
          </w:tcPr>
          <w:p>
            <w:pPr>
              <w:spacing w:after="0"/>
              <w:rPr>
                <w:sz w:val="11"/>
                <w:szCs w:val="11"/>
                <w:color w:val="auto"/>
              </w:rPr>
            </w:pPr>
          </w:p>
        </w:tc>
        <w:tc>
          <w:tcPr>
            <w:tcW w:w="1440" w:type="dxa"/>
            <w:vAlign w:val="bottom"/>
            <w:gridSpan w:val="2"/>
          </w:tcPr>
          <w:p>
            <w:pPr>
              <w:jc w:val="center"/>
              <w:ind w:right="340"/>
              <w:spacing w:after="0" w:line="130" w:lineRule="exact"/>
              <w:rPr>
                <w:sz w:val="20"/>
                <w:szCs w:val="20"/>
                <w:color w:val="auto"/>
              </w:rPr>
            </w:pPr>
            <w:r>
              <w:rPr>
                <w:rFonts w:ascii="Arial" w:cs="Arial" w:eastAsia="Arial" w:hAnsi="Arial"/>
                <w:sz w:val="14"/>
                <w:szCs w:val="14"/>
                <w:color w:val="auto"/>
                <w:w w:val="92"/>
              </w:rPr>
              <w:t>12 months: 80%</w:t>
            </w:r>
          </w:p>
        </w:tc>
        <w:tc>
          <w:tcPr>
            <w:tcW w:w="1260" w:type="dxa"/>
            <w:vAlign w:val="bottom"/>
            <w:gridSpan w:val="2"/>
          </w:tcPr>
          <w:p>
            <w:pPr>
              <w:jc w:val="center"/>
              <w:ind w:right="320"/>
              <w:spacing w:after="0" w:line="130"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30" w:lineRule="exact"/>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167"/>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human cadaver vein)</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jc w:val="right"/>
              <w:ind w:right="548"/>
              <w:spacing w:after="0" w:line="130" w:lineRule="exact"/>
              <w:rPr>
                <w:sz w:val="20"/>
                <w:szCs w:val="20"/>
                <w:color w:val="auto"/>
              </w:rPr>
            </w:pPr>
            <w:r>
              <w:rPr>
                <w:rFonts w:ascii="Arial" w:cs="Arial" w:eastAsia="Arial" w:hAnsi="Arial"/>
                <w:sz w:val="14"/>
                <w:szCs w:val="14"/>
                <w:color w:val="auto"/>
              </w:rPr>
              <w:t>2004</w:t>
            </w: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49</w:t>
            </w:r>
          </w:p>
        </w:tc>
        <w:tc>
          <w:tcPr>
            <w:tcW w:w="2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3"/>
              </w:rPr>
              <w:t>12 months: ~65%</w:t>
            </w: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8"/>
              </w:rPr>
              <w:t>0%</w:t>
            </w: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~100%</w:t>
            </w: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4"/>
              </w:rPr>
              <w:t>Aneurysm rate:</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5"/>
              </w:rPr>
              <w:t>Procol (bovine vein)</w:t>
            </w:r>
          </w:p>
        </w:tc>
        <w:tc>
          <w:tcPr>
            <w:tcW w:w="740" w:type="dxa"/>
            <w:vAlign w:val="bottom"/>
          </w:tcPr>
          <w:p>
            <w:pPr>
              <w:jc w:val="center"/>
              <w:spacing w:after="0" w:line="130" w:lineRule="exact"/>
              <w:rPr>
                <w:sz w:val="20"/>
                <w:szCs w:val="20"/>
                <w:color w:val="auto"/>
              </w:rPr>
            </w:pPr>
            <w:r>
              <w:rPr>
                <w:rFonts w:ascii="Arial" w:cs="Arial" w:eastAsia="Arial" w:hAnsi="Arial"/>
                <w:sz w:val="14"/>
                <w:szCs w:val="14"/>
                <w:color w:val="auto"/>
                <w:w w:val="96"/>
              </w:rPr>
              <w:t>2005</w:t>
            </w:r>
          </w:p>
        </w:tc>
        <w:tc>
          <w:tcPr>
            <w:tcW w:w="24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Arial" w:cs="Arial" w:eastAsia="Arial" w:hAnsi="Arial"/>
                <w:sz w:val="14"/>
                <w:szCs w:val="14"/>
                <w:color w:val="auto"/>
                <w:w w:val="85"/>
              </w:rPr>
              <w:t>186</w:t>
            </w:r>
          </w:p>
        </w:tc>
        <w:tc>
          <w:tcPr>
            <w:tcW w:w="340" w:type="dxa"/>
            <w:vAlign w:val="bottom"/>
          </w:tcPr>
          <w:p>
            <w:pPr>
              <w:spacing w:after="0"/>
              <w:rPr>
                <w:sz w:val="11"/>
                <w:szCs w:val="11"/>
                <w:color w:val="auto"/>
              </w:rPr>
            </w:pPr>
          </w:p>
        </w:tc>
        <w:tc>
          <w:tcPr>
            <w:tcW w:w="1440" w:type="dxa"/>
            <w:vAlign w:val="bottom"/>
            <w:gridSpan w:val="2"/>
          </w:tcPr>
          <w:p>
            <w:pPr>
              <w:jc w:val="center"/>
              <w:ind w:right="340"/>
              <w:spacing w:after="0" w:line="130" w:lineRule="exact"/>
              <w:rPr>
                <w:sz w:val="20"/>
                <w:szCs w:val="20"/>
                <w:color w:val="auto"/>
              </w:rPr>
            </w:pPr>
            <w:r>
              <w:rPr>
                <w:rFonts w:ascii="Arial" w:cs="Arial" w:eastAsia="Arial" w:hAnsi="Arial"/>
                <w:sz w:val="14"/>
                <w:szCs w:val="14"/>
                <w:color w:val="auto"/>
                <w:w w:val="92"/>
              </w:rPr>
              <w:t>12 months: 66%</w:t>
            </w:r>
          </w:p>
        </w:tc>
        <w:tc>
          <w:tcPr>
            <w:tcW w:w="940" w:type="dxa"/>
            <w:vAlign w:val="bottom"/>
          </w:tcPr>
          <w:p>
            <w:pPr>
              <w:jc w:val="center"/>
              <w:spacing w:after="0" w:line="130" w:lineRule="exact"/>
              <w:rPr>
                <w:sz w:val="20"/>
                <w:szCs w:val="20"/>
                <w:color w:val="auto"/>
              </w:rPr>
            </w:pPr>
            <w:r>
              <w:rPr>
                <w:rFonts w:ascii="Arial" w:cs="Arial" w:eastAsia="Arial" w:hAnsi="Arial"/>
                <w:sz w:val="14"/>
                <w:szCs w:val="14"/>
                <w:color w:val="auto"/>
                <w:w w:val="93"/>
              </w:rPr>
              <w:t>5.3%</w:t>
            </w:r>
          </w:p>
        </w:tc>
        <w:tc>
          <w:tcPr>
            <w:tcW w:w="320" w:type="dxa"/>
            <w:vAlign w:val="bottom"/>
          </w:tcPr>
          <w:p>
            <w:pPr>
              <w:spacing w:after="0"/>
              <w:rPr>
                <w:sz w:val="11"/>
                <w:szCs w:val="11"/>
                <w:color w:val="auto"/>
              </w:rPr>
            </w:pPr>
          </w:p>
        </w:tc>
        <w:tc>
          <w:tcPr>
            <w:tcW w:w="1020" w:type="dxa"/>
            <w:vAlign w:val="bottom"/>
          </w:tcPr>
          <w:p>
            <w:pPr>
              <w:jc w:val="center"/>
              <w:spacing w:after="0" w:line="130"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Aneurysm rate:</w:t>
            </w: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3.2%</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Peripheral Arterial Disease</w:t>
            </w:r>
          </w:p>
        </w:tc>
        <w:tc>
          <w:tcPr>
            <w:tcW w:w="172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89"/>
              </w:rPr>
              <w:t>Saphenous Vein</w:t>
            </w:r>
          </w:p>
        </w:tc>
        <w:tc>
          <w:tcPr>
            <w:tcW w:w="7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2008</w:t>
            </w: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60</w:t>
            </w:r>
          </w:p>
        </w:tc>
        <w:tc>
          <w:tcPr>
            <w:tcW w:w="3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center"/>
              <w:ind w:right="340"/>
              <w:spacing w:after="0" w:line="130" w:lineRule="exact"/>
              <w:rPr>
                <w:sz w:val="20"/>
                <w:szCs w:val="20"/>
                <w:color w:val="auto"/>
              </w:rPr>
            </w:pPr>
            <w:r>
              <w:rPr>
                <w:rFonts w:ascii="Arial" w:cs="Arial" w:eastAsia="Arial" w:hAnsi="Arial"/>
                <w:sz w:val="14"/>
                <w:szCs w:val="14"/>
                <w:color w:val="auto"/>
                <w:w w:val="93"/>
              </w:rPr>
              <w:t>12 months: ~86%</w:t>
            </w:r>
          </w:p>
        </w:tc>
        <w:tc>
          <w:tcPr>
            <w:tcW w:w="126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2"/>
              </w:rPr>
              <w:t>(autologous)</w:t>
            </w: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ePTFE (synthetic graft)</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2008</w:t>
            </w: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61</w:t>
            </w:r>
          </w:p>
        </w:tc>
        <w:tc>
          <w:tcPr>
            <w:tcW w:w="3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12 months: ~80%</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jc w:val="right"/>
              <w:ind w:right="548"/>
              <w:spacing w:after="0" w:line="130" w:lineRule="exact"/>
              <w:rPr>
                <w:sz w:val="20"/>
                <w:szCs w:val="20"/>
                <w:color w:val="auto"/>
              </w:rPr>
            </w:pPr>
            <w:r>
              <w:rPr>
                <w:rFonts w:ascii="Arial" w:cs="Arial" w:eastAsia="Arial" w:hAnsi="Arial"/>
                <w:sz w:val="14"/>
                <w:szCs w:val="14"/>
                <w:color w:val="auto"/>
              </w:rPr>
              <w:t>2013</w:t>
            </w: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101</w:t>
            </w:r>
          </w:p>
        </w:tc>
        <w:tc>
          <w:tcPr>
            <w:tcW w:w="24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320"/>
              <w:spacing w:after="0" w:line="130" w:lineRule="exact"/>
              <w:rPr>
                <w:sz w:val="20"/>
                <w:szCs w:val="20"/>
                <w:color w:val="auto"/>
              </w:rPr>
            </w:pPr>
            <w:r>
              <w:rPr>
                <w:rFonts w:ascii="Arial" w:cs="Arial" w:eastAsia="Arial" w:hAnsi="Arial"/>
                <w:sz w:val="14"/>
                <w:szCs w:val="14"/>
                <w:color w:val="auto"/>
                <w:w w:val="95"/>
              </w:rPr>
              <w:t>12 months:</w:t>
            </w: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2"/>
              </w:rPr>
              <w:t>76% – 89%</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2011</w:t>
            </w: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273</w:t>
            </w:r>
          </w:p>
        </w:tc>
        <w:tc>
          <w:tcPr>
            <w:tcW w:w="3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12 months: 81%</w:t>
            </w: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2013</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496</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3.8%</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5"/>
              </w:rPr>
              <w:t>Procol (bovine vein)</w:t>
            </w:r>
          </w:p>
        </w:tc>
        <w:tc>
          <w:tcPr>
            <w:tcW w:w="740" w:type="dxa"/>
            <w:vAlign w:val="bottom"/>
          </w:tcPr>
          <w:p>
            <w:pPr>
              <w:jc w:val="center"/>
              <w:spacing w:after="0" w:line="130" w:lineRule="exact"/>
              <w:rPr>
                <w:sz w:val="20"/>
                <w:szCs w:val="20"/>
                <w:color w:val="auto"/>
              </w:rPr>
            </w:pPr>
            <w:r>
              <w:rPr>
                <w:rFonts w:ascii="Arial" w:cs="Arial" w:eastAsia="Arial" w:hAnsi="Arial"/>
                <w:sz w:val="14"/>
                <w:szCs w:val="14"/>
                <w:color w:val="auto"/>
                <w:w w:val="96"/>
              </w:rPr>
              <w:t>2008</w:t>
            </w:r>
          </w:p>
        </w:tc>
        <w:tc>
          <w:tcPr>
            <w:tcW w:w="24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Arial" w:cs="Arial" w:eastAsia="Arial" w:hAnsi="Arial"/>
                <w:sz w:val="14"/>
                <w:szCs w:val="14"/>
                <w:color w:val="auto"/>
              </w:rPr>
              <w:t>7</w:t>
            </w:r>
          </w:p>
        </w:tc>
        <w:tc>
          <w:tcPr>
            <w:tcW w:w="340" w:type="dxa"/>
            <w:vAlign w:val="bottom"/>
          </w:tcPr>
          <w:p>
            <w:pPr>
              <w:spacing w:after="0"/>
              <w:rPr>
                <w:sz w:val="11"/>
                <w:szCs w:val="11"/>
                <w:color w:val="auto"/>
              </w:rPr>
            </w:pPr>
          </w:p>
        </w:tc>
        <w:tc>
          <w:tcPr>
            <w:tcW w:w="1440" w:type="dxa"/>
            <w:vAlign w:val="bottom"/>
            <w:gridSpan w:val="2"/>
          </w:tcPr>
          <w:p>
            <w:pPr>
              <w:jc w:val="center"/>
              <w:ind w:right="340"/>
              <w:spacing w:after="0" w:line="130" w:lineRule="exact"/>
              <w:rPr>
                <w:sz w:val="20"/>
                <w:szCs w:val="20"/>
                <w:color w:val="auto"/>
              </w:rPr>
            </w:pPr>
            <w:r>
              <w:rPr>
                <w:rFonts w:ascii="Arial" w:cs="Arial" w:eastAsia="Arial" w:hAnsi="Arial"/>
                <w:sz w:val="14"/>
                <w:szCs w:val="14"/>
                <w:color w:val="auto"/>
                <w:w w:val="93"/>
              </w:rPr>
              <w:t>6 months: 50% 12</w:t>
            </w:r>
          </w:p>
        </w:tc>
        <w:tc>
          <w:tcPr>
            <w:tcW w:w="1260" w:type="dxa"/>
            <w:vAlign w:val="bottom"/>
            <w:gridSpan w:val="2"/>
          </w:tcPr>
          <w:p>
            <w:pPr>
              <w:jc w:val="center"/>
              <w:ind w:right="320"/>
              <w:spacing w:after="0" w:line="130"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30"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months: 50%</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left="3560"/>
        <w:spacing w:after="0" w:line="221" w:lineRule="auto"/>
        <w:rPr>
          <w:sz w:val="20"/>
          <w:szCs w:val="20"/>
          <w:color w:val="auto"/>
        </w:rPr>
      </w:pPr>
      <w:r>
        <w:rPr>
          <w:rFonts w:ascii="Arial" w:cs="Arial" w:eastAsia="Arial" w:hAnsi="Arial"/>
          <w:sz w:val="14"/>
          <w:szCs w:val="14"/>
          <w:color w:val="auto"/>
        </w:rPr>
        <w:t>Aneurysm Rate:</w:t>
      </w:r>
    </w:p>
    <w:p>
      <w:pPr>
        <w:ind w:left="6620"/>
        <w:spacing w:after="0"/>
        <w:rPr>
          <w:sz w:val="20"/>
          <w:szCs w:val="20"/>
          <w:color w:val="auto"/>
        </w:rPr>
      </w:pPr>
      <w:r>
        <w:rPr>
          <w:rFonts w:ascii="Arial" w:cs="Arial" w:eastAsia="Arial" w:hAnsi="Arial"/>
          <w:sz w:val="14"/>
          <w:szCs w:val="14"/>
          <w:color w:val="auto"/>
        </w:rPr>
        <w:t>29%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Indication #1: Use of HAV to Repair Vascular Trauma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Vascular Trauma</w:t>
      </w:r>
    </w:p>
    <w:p>
      <w:pPr>
        <w:spacing w:after="0" w:line="185"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accidents, gun violence, mass casualty terrorist attacks, stabbings and blunt trauma. Consequently,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there is an increasingly urgent unmet need for novel materials that are immediately available for permanent vascular repair for both civilian and military vascular trauma.</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Options in Surgical Treatment of Vascular Trauma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126365</wp:posOffset>
            </wp:positionV>
            <wp:extent cx="5109210" cy="22028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0921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Autologous vein is the preferred conduit for vascular repair. However, harvesting of autologous vein is not always feasible, due to damage to vein or lower limb, prior vein harvest, inadequate size of the vein or venous disease. Harvesting autologous vein is a serious operation that requires additional time and resources. Delaying the time from injury to operative intervention from less than one hour, to three hours or greater, more than doubles the risk of limb amputation. Limb amputation, in turn, almost triples the length of intensive care unit stay, nearly doubles the length of hospital stay, and is devastating to patient quality of life. Additionally, the morbidity associated with saphenous vein harvest includes surgical site infections, chronic pain, and limb swelling. Synthetic materials have been shown to be inferior to autologous vein in resistance to infection and durability and, therefore, are generally only used for vascular repair when autologous vein is not an option.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 for Vascular Trauma</w:t>
      </w:r>
    </w:p>
    <w:p>
      <w:pPr>
        <w:spacing w:after="0" w:line="18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believe our HAVs will be a promising alternative that can address critical gaps in existing treatment options for acute vascular injuries due to trauma. We are developing our HAVs with the goal of providing an effective solution in all time-constrained surgical environments and in resource-limited, infection prone battlefield environments. The ability to create immediately available, non-immunogenic, universally implantable material that is less susceptible to infection represents a clinically significant advantage over existing options.</w:t>
      </w:r>
    </w:p>
    <w:p>
      <w:pPr>
        <w:spacing w:after="0" w:line="1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Humacyte has a strong working relationship with the DoD that has led to a partnership over the last decade to support their unmet need to reconstruct and repair vascular injuries through the development of our HAVs. As a result of this collaboration and partnership with the DoD, we anticipate Humacyte would supply HAVs for use in military hospitals to treat injured soldiers and veterans. The DoD assigned a priority designation to the HAV technology under Public Law 115-92. Under this law, FDA and DoD work together to expedite the development and review of critical technologies and therapies requested by DoD. Additionally, we have received approximately $7 million of grant funding from the DoD for the continued development of our HAVs for vascular reconstruction and repair.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Current Phase II/III Trial for Vascular Trauma</w:t>
      </w:r>
    </w:p>
    <w:p>
      <w:pPr>
        <w:spacing w:after="0" w:line="181"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b w:val="1"/>
          <w:bCs w:val="1"/>
          <w:color w:val="auto"/>
        </w:rPr>
        <w:t xml:space="preserve">Trial Design: </w:t>
      </w:r>
      <w:r>
        <w:rPr>
          <w:rFonts w:ascii="Arial" w:cs="Arial" w:eastAsia="Arial" w:hAnsi="Arial"/>
          <w:sz w:val="17"/>
          <w:szCs w:val="17"/>
          <w:color w:val="auto"/>
        </w:rPr>
        <w:t>Our ongoing V005 trial is a single-arm, multi-center, non-randomized clinical trial to evaluate the efficacy, safety</w:t>
      </w:r>
      <w:r>
        <w:rPr>
          <w:rFonts w:ascii="Arial" w:cs="Arial" w:eastAsia="Arial" w:hAnsi="Arial"/>
          <w:sz w:val="17"/>
          <w:szCs w:val="17"/>
          <w:b w:val="1"/>
          <w:bCs w:val="1"/>
          <w:color w:val="auto"/>
        </w:rPr>
        <w:t xml:space="preserve"> </w:t>
      </w:r>
      <w:r>
        <w:rPr>
          <w:rFonts w:ascii="Arial" w:cs="Arial" w:eastAsia="Arial" w:hAnsi="Arial"/>
          <w:sz w:val="17"/>
          <w:szCs w:val="17"/>
          <w:color w:val="auto"/>
        </w:rPr>
        <w:t>and tolerability of our 6 millimeter HAV in replacement or reconstruction of vascular tissues in patients with life or limb-threatening vascular trauma. Since the V005 trial is a single-arm, non-randomized, open label study, we have the ability to track ongoing efficacy and safety. The current primary efficacy endpoint evaluates primary patency of the HAV at 30 days. Based on the results we have observed to date and discussions with the FDA and DoD, we expect that the final design of the trial will support the submission of a BLA in the second half of 2022 or in 2023. Based on conversations with the FDA, we anticipate that analysis of data from V005 will focus on patients with lower extremity injuries. The final number of subjects to be enrolled and evaluated in the study is dependent on additional guidance from the FDA, but is currently estimated to approximate 75.</w:t>
      </w:r>
    </w:p>
    <w:p>
      <w:pPr>
        <w:sectPr>
          <w:pgSz w:w="11900" w:h="16838" w:orient="portrait"/>
          <w:cols w:equalWidth="0" w:num="1">
            <w:col w:w="9920"/>
          </w:cols>
          <w:pgMar w:left="980" w:top="12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Status of Phase III Trial of HAV in Vascular Trauma (as of September 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Clinical</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Begin</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Trial</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Indication</w:t>
            </w:r>
          </w:p>
        </w:tc>
        <w:tc>
          <w:tcPr>
            <w:tcW w:w="2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Design/Phase</w:t>
            </w:r>
          </w:p>
        </w:tc>
        <w:tc>
          <w:tcPr>
            <w:tcW w:w="260" w:type="dxa"/>
            <w:vAlign w:val="bottom"/>
            <w:vMerge w:val="restart"/>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Subjects</w:t>
            </w:r>
          </w:p>
        </w:tc>
        <w:tc>
          <w:tcPr>
            <w:tcW w:w="260" w:type="dxa"/>
            <w:vAlign w:val="bottom"/>
            <w:vMerge w:val="restart"/>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260" w:type="dxa"/>
            <w:vAlign w:val="bottom"/>
            <w:vMerge w:val="restart"/>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Outcomes**</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Enrollment</w:t>
            </w:r>
          </w:p>
        </w:tc>
        <w:tc>
          <w:tcPr>
            <w:tcW w:w="2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V005</w:t>
            </w: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Vascular</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Phase II/III</w:t>
            </w:r>
          </w:p>
        </w:tc>
        <w:tc>
          <w:tcPr>
            <w:tcW w:w="2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Targeting 75± total</w:t>
            </w: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7"/>
              </w:rPr>
              <w:t>Enrolling</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Trial is</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Trauma</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Single-arm</w:t>
            </w:r>
          </w:p>
        </w:tc>
        <w:tc>
          <w:tcPr>
            <w:tcW w:w="2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2"/>
              </w:rPr>
              <w:t>43 total (31 lower</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currently</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7"/>
              </w:rPr>
              <w:t>Historical</w:t>
            </w:r>
          </w:p>
        </w:tc>
        <w:tc>
          <w:tcPr>
            <w:tcW w:w="2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extremity) enrolled as of</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enrolling</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Comparator</w:t>
            </w:r>
          </w:p>
        </w:tc>
        <w:tc>
          <w:tcPr>
            <w:tcW w:w="2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September 1, 2021</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Unblinded</w:t>
            </w:r>
          </w:p>
        </w:tc>
        <w:tc>
          <w:tcPr>
            <w:tcW w:w="19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36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PP: Primary Patency, which is the interval of time of access placement until any intervention designed to maintain or reestablish patency, access thrombosis, or the time of measurement of patency, i.e. patent without interventions.</w:t>
      </w:r>
    </w:p>
    <w:p>
      <w:pPr>
        <w:spacing w:after="0" w:line="129" w:lineRule="exact"/>
        <w:rPr>
          <w:rFonts w:ascii="Arial" w:cs="Arial" w:eastAsia="Arial" w:hAnsi="Arial"/>
          <w:sz w:val="18"/>
          <w:szCs w:val="18"/>
          <w:color w:val="auto"/>
        </w:rPr>
      </w:pPr>
    </w:p>
    <w:p>
      <w:pPr>
        <w:ind w:left="340" w:right="540"/>
        <w:spacing w:after="0" w:line="277" w:lineRule="auto"/>
        <w:rPr>
          <w:rFonts w:ascii="Arial" w:cs="Arial" w:eastAsia="Arial" w:hAnsi="Arial"/>
          <w:sz w:val="18"/>
          <w:szCs w:val="18"/>
          <w:color w:val="auto"/>
        </w:rPr>
      </w:pPr>
      <w:r>
        <w:rPr>
          <w:rFonts w:ascii="Arial" w:cs="Arial" w:eastAsia="Arial" w:hAnsi="Arial"/>
          <w:sz w:val="18"/>
          <w:szCs w:val="18"/>
          <w:color w:val="auto"/>
        </w:rPr>
        <w:t>SP: Secondary Patency, which is the interval from the time of access placement until abandonment, i.e. patent with or without interventions.</w:t>
      </w:r>
    </w:p>
    <w:p>
      <w:pPr>
        <w:spacing w:after="0" w:line="126" w:lineRule="exact"/>
        <w:rPr>
          <w:sz w:val="20"/>
          <w:szCs w:val="20"/>
          <w:color w:val="auto"/>
        </w:rPr>
      </w:pPr>
    </w:p>
    <w:p>
      <w:pPr>
        <w:ind w:right="100" w:firstLine="324"/>
        <w:spacing w:after="0" w:line="281" w:lineRule="auto"/>
        <w:rPr>
          <w:sz w:val="20"/>
          <w:szCs w:val="20"/>
          <w:color w:val="auto"/>
        </w:rPr>
      </w:pPr>
      <w:r>
        <w:rPr>
          <w:rFonts w:ascii="Arial" w:cs="Arial" w:eastAsia="Arial" w:hAnsi="Arial"/>
          <w:sz w:val="17"/>
          <w:szCs w:val="17"/>
          <w:b w:val="1"/>
          <w:bCs w:val="1"/>
          <w:color w:val="auto"/>
        </w:rPr>
        <w:t xml:space="preserve">Current Trial Status: </w:t>
      </w:r>
      <w:r>
        <w:rPr>
          <w:rFonts w:ascii="Arial" w:cs="Arial" w:eastAsia="Arial" w:hAnsi="Arial"/>
          <w:sz w:val="17"/>
          <w:szCs w:val="17"/>
          <w:color w:val="auto"/>
        </w:rPr>
        <w:t>During 2020, we increased the number of trial sites for the V005 trial in the U.S., from seven to 20 sites. We</w:t>
      </w:r>
      <w:r>
        <w:rPr>
          <w:rFonts w:ascii="Arial" w:cs="Arial" w:eastAsia="Arial" w:hAnsi="Arial"/>
          <w:sz w:val="17"/>
          <w:szCs w:val="17"/>
          <w:b w:val="1"/>
          <w:bCs w:val="1"/>
          <w:color w:val="auto"/>
        </w:rPr>
        <w:t xml:space="preserve"> </w:t>
      </w:r>
      <w:r>
        <w:rPr>
          <w:rFonts w:ascii="Arial" w:cs="Arial" w:eastAsia="Arial" w:hAnsi="Arial"/>
          <w:sz w:val="17"/>
          <w:szCs w:val="17"/>
          <w:color w:val="auto"/>
        </w:rPr>
        <w:t>are currently working to expand sites in the U.S., as well as add additional sites in Poland and Israel. We anticipate that we will reach at least 28 activated sites in the V005 trial during 2021. Increasing the number of sites is expected to provide a broader patient cohort for enrollment in the trial, providing more extensive clinical exposure to differing types of vascular traumatic injury.</w:t>
      </w:r>
    </w:p>
    <w:p>
      <w:pPr>
        <w:spacing w:after="0" w:line="142"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range of trauma injuries in V005 has been broad, including penetrating trauma cases, blunt injury cases, and iatrogenic injuries. Mechanisms of injury have included motor vehicle accidents, gunshot wounds, industrial accidents, falls, and iatrogenic injuries from other interventional or surgical procedures. The HAVs have been placed throughout the body, including in the lower limbs, upper limb, and torso. The HAV has been used to repair the axillary artery, femoral artery, popliteal artery and vein, and the brachial artery in the V005 trial. Many of the injuries treated in the V005 trial, including industrial accidents, motor vehicle accidents, and some gunshot wounds, are contaminated injuries that are at elevated risk of graft infection. Nonetheless, as of September 1, 2021, there have been no reports of HAV infection in any V005 subject, despite a number of instances where the HAV has been implanted into contaminated surgical fields of acute vascular wounds. There have been several instances of local wound infections, but importantly none of these instances has led to infection of the HAV material itself, which we believe represents a significant advantage of the HAV over ePTFE grafts, which have a higher propensity to become infected in contaminated or infected wound beds. There have been no reports of limb amputation that occurred as a result of HAV malfunction or loss of patency. The resistance to infection we have observed in trials to date is particularly important in traumatic injuries which are often caused by infected material (i.e., knife, car accident, blast injury).</w:t>
      </w:r>
    </w:p>
    <w:p>
      <w:pPr>
        <w:spacing w:after="0" w:line="127"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In the figure below, a photograph is shown of an HAV that was used to repair both an artery and a vein in the knee of a patient who suffered a gunshot wound. This patient was doing well at the 30-day follow-up visit with both repairs remaining patent and functional.</w:t>
      </w:r>
    </w:p>
    <w:p>
      <w:pPr>
        <w:spacing w:after="0" w:line="83"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Intra-operative photograph of HAV repair of popliteal artery (left) and vein (right) in V005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134620</wp:posOffset>
            </wp:positionV>
            <wp:extent cx="2194560" cy="1688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9456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Indication #2: Use of the HAV for Arteriovenous Access for Hemodialysis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Hemodialysis and Existing Methods of Arteriovenous Access for Hemodialysis</w:t>
      </w:r>
    </w:p>
    <w:p>
      <w:pPr>
        <w:spacing w:after="0" w:line="1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End-stage renal disease (“ESRD”) develops when chronic kidney disease progresses to a point where either dialysis or a kidney transplant is required for the patient to survive. For hemodialysis to be conducted, a point of vascular access to the patient’s circulatory system must be created, termed vascular access, so that blood can be transported from the body to the dialyzer and then back to the body. The demand for vascular access conduits includes the need for both new hemodialysis patients who have progressed to ESRD requiring an initial access, and existing patients that require the replacement of their existing access. There are currently three traditional methods for obtaining vascular access for hemodialysis: an AV fistula, a synthetic graft, and a catheter. Each of these vascular access methods has substantial limitations, as outlined below:</w:t>
      </w:r>
    </w:p>
    <w:p>
      <w:pPr>
        <w:spacing w:after="0" w:line="154" w:lineRule="exact"/>
        <w:rPr>
          <w:sz w:val="20"/>
          <w:szCs w:val="20"/>
          <w:color w:val="auto"/>
        </w:rPr>
      </w:pPr>
    </w:p>
    <w:p>
      <w:pPr>
        <w:ind w:left="2400"/>
        <w:spacing w:after="0"/>
        <w:rPr>
          <w:sz w:val="20"/>
          <w:szCs w:val="20"/>
          <w:color w:val="auto"/>
        </w:rPr>
      </w:pPr>
      <w:r>
        <w:rPr>
          <w:rFonts w:ascii="Arial" w:cs="Arial" w:eastAsia="Arial" w:hAnsi="Arial"/>
          <w:sz w:val="18"/>
          <w:szCs w:val="18"/>
          <w:i w:val="1"/>
          <w:iCs w:val="1"/>
          <w:color w:val="auto"/>
        </w:rPr>
        <w:t>Three Traditional Methods for Obtaining Vascular Access for Hemodialysis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134620</wp:posOffset>
            </wp:positionV>
            <wp:extent cx="5349240" cy="25285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4924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u w:val="single" w:color="auto"/>
          <w:color w:val="auto"/>
        </w:rPr>
        <w:t>Fistula</w:t>
      </w:r>
      <w:r>
        <w:rPr>
          <w:rFonts w:ascii="Arial" w:cs="Arial" w:eastAsia="Arial" w:hAnsi="Arial"/>
          <w:sz w:val="17"/>
          <w:szCs w:val="17"/>
          <w:color w:val="auto"/>
        </w:rPr>
        <w:t>. An AV fistula is created by surgically connecting a vein to an artery, typically in the patient’s arm. Fistulae are often considered the preferred means of access for hemodialysis due to lower infection rates of approximately 0.5% – 1.5% per patient-year as well as long-term durability. However, many patients are not suitable candidates for fistula placement, due to small vessel anatomy, advanced age, obesity or other comorbidities. Approximately 40% of patients who undergo surgery for fistula creation will not gain any benefit from the surgery because the fistula lacks sufficient vein enlargement and increased blood flow, a process called fistula maturation, that is necessary for hemodialysis. Additionally, during the period in which the fistula is maturing, catheters are generally used to provide the patient access for dialysis. There is a high risk of infection and morbidity, and health care cost, associated with prolonged catheter dependence while waiting for the fistula to mature.</w:t>
      </w:r>
    </w:p>
    <w:p>
      <w:pPr>
        <w:spacing w:after="0" w:line="13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u w:val="single" w:color="auto"/>
          <w:color w:val="auto"/>
        </w:rPr>
        <w:t>Catheters</w:t>
      </w:r>
      <w:r>
        <w:rPr>
          <w:rFonts w:ascii="Arial" w:cs="Arial" w:eastAsia="Arial" w:hAnsi="Arial"/>
          <w:sz w:val="18"/>
          <w:szCs w:val="18"/>
          <w:color w:val="auto"/>
        </w:rPr>
        <w:t>. A catheter, which is tunneled underneath the skin and placed directly into a large vein in the patient, is generally the least desirable access solution. Given the time necessary for fistulae to mature, the vast majority of patients in the United States begin hemodialysis using a catheter while awaiting fistula maturation. Catheters have rates of blood stream infections as high as 200% per patient-year, with high associated morbidity and health care costs.</w:t>
      </w:r>
    </w:p>
    <w:p>
      <w:pPr>
        <w:spacing w:after="0" w:line="16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u w:val="single" w:color="auto"/>
          <w:color w:val="auto"/>
        </w:rPr>
        <w:t>Synthetic graft</w:t>
      </w:r>
      <w:r>
        <w:rPr>
          <w:rFonts w:ascii="Arial" w:cs="Arial" w:eastAsia="Arial" w:hAnsi="Arial"/>
          <w:sz w:val="17"/>
          <w:szCs w:val="17"/>
          <w:color w:val="auto"/>
        </w:rPr>
        <w:t>. A synthetic graft, typically made from ePTFE and sewn between an artery and vein in the patient’s arm, is generally used in patients who are not candidates for fistulae. The drawbacks of synthetic grafts include higher infection rates, which can be as high as 10% – 15% per patient-year, and gradual degradation of the non-healing ePTFE graft material caused by persistent needle punctures. A recent systematic meta-analysis measuring the functional patency of ePTFE grafts shows that, on average, only 70% of ePTFE dialysis access grafts remain functional one year after implantation.</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2560"/>
        <w:spacing w:after="0"/>
        <w:rPr>
          <w:sz w:val="20"/>
          <w:szCs w:val="20"/>
          <w:color w:val="auto"/>
        </w:rPr>
      </w:pPr>
      <w:r>
        <w:rPr>
          <w:rFonts w:ascii="Arial" w:cs="Arial" w:eastAsia="Arial" w:hAnsi="Arial"/>
          <w:sz w:val="18"/>
          <w:szCs w:val="18"/>
          <w:i w:val="1"/>
          <w:iCs w:val="1"/>
          <w:color w:val="auto"/>
        </w:rPr>
        <w:t>Distribution of Hemodialysis Access Modes in Use in the United States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Access Type</w:t>
            </w:r>
          </w:p>
        </w:tc>
        <w:tc>
          <w:tcPr>
            <w:tcW w:w="10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Fistulae</w:t>
            </w:r>
          </w:p>
        </w:tc>
        <w:tc>
          <w:tcPr>
            <w:tcW w:w="10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Catheters</w:t>
            </w:r>
          </w:p>
        </w:tc>
        <w:tc>
          <w:tcPr>
            <w:tcW w:w="12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2"/>
              </w:rPr>
              <w:t>Synthetic Grafts</w:t>
            </w: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Incident Patients: At Initiation of Hemodialysis</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Prevalent Patients: For Ongoing Hemodialysis</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64.5 %</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18.9 %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16.6 %</w:t>
            </w:r>
          </w:p>
        </w:tc>
      </w:tr>
    </w:tbl>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Published Data in Hemodialysis Access</w:t>
      </w:r>
    </w:p>
    <w:p>
      <w:pPr>
        <w:spacing w:after="0" w:line="198"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We derived the data in the table below from data contained in certain published papers on hemodialysis between 2002 and the present. These data are from different studies and thus are not directly comparable. In addition, many of these papers reported on additional endpoints that are not included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Clinical</w:t>
            </w:r>
          </w:p>
        </w:tc>
        <w:tc>
          <w:tcPr>
            <w:tcW w:w="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jc w:val="center"/>
              <w:ind w:left="148"/>
              <w:spacing w:after="0"/>
              <w:rPr>
                <w:sz w:val="20"/>
                <w:szCs w:val="20"/>
                <w:color w:val="auto"/>
              </w:rPr>
            </w:pPr>
            <w:r>
              <w:rPr>
                <w:rFonts w:ascii="Arial" w:cs="Arial" w:eastAsia="Arial" w:hAnsi="Arial"/>
                <w:sz w:val="14"/>
                <w:szCs w:val="14"/>
                <w:b w:val="1"/>
                <w:bCs w:val="1"/>
                <w:color w:val="auto"/>
                <w:w w:val="91"/>
              </w:rPr>
              <w:t>Published Secondary</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Infection</w:t>
            </w: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Rejection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4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Type of Conduit</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Patients</w:t>
            </w:r>
          </w:p>
        </w:tc>
        <w:tc>
          <w:tcPr>
            <w:tcW w:w="196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2"/>
              </w:rPr>
              <w:t>Patency Outcome</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 patient-year)</w:t>
            </w:r>
          </w:p>
        </w:tc>
        <w:tc>
          <w:tcPr>
            <w:tcW w:w="14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Outcome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Indication</w:t>
            </w:r>
          </w:p>
        </w:tc>
        <w:tc>
          <w:tcPr>
            <w:tcW w:w="14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Fistula (autogenous)</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Post</w:t>
            </w:r>
            <w:r>
              <w:rPr>
                <w:rFonts w:ascii="MS PGothic" w:cs="MS PGothic" w:eastAsia="MS PGothic" w:hAnsi="MS PGothic"/>
                <w:sz w:val="14"/>
                <w:szCs w:val="14"/>
                <w:color w:val="auto"/>
                <w:w w:val="91"/>
              </w:rPr>
              <w:t>‑</w:t>
            </w:r>
            <w:r>
              <w:rPr>
                <w:rFonts w:ascii="Arial" w:cs="Arial" w:eastAsia="Arial" w:hAnsi="Arial"/>
                <w:sz w:val="14"/>
                <w:szCs w:val="14"/>
                <w:color w:val="auto"/>
                <w:w w:val="91"/>
              </w:rPr>
              <w:t>2005</w:t>
            </w:r>
          </w:p>
        </w:tc>
        <w:tc>
          <w:tcPr>
            <w:tcW w:w="14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2,800</w:t>
            </w:r>
          </w:p>
        </w:tc>
        <w:tc>
          <w:tcPr>
            <w:tcW w:w="14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auto"/>
            </w:tcBorders>
            <w:shd w:val="clear" w:color="auto" w:fill="CCEEFF"/>
          </w:tcPr>
          <w:p>
            <w:pPr>
              <w:jc w:val="center"/>
              <w:ind w:left="148"/>
              <w:spacing w:after="0" w:line="142" w:lineRule="exact"/>
              <w:rPr>
                <w:sz w:val="20"/>
                <w:szCs w:val="20"/>
                <w:color w:val="auto"/>
              </w:rPr>
            </w:pPr>
            <w:r>
              <w:rPr>
                <w:rFonts w:ascii="Arial" w:cs="Arial" w:eastAsia="Arial" w:hAnsi="Arial"/>
                <w:sz w:val="14"/>
                <w:szCs w:val="14"/>
                <w:color w:val="auto"/>
                <w:w w:val="92"/>
              </w:rPr>
              <w:t>12 months: 75</w:t>
            </w: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11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1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3"/>
              </w:rPr>
              <w:t>14,892</w:t>
            </w:r>
          </w:p>
        </w:tc>
        <w:tc>
          <w:tcPr>
            <w:tcW w:w="140" w:type="dxa"/>
            <w:vAlign w:val="bottom"/>
          </w:tcPr>
          <w:p>
            <w:pPr>
              <w:spacing w:after="0"/>
              <w:rPr>
                <w:sz w:val="12"/>
                <w:szCs w:val="12"/>
                <w:color w:val="auto"/>
              </w:rPr>
            </w:pPr>
          </w:p>
        </w:tc>
        <w:tc>
          <w:tcPr>
            <w:tcW w:w="196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1"/>
              </w:rPr>
              <w:t>6 months: 51</w:t>
            </w:r>
          </w:p>
        </w:tc>
        <w:tc>
          <w:tcPr>
            <w:tcW w:w="4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Hemodialysis</w:t>
            </w:r>
          </w:p>
        </w:tc>
        <w:tc>
          <w:tcPr>
            <w:tcW w:w="1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Access</w:t>
            </w:r>
          </w:p>
        </w:tc>
        <w:tc>
          <w:tcPr>
            <w:tcW w:w="1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6,439</w:t>
            </w:r>
          </w:p>
        </w:tc>
        <w:tc>
          <w:tcPr>
            <w:tcW w:w="140" w:type="dxa"/>
            <w:vAlign w:val="bottom"/>
            <w:shd w:val="clear" w:color="auto" w:fill="CCEEFF"/>
          </w:tcPr>
          <w:p>
            <w:pPr>
              <w:spacing w:after="0"/>
              <w:rPr>
                <w:sz w:val="14"/>
                <w:szCs w:val="14"/>
                <w:color w:val="auto"/>
              </w:rPr>
            </w:pPr>
          </w:p>
        </w:tc>
        <w:tc>
          <w:tcPr>
            <w:tcW w:w="196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1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602</w:t>
            </w:r>
          </w:p>
        </w:tc>
        <w:tc>
          <w:tcPr>
            <w:tcW w:w="140" w:type="dxa"/>
            <w:vAlign w:val="bottom"/>
          </w:tcPr>
          <w:p>
            <w:pPr>
              <w:spacing w:after="0"/>
              <w:rPr>
                <w:sz w:val="12"/>
                <w:szCs w:val="12"/>
                <w:color w:val="auto"/>
              </w:rPr>
            </w:pPr>
          </w:p>
        </w:tc>
        <w:tc>
          <w:tcPr>
            <w:tcW w:w="196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1"/>
              </w:rPr>
              <w:t>6 months: 61</w:t>
            </w:r>
          </w:p>
        </w:tc>
        <w:tc>
          <w:tcPr>
            <w:tcW w:w="4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rPr>
                <w:sz w:val="12"/>
                <w:szCs w:val="12"/>
                <w:color w:val="auto"/>
              </w:rPr>
            </w:pPr>
          </w:p>
        </w:tc>
        <w:tc>
          <w:tcPr>
            <w:tcW w:w="25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ePTFE (synthetic graft)</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128</w:t>
            </w:r>
          </w:p>
        </w:tc>
        <w:tc>
          <w:tcPr>
            <w:tcW w:w="140" w:type="dxa"/>
            <w:vAlign w:val="bottom"/>
            <w:shd w:val="clear" w:color="auto" w:fill="CCEEFF"/>
          </w:tcPr>
          <w:p>
            <w:pPr>
              <w:spacing w:after="0"/>
              <w:rPr>
                <w:sz w:val="12"/>
                <w:szCs w:val="12"/>
                <w:color w:val="auto"/>
              </w:rPr>
            </w:pPr>
          </w:p>
        </w:tc>
        <w:tc>
          <w:tcPr>
            <w:tcW w:w="196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w w:val="91"/>
              </w:rPr>
              <w:t>6 months: ~60</w:t>
            </w:r>
          </w:p>
        </w:tc>
        <w:tc>
          <w:tcPr>
            <w:tcW w:w="4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&gt; 400</w:t>
            </w:r>
          </w:p>
        </w:tc>
        <w:tc>
          <w:tcPr>
            <w:tcW w:w="140" w:type="dxa"/>
            <w:vAlign w:val="bottom"/>
            <w:shd w:val="clear" w:color="auto" w:fill="CCEEFF"/>
          </w:tcPr>
          <w:p>
            <w:pPr>
              <w:spacing w:after="0"/>
              <w:rPr>
                <w:sz w:val="12"/>
                <w:szCs w:val="12"/>
                <w:color w:val="auto"/>
              </w:rPr>
            </w:pPr>
          </w:p>
        </w:tc>
        <w:tc>
          <w:tcPr>
            <w:tcW w:w="196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 – 17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40" w:type="dxa"/>
            <w:vAlign w:val="bottom"/>
          </w:tcPr>
          <w:p>
            <w:pPr>
              <w:spacing w:after="0"/>
              <w:rPr>
                <w:sz w:val="12"/>
                <w:szCs w:val="12"/>
                <w:color w:val="auto"/>
              </w:rPr>
            </w:pPr>
          </w:p>
        </w:tc>
        <w:tc>
          <w:tcPr>
            <w:tcW w:w="12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&gt; 3,000</w:t>
            </w:r>
          </w:p>
        </w:tc>
        <w:tc>
          <w:tcPr>
            <w:tcW w:w="140" w:type="dxa"/>
            <w:vAlign w:val="bottom"/>
          </w:tcPr>
          <w:p>
            <w:pPr>
              <w:spacing w:after="0"/>
              <w:rPr>
                <w:sz w:val="12"/>
                <w:szCs w:val="12"/>
                <w:color w:val="auto"/>
              </w:rPr>
            </w:pPr>
          </w:p>
        </w:tc>
        <w:tc>
          <w:tcPr>
            <w:tcW w:w="196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2"/>
              </w:rPr>
              <w:t>12 months: 70</w:t>
            </w:r>
          </w:p>
        </w:tc>
        <w:tc>
          <w:tcPr>
            <w:tcW w:w="4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rPr>
                <w:sz w:val="12"/>
                <w:szCs w:val="12"/>
                <w:color w:val="auto"/>
              </w:rPr>
            </w:pPr>
          </w:p>
        </w:tc>
        <w:tc>
          <w:tcPr>
            <w:tcW w:w="25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Cryovein (cryopreserved cadaver vein)</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2002</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45</w:t>
            </w:r>
          </w:p>
        </w:tc>
        <w:tc>
          <w:tcPr>
            <w:tcW w:w="140" w:type="dxa"/>
            <w:vAlign w:val="bottom"/>
            <w:shd w:val="clear" w:color="auto" w:fill="CCEEFF"/>
          </w:tcPr>
          <w:p>
            <w:pPr>
              <w:spacing w:after="0"/>
              <w:rPr>
                <w:sz w:val="12"/>
                <w:szCs w:val="12"/>
                <w:color w:val="auto"/>
              </w:rPr>
            </w:pPr>
          </w:p>
        </w:tc>
        <w:tc>
          <w:tcPr>
            <w:tcW w:w="196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w w:val="92"/>
              </w:rPr>
              <w:t>12 months: 80</w:t>
            </w:r>
          </w:p>
        </w:tc>
        <w:tc>
          <w:tcPr>
            <w:tcW w:w="4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2004</w:t>
            </w:r>
          </w:p>
        </w:tc>
        <w:tc>
          <w:tcPr>
            <w:tcW w:w="1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9"/>
              </w:rPr>
              <w:t>49</w:t>
            </w:r>
          </w:p>
        </w:tc>
        <w:tc>
          <w:tcPr>
            <w:tcW w:w="140" w:type="dxa"/>
            <w:vAlign w:val="bottom"/>
          </w:tcPr>
          <w:p>
            <w:pPr>
              <w:spacing w:after="0"/>
              <w:rPr>
                <w:sz w:val="12"/>
                <w:szCs w:val="12"/>
                <w:color w:val="auto"/>
              </w:rPr>
            </w:pPr>
          </w:p>
        </w:tc>
        <w:tc>
          <w:tcPr>
            <w:tcW w:w="23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w w:val="93"/>
              </w:rPr>
              <w:t>12 months: ~65% Aneurysm rate: 18 %</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rPr>
                <w:sz w:val="12"/>
                <w:szCs w:val="12"/>
                <w:color w:val="auto"/>
              </w:rPr>
            </w:pPr>
          </w:p>
        </w:tc>
        <w:tc>
          <w:tcPr>
            <w:tcW w:w="25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Procol (bovine vein)</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2005</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186</w:t>
            </w:r>
          </w:p>
        </w:tc>
        <w:tc>
          <w:tcPr>
            <w:tcW w:w="14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5"/>
              </w:rPr>
              <w:t>12 months: 66% Aneurysm rate: 3.2 %</w:t>
            </w: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5.3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324"/>
        <w:spacing w:after="0" w:line="277" w:lineRule="auto"/>
        <w:rPr>
          <w:sz w:val="20"/>
          <w:szCs w:val="20"/>
          <w:color w:val="auto"/>
        </w:rPr>
      </w:pPr>
      <w:r>
        <w:rPr>
          <w:rFonts w:ascii="Arial" w:cs="Arial" w:eastAsia="Arial" w:hAnsi="Arial"/>
          <w:sz w:val="17"/>
          <w:szCs w:val="17"/>
          <w:b w:val="1"/>
          <w:bCs w:val="1"/>
          <w:color w:val="auto"/>
        </w:rPr>
        <w:t xml:space="preserve">Overview of HAV Experience in Hemodialysis Access: </w:t>
      </w:r>
      <w:r>
        <w:rPr>
          <w:rFonts w:ascii="Arial" w:cs="Arial" w:eastAsia="Arial" w:hAnsi="Arial"/>
          <w:sz w:val="17"/>
          <w:szCs w:val="17"/>
          <w:color w:val="auto"/>
        </w:rPr>
        <w:t>A table listing our clinical trials of the HAV in hemodialysis access is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below. We have implanted the HAV into approximately 370 total patients for hemodialysis access, for a total of more than 760 patient-years of exposure, as of September 1, 2021. Throughout these trials, we have observed consistent and sustained high primary patency rates, ranging from 95% – 100% at 30 days. Secondary patency of the HAV at 6 months ranges from 84% – 100%. Consistently, we have observed zero instances of clinical rejection of any HAV in any hemodialysis access trial.</w:t>
      </w:r>
    </w:p>
    <w:p>
      <w:pPr>
        <w:spacing w:after="0" w:line="13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Implantation of HAV for Hemodialysis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126365</wp:posOffset>
            </wp:positionV>
            <wp:extent cx="2588895" cy="8140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8889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also observed in multiple clinical trials that our HAVs had a low infection susceptibility during use for hemodialysis, with a rate lower than 1% per patient-year across all studies. The low infection susceptibility we observed in our trials of our HAVs may be a result of the HAV’s potential to become a living tissue as it becomes populated by cells from the patient’s body. Since living tissues are known to have resisted infection due to interactions with host white blood cells and immunological defense systems, it is possible that the repopulated HAV resists infection for the same reasons that native arteries and veins resist infections, as is observed with autogenous fistulas.</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also observed early evidence of potential healing from the cells that repopulate the HAV after needle puncture for hemodialysis. In examining HAV explanted segments we have observed healed needle cannulation tracts with cells expressing smooth muscle markers. This self-healing indicates that the HAV repaired itself while being used as a hemodialysis access, which we believe is a distinct feature not present in synthetic materials, and, to our knowledge, has not been observed before for any other regenerative medicine product.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Current Phase II and Phase III Trials of the HAV in Hemodialysis Access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Clinical Trial</w:t>
            </w:r>
          </w:p>
        </w:tc>
        <w:tc>
          <w:tcPr>
            <w:tcW w:w="13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Indication</w:t>
            </w: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Begin Enrollment</w:t>
            </w: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Design/Phase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Status</w:t>
            </w:r>
          </w:p>
        </w:tc>
        <w:tc>
          <w:tcPr>
            <w:tcW w:w="15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Outcomes**</w:t>
            </w:r>
          </w:p>
        </w:tc>
        <w:tc>
          <w:tcPr>
            <w:tcW w:w="0" w:type="dxa"/>
            <w:vAlign w:val="bottom"/>
          </w:tcPr>
          <w:p>
            <w:pPr>
              <w:spacing w:after="0"/>
              <w:rPr>
                <w:sz w:val="1"/>
                <w:szCs w:val="1"/>
                <w:color w:val="auto"/>
              </w:rPr>
            </w:pPr>
          </w:p>
        </w:tc>
      </w:tr>
      <w:tr>
        <w:trPr>
          <w:trHeight w:val="171"/>
        </w:trPr>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1320" w:type="dxa"/>
            <w:vAlign w:val="bottom"/>
            <w:gridSpan w:val="3"/>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Subjects</w:t>
            </w:r>
          </w:p>
        </w:tc>
        <w:tc>
          <w:tcPr>
            <w:tcW w:w="176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V001</w:t>
            </w:r>
          </w:p>
        </w:tc>
        <w:tc>
          <w:tcPr>
            <w:tcW w:w="14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gridSpan w:val="2"/>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Dialysis Access</w:t>
            </w:r>
          </w:p>
        </w:tc>
        <w:tc>
          <w:tcPr>
            <w:tcW w:w="16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2012</w:t>
            </w:r>
          </w:p>
        </w:tc>
        <w:tc>
          <w:tcPr>
            <w:tcW w:w="14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Phase II Single-arm</w:t>
            </w:r>
          </w:p>
        </w:tc>
        <w:tc>
          <w:tcPr>
            <w:tcW w:w="16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40</w:t>
            </w:r>
          </w:p>
        </w:tc>
        <w:tc>
          <w:tcPr>
            <w:tcW w:w="140" w:type="dxa"/>
            <w:vAlign w:val="bottom"/>
            <w:tcBorders>
              <w:top w:val="single" w:sz="8" w:color="CCEEFF"/>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5"/>
              </w:rPr>
              <w:t>10</w:t>
            </w:r>
            <w:r>
              <w:rPr>
                <w:rFonts w:ascii="MS PGothic" w:cs="MS PGothic" w:eastAsia="MS PGothic" w:hAnsi="MS PGothic"/>
                <w:sz w:val="14"/>
                <w:szCs w:val="14"/>
                <w:color w:val="auto"/>
                <w:w w:val="95"/>
              </w:rPr>
              <w:t>‑</w:t>
            </w:r>
            <w:r>
              <w:rPr>
                <w:rFonts w:ascii="Arial" w:cs="Arial" w:eastAsia="Arial" w:hAnsi="Arial"/>
                <w:sz w:val="14"/>
                <w:szCs w:val="14"/>
                <w:color w:val="auto"/>
                <w:w w:val="95"/>
              </w:rPr>
              <w:t>year follow-up ongoing</w:t>
            </w:r>
          </w:p>
        </w:tc>
        <w:tc>
          <w:tcPr>
            <w:tcW w:w="14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30</w:t>
            </w:r>
            <w:r>
              <w:rPr>
                <w:rFonts w:ascii="MS PGothic" w:cs="MS PGothic" w:eastAsia="MS PGothic" w:hAnsi="MS PGothic"/>
                <w:sz w:val="14"/>
                <w:szCs w:val="14"/>
                <w:color w:val="auto"/>
              </w:rPr>
              <w:t>‑</w:t>
            </w:r>
            <w:r>
              <w:rPr>
                <w:rFonts w:ascii="Arial" w:cs="Arial" w:eastAsia="Arial" w:hAnsi="Arial"/>
                <w:sz w:val="14"/>
                <w:szCs w:val="14"/>
                <w:color w:val="auto"/>
              </w:rPr>
              <w:t>day PP: 95% 6</w:t>
            </w:r>
            <w:r>
              <w:rPr>
                <w:rFonts w:ascii="MS PGothic" w:cs="MS PGothic" w:eastAsia="MS PGothic" w:hAnsi="MS PGothic"/>
                <w:sz w:val="14"/>
                <w:szCs w:val="14"/>
                <w:color w:val="auto"/>
              </w:rPr>
              <w:t>‑</w:t>
            </w:r>
            <w:r>
              <w:rPr>
                <w:rFonts w:ascii="Arial" w:cs="Arial" w:eastAsia="Arial" w:hAnsi="Arial"/>
                <w:sz w:val="14"/>
                <w:szCs w:val="14"/>
                <w:color w:val="auto"/>
              </w:rPr>
              <w:t>month</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 100% 12</w:t>
            </w:r>
            <w:r>
              <w:rPr>
                <w:rFonts w:ascii="MS PGothic" w:cs="MS PGothic" w:eastAsia="MS PGothic" w:hAnsi="MS PGothic"/>
                <w:sz w:val="14"/>
                <w:szCs w:val="14"/>
                <w:color w:val="auto"/>
              </w:rPr>
              <w:t>‑</w:t>
            </w:r>
            <w:r>
              <w:rPr>
                <w:rFonts w:ascii="Arial" w:cs="Arial" w:eastAsia="Arial" w:hAnsi="Arial"/>
                <w:sz w:val="14"/>
                <w:szCs w:val="14"/>
                <w:color w:val="auto"/>
              </w:rPr>
              <w:t>month SP:</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97% Infection Rate/yr: 0%</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Rejections: 0</w:t>
            </w: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Five-year SP: 58%</w:t>
            </w:r>
          </w:p>
        </w:tc>
        <w:tc>
          <w:tcPr>
            <w:tcW w:w="0" w:type="dxa"/>
            <w:vAlign w:val="bottom"/>
          </w:tcPr>
          <w:p>
            <w:pPr>
              <w:spacing w:after="0"/>
              <w:rPr>
                <w:sz w:val="1"/>
                <w:szCs w:val="1"/>
                <w:color w:val="auto"/>
              </w:rPr>
            </w:pPr>
          </w:p>
        </w:tc>
      </w:tr>
      <w:tr>
        <w:trPr>
          <w:trHeight w:val="130"/>
        </w:trPr>
        <w:tc>
          <w:tcPr>
            <w:tcW w:w="134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V003</w:t>
            </w:r>
          </w:p>
        </w:tc>
        <w:tc>
          <w:tcPr>
            <w:tcW w:w="1320" w:type="dxa"/>
            <w:vAlign w:val="bottom"/>
            <w:gridSpan w:val="3"/>
          </w:tcPr>
          <w:p>
            <w:pPr>
              <w:jc w:val="center"/>
              <w:ind w:right="160"/>
              <w:spacing w:after="0" w:line="130" w:lineRule="exact"/>
              <w:rPr>
                <w:sz w:val="20"/>
                <w:szCs w:val="20"/>
                <w:color w:val="auto"/>
              </w:rPr>
            </w:pPr>
            <w:r>
              <w:rPr>
                <w:rFonts w:ascii="Arial" w:cs="Arial" w:eastAsia="Arial" w:hAnsi="Arial"/>
                <w:sz w:val="14"/>
                <w:szCs w:val="14"/>
                <w:color w:val="auto"/>
                <w:w w:val="94"/>
              </w:rPr>
              <w:t>Dialysis Access</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89"/>
              </w:rPr>
              <w:t>2013</w:t>
            </w:r>
          </w:p>
        </w:tc>
        <w:tc>
          <w:tcPr>
            <w:tcW w:w="140" w:type="dxa"/>
            <w:vAlign w:val="bottom"/>
          </w:tcPr>
          <w:p>
            <w:pPr>
              <w:spacing w:after="0"/>
              <w:rPr>
                <w:sz w:val="11"/>
                <w:szCs w:val="11"/>
                <w:color w:val="auto"/>
              </w:rPr>
            </w:pPr>
          </w:p>
        </w:tc>
        <w:tc>
          <w:tcPr>
            <w:tcW w:w="132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2"/>
              </w:rPr>
              <w:t>Phase II Single-arm</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89"/>
              </w:rPr>
              <w:t>20</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6"/>
              </w:rPr>
              <w:t>Complete 2</w:t>
            </w:r>
            <w:r>
              <w:rPr>
                <w:rFonts w:ascii="MS PGothic" w:cs="MS PGothic" w:eastAsia="MS PGothic" w:hAnsi="MS PGothic"/>
                <w:sz w:val="14"/>
                <w:szCs w:val="14"/>
                <w:color w:val="auto"/>
                <w:w w:val="96"/>
              </w:rPr>
              <w:t>‑</w:t>
            </w:r>
            <w:r>
              <w:rPr>
                <w:rFonts w:ascii="Arial" w:cs="Arial" w:eastAsia="Arial" w:hAnsi="Arial"/>
                <w:sz w:val="14"/>
                <w:szCs w:val="14"/>
                <w:color w:val="auto"/>
                <w:w w:val="96"/>
              </w:rPr>
              <w:t>year follow-up</w:t>
            </w:r>
          </w:p>
        </w:tc>
        <w:tc>
          <w:tcPr>
            <w:tcW w:w="1580" w:type="dxa"/>
            <w:vAlign w:val="bottom"/>
          </w:tcPr>
          <w:p>
            <w:pPr>
              <w:spacing w:after="0" w:line="130" w:lineRule="exact"/>
              <w:rPr>
                <w:sz w:val="20"/>
                <w:szCs w:val="20"/>
                <w:color w:val="auto"/>
              </w:rPr>
            </w:pPr>
            <w:r>
              <w:rPr>
                <w:rFonts w:ascii="Arial" w:cs="Arial" w:eastAsia="Arial" w:hAnsi="Arial"/>
                <w:sz w:val="14"/>
                <w:szCs w:val="14"/>
                <w:color w:val="auto"/>
              </w:rPr>
              <w:t>30</w:t>
            </w:r>
            <w:r>
              <w:rPr>
                <w:rFonts w:ascii="MS PGothic" w:cs="MS PGothic" w:eastAsia="MS PGothic" w:hAnsi="MS PGothic"/>
                <w:sz w:val="14"/>
                <w:szCs w:val="14"/>
                <w:color w:val="auto"/>
              </w:rPr>
              <w:t>‑</w:t>
            </w:r>
            <w:r>
              <w:rPr>
                <w:rFonts w:ascii="Arial" w:cs="Arial" w:eastAsia="Arial" w:hAnsi="Arial"/>
                <w:sz w:val="14"/>
                <w:szCs w:val="14"/>
                <w:color w:val="auto"/>
              </w:rPr>
              <w:t>day PP: 95% 6</w:t>
            </w:r>
            <w:r>
              <w:rPr>
                <w:rFonts w:ascii="MS PGothic" w:cs="MS PGothic" w:eastAsia="MS PGothic" w:hAnsi="MS PGothic"/>
                <w:sz w:val="14"/>
                <w:szCs w:val="14"/>
                <w:color w:val="auto"/>
              </w:rPr>
              <w:t>‑</w:t>
            </w:r>
            <w:r>
              <w:rPr>
                <w:rFonts w:ascii="Arial" w:cs="Arial" w:eastAsia="Arial" w:hAnsi="Arial"/>
                <w:sz w:val="14"/>
                <w:szCs w:val="14"/>
                <w:color w:val="auto"/>
              </w:rPr>
              <w:t>month</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SP: 89% 12</w:t>
            </w:r>
            <w:r>
              <w:rPr>
                <w:rFonts w:ascii="MS PGothic" w:cs="MS PGothic" w:eastAsia="MS PGothic" w:hAnsi="MS PGothic"/>
                <w:sz w:val="14"/>
                <w:szCs w:val="14"/>
                <w:color w:val="auto"/>
              </w:rPr>
              <w:t>‑</w:t>
            </w:r>
            <w:r>
              <w:rPr>
                <w:rFonts w:ascii="Arial" w:cs="Arial" w:eastAsia="Arial" w:hAnsi="Arial"/>
                <w:sz w:val="14"/>
                <w:szCs w:val="14"/>
                <w:color w:val="auto"/>
              </w:rPr>
              <w:t>month SP:</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w w:val="96"/>
              </w:rPr>
              <w:t>81% Infection Rate/yr: 4%</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(1 event) Number of</w:t>
            </w:r>
          </w:p>
        </w:tc>
        <w:tc>
          <w:tcPr>
            <w:tcW w:w="0" w:type="dxa"/>
            <w:vAlign w:val="bottom"/>
          </w:tcPr>
          <w:p>
            <w:pPr>
              <w:spacing w:after="0"/>
              <w:rPr>
                <w:sz w:val="1"/>
                <w:szCs w:val="1"/>
                <w:color w:val="auto"/>
              </w:rPr>
            </w:pPr>
          </w:p>
        </w:tc>
      </w:tr>
      <w:tr>
        <w:trPr>
          <w:trHeight w:val="167"/>
        </w:trPr>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Rejections: 0</w:t>
            </w:r>
          </w:p>
        </w:tc>
        <w:tc>
          <w:tcPr>
            <w:tcW w:w="0" w:type="dxa"/>
            <w:vAlign w:val="bottom"/>
          </w:tcPr>
          <w:p>
            <w:pPr>
              <w:spacing w:after="0"/>
              <w:rPr>
                <w:sz w:val="1"/>
                <w:szCs w:val="1"/>
                <w:color w:val="auto"/>
              </w:rPr>
            </w:pPr>
          </w:p>
        </w:tc>
      </w:tr>
      <w:tr>
        <w:trPr>
          <w:trHeight w:val="130"/>
        </w:trPr>
        <w:tc>
          <w:tcPr>
            <w:tcW w:w="13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7"/>
              </w:rPr>
              <w:t>V006</w:t>
            </w:r>
          </w:p>
        </w:tc>
        <w:tc>
          <w:tcPr>
            <w:tcW w:w="1320" w:type="dxa"/>
            <w:vAlign w:val="bottom"/>
            <w:gridSpan w:val="3"/>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4"/>
              </w:rPr>
              <w:t>Dialysis Access</w:t>
            </w:r>
          </w:p>
        </w:tc>
        <w:tc>
          <w:tcPr>
            <w:tcW w:w="11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2016</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4"/>
              </w:rPr>
              <w:t>Phase III</w:t>
            </w:r>
          </w:p>
        </w:tc>
        <w:tc>
          <w:tcPr>
            <w:tcW w:w="130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4"/>
              </w:rPr>
              <w:t>355 total; 177</w:t>
            </w:r>
          </w:p>
        </w:tc>
        <w:tc>
          <w:tcPr>
            <w:tcW w:w="17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6"/>
              </w:rPr>
              <w:t>5</w:t>
            </w:r>
            <w:r>
              <w:rPr>
                <w:rFonts w:ascii="MS PGothic" w:cs="MS PGothic" w:eastAsia="MS PGothic" w:hAnsi="MS PGothic"/>
                <w:sz w:val="14"/>
                <w:szCs w:val="14"/>
                <w:color w:val="auto"/>
                <w:w w:val="96"/>
              </w:rPr>
              <w:t>‑</w:t>
            </w:r>
            <w:r>
              <w:rPr>
                <w:rFonts w:ascii="Arial" w:cs="Arial" w:eastAsia="Arial" w:hAnsi="Arial"/>
                <w:sz w:val="14"/>
                <w:szCs w:val="14"/>
                <w:color w:val="auto"/>
                <w:w w:val="96"/>
              </w:rPr>
              <w:t>year follow-up ongoing</w:t>
            </w:r>
          </w:p>
        </w:tc>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30</w:t>
            </w:r>
            <w:r>
              <w:rPr>
                <w:rFonts w:ascii="MS PGothic" w:cs="MS PGothic" w:eastAsia="MS PGothic" w:hAnsi="MS PGothic"/>
                <w:sz w:val="14"/>
                <w:szCs w:val="14"/>
                <w:color w:val="auto"/>
              </w:rPr>
              <w:t>‑</w:t>
            </w:r>
            <w:r>
              <w:rPr>
                <w:rFonts w:ascii="Arial" w:cs="Arial" w:eastAsia="Arial" w:hAnsi="Arial"/>
                <w:sz w:val="14"/>
                <w:szCs w:val="14"/>
                <w:color w:val="auto"/>
              </w:rPr>
              <w:t>day PP HAV: 93%</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Prospective</w:t>
            </w:r>
          </w:p>
        </w:tc>
        <w:tc>
          <w:tcPr>
            <w:tcW w:w="13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received HAV 178</w:t>
            </w: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w:t>
            </w:r>
            <w:r>
              <w:rPr>
                <w:rFonts w:ascii="MS PGothic" w:cs="MS PGothic" w:eastAsia="MS PGothic" w:hAnsi="MS PGothic"/>
                <w:sz w:val="14"/>
                <w:szCs w:val="14"/>
                <w:color w:val="auto"/>
              </w:rPr>
              <w:t>‑</w:t>
            </w:r>
            <w:r>
              <w:rPr>
                <w:rFonts w:ascii="Arial" w:cs="Arial" w:eastAsia="Arial" w:hAnsi="Arial"/>
                <w:sz w:val="14"/>
                <w:szCs w:val="14"/>
                <w:color w:val="auto"/>
              </w:rPr>
              <w:t>month SP HAV: 82%</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Randomized</w:t>
            </w:r>
          </w:p>
        </w:tc>
        <w:tc>
          <w:tcPr>
            <w:tcW w:w="13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received ePTFE</w:t>
            </w: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24</w:t>
            </w:r>
            <w:r>
              <w:rPr>
                <w:rFonts w:ascii="MS PGothic" w:cs="MS PGothic" w:eastAsia="MS PGothic" w:hAnsi="MS PGothic"/>
                <w:sz w:val="14"/>
                <w:szCs w:val="14"/>
                <w:color w:val="auto"/>
              </w:rPr>
              <w:t>‑</w:t>
            </w:r>
            <w:r>
              <w:rPr>
                <w:rFonts w:ascii="Arial" w:cs="Arial" w:eastAsia="Arial" w:hAnsi="Arial"/>
                <w:sz w:val="14"/>
                <w:szCs w:val="14"/>
                <w:color w:val="auto"/>
              </w:rPr>
              <w:t>month SP HAV: 67%</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8"/>
              </w:rPr>
              <w:t>Blinded</w:t>
            </w: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12</w:t>
            </w:r>
            <w:r>
              <w:rPr>
                <w:rFonts w:ascii="MS PGothic" w:cs="MS PGothic" w:eastAsia="MS PGothic" w:hAnsi="MS PGothic"/>
                <w:sz w:val="14"/>
                <w:szCs w:val="14"/>
                <w:color w:val="auto"/>
                <w:w w:val="94"/>
              </w:rPr>
              <w:t>‑</w:t>
            </w:r>
            <w:r>
              <w:rPr>
                <w:rFonts w:ascii="Arial" w:cs="Arial" w:eastAsia="Arial" w:hAnsi="Arial"/>
                <w:sz w:val="14"/>
                <w:szCs w:val="14"/>
                <w:color w:val="auto"/>
                <w:w w:val="94"/>
              </w:rPr>
              <w:t>month SP ePTFE: 80%</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24</w:t>
            </w:r>
            <w:r>
              <w:rPr>
                <w:rFonts w:ascii="MS PGothic" w:cs="MS PGothic" w:eastAsia="MS PGothic" w:hAnsi="MS PGothic"/>
                <w:sz w:val="14"/>
                <w:szCs w:val="14"/>
                <w:color w:val="auto"/>
                <w:w w:val="94"/>
              </w:rPr>
              <w:t>‑</w:t>
            </w:r>
            <w:r>
              <w:rPr>
                <w:rFonts w:ascii="Arial" w:cs="Arial" w:eastAsia="Arial" w:hAnsi="Arial"/>
                <w:sz w:val="14"/>
                <w:szCs w:val="14"/>
                <w:color w:val="auto"/>
                <w:w w:val="94"/>
              </w:rPr>
              <w:t>month SP ePTFE: 74%</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Infection Rate HAV/yr:</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0.93% Infection Rate</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ePTFE/yr: 4.5% Number</w:t>
            </w: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of HAV Rejections: 0</w:t>
            </w:r>
          </w:p>
        </w:tc>
        <w:tc>
          <w:tcPr>
            <w:tcW w:w="0" w:type="dxa"/>
            <w:vAlign w:val="bottom"/>
          </w:tcPr>
          <w:p>
            <w:pPr>
              <w:spacing w:after="0"/>
              <w:rPr>
                <w:sz w:val="1"/>
                <w:szCs w:val="1"/>
                <w:color w:val="auto"/>
              </w:rPr>
            </w:pPr>
          </w:p>
        </w:tc>
      </w:tr>
      <w:tr>
        <w:trPr>
          <w:trHeight w:val="130"/>
        </w:trPr>
        <w:tc>
          <w:tcPr>
            <w:tcW w:w="134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V007</w:t>
            </w:r>
          </w:p>
        </w:tc>
        <w:tc>
          <w:tcPr>
            <w:tcW w:w="1320" w:type="dxa"/>
            <w:vAlign w:val="bottom"/>
            <w:gridSpan w:val="3"/>
          </w:tcPr>
          <w:p>
            <w:pPr>
              <w:jc w:val="center"/>
              <w:ind w:right="160"/>
              <w:spacing w:after="0" w:line="130" w:lineRule="exact"/>
              <w:rPr>
                <w:sz w:val="20"/>
                <w:szCs w:val="20"/>
                <w:color w:val="auto"/>
              </w:rPr>
            </w:pPr>
            <w:r>
              <w:rPr>
                <w:rFonts w:ascii="Arial" w:cs="Arial" w:eastAsia="Arial" w:hAnsi="Arial"/>
                <w:sz w:val="14"/>
                <w:szCs w:val="14"/>
                <w:color w:val="auto"/>
                <w:w w:val="94"/>
              </w:rPr>
              <w:t>Dialysis Access</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89"/>
              </w:rPr>
              <w:t>2017</w:t>
            </w:r>
          </w:p>
        </w:tc>
        <w:tc>
          <w:tcPr>
            <w:tcW w:w="140" w:type="dxa"/>
            <w:vAlign w:val="bottom"/>
          </w:tcPr>
          <w:p>
            <w:pPr>
              <w:spacing w:after="0"/>
              <w:rPr>
                <w:sz w:val="11"/>
                <w:szCs w:val="11"/>
                <w:color w:val="auto"/>
              </w:rPr>
            </w:pPr>
          </w:p>
        </w:tc>
        <w:tc>
          <w:tcPr>
            <w:tcW w:w="13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4"/>
              </w:rPr>
              <w:t>Phase III</w:t>
            </w:r>
          </w:p>
        </w:tc>
        <w:tc>
          <w:tcPr>
            <w:tcW w:w="130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Target 240 total;</w:t>
            </w:r>
          </w:p>
        </w:tc>
        <w:tc>
          <w:tcPr>
            <w:tcW w:w="17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9"/>
              </w:rPr>
              <w:t>Enrolling</w:t>
            </w:r>
          </w:p>
        </w:tc>
        <w:tc>
          <w:tcPr>
            <w:tcW w:w="1580" w:type="dxa"/>
            <w:vAlign w:val="bottom"/>
          </w:tcPr>
          <w:p>
            <w:pPr>
              <w:spacing w:after="0" w:line="130" w:lineRule="exact"/>
              <w:rPr>
                <w:sz w:val="20"/>
                <w:szCs w:val="20"/>
                <w:color w:val="auto"/>
              </w:rPr>
            </w:pPr>
            <w:r>
              <w:rPr>
                <w:rFonts w:ascii="Arial" w:cs="Arial" w:eastAsia="Arial" w:hAnsi="Arial"/>
                <w:sz w:val="14"/>
                <w:szCs w:val="14"/>
                <w:color w:val="auto"/>
              </w:rPr>
              <w:t>Trial is currently enrolling</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Prospective</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200 enrolled (as of</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Randomized</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September 1, 2021)</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Blinded</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7"/>
              </w:rPr>
              <w:t>V011</w:t>
            </w:r>
          </w:p>
        </w:tc>
        <w:tc>
          <w:tcPr>
            <w:tcW w:w="1320" w:type="dxa"/>
            <w:vAlign w:val="bottom"/>
            <w:gridSpan w:val="3"/>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4"/>
              </w:rPr>
              <w:t>Dialysis Access</w:t>
            </w:r>
          </w:p>
        </w:tc>
        <w:tc>
          <w:tcPr>
            <w:tcW w:w="11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2019</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89"/>
              </w:rPr>
              <w:t>Phase II</w:t>
            </w:r>
          </w:p>
        </w:tc>
        <w:tc>
          <w:tcPr>
            <w:tcW w:w="11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30</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6"/>
              </w:rPr>
              <w:t>3</w:t>
            </w:r>
            <w:r>
              <w:rPr>
                <w:rFonts w:ascii="MS PGothic" w:cs="MS PGothic" w:eastAsia="MS PGothic" w:hAnsi="MS PGothic"/>
                <w:sz w:val="14"/>
                <w:szCs w:val="14"/>
                <w:color w:val="auto"/>
                <w:w w:val="96"/>
              </w:rPr>
              <w:t>‑</w:t>
            </w:r>
            <w:r>
              <w:rPr>
                <w:rFonts w:ascii="Arial" w:cs="Arial" w:eastAsia="Arial" w:hAnsi="Arial"/>
                <w:sz w:val="14"/>
                <w:szCs w:val="14"/>
                <w:color w:val="auto"/>
                <w:w w:val="96"/>
              </w:rPr>
              <w:t>year follow-up ongoing</w:t>
            </w:r>
          </w:p>
        </w:tc>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30</w:t>
            </w:r>
            <w:r>
              <w:rPr>
                <w:rFonts w:ascii="MS PGothic" w:cs="MS PGothic" w:eastAsia="MS PGothic" w:hAnsi="MS PGothic"/>
                <w:sz w:val="14"/>
                <w:szCs w:val="14"/>
                <w:color w:val="auto"/>
              </w:rPr>
              <w:t>‑</w:t>
            </w:r>
            <w:r>
              <w:rPr>
                <w:rFonts w:ascii="Arial" w:cs="Arial" w:eastAsia="Arial" w:hAnsi="Arial"/>
                <w:sz w:val="14"/>
                <w:szCs w:val="14"/>
                <w:color w:val="auto"/>
              </w:rPr>
              <w:t>day PP: 97% 30</w:t>
            </w:r>
            <w:r>
              <w:rPr>
                <w:rFonts w:ascii="MS PGothic" w:cs="MS PGothic" w:eastAsia="MS PGothic" w:hAnsi="MS PGothic"/>
                <w:sz w:val="14"/>
                <w:szCs w:val="14"/>
                <w:color w:val="auto"/>
              </w:rPr>
              <w:t>‑</w:t>
            </w:r>
            <w:r>
              <w:rPr>
                <w:rFonts w:ascii="Arial" w:cs="Arial" w:eastAsia="Arial" w:hAnsi="Arial"/>
                <w:sz w:val="14"/>
                <w:szCs w:val="14"/>
                <w:color w:val="auto"/>
              </w:rPr>
              <w:t>day</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rPr>
              <w:t>(LUNA200</w:t>
            </w: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 100% Infection</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4"/>
              </w:rPr>
              <w:t>manufacturing</w:t>
            </w: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Rate/yr: 0% Number of</w:t>
            </w: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9"/>
              </w:rPr>
              <w:t>system)</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HAV Rejections: 0</w:t>
            </w:r>
          </w:p>
        </w:tc>
        <w:tc>
          <w:tcPr>
            <w:tcW w:w="0" w:type="dxa"/>
            <w:vAlign w:val="bottom"/>
          </w:tcPr>
          <w:p>
            <w:pPr>
              <w:spacing w:after="0"/>
              <w:rPr>
                <w:sz w:val="1"/>
                <w:szCs w:val="1"/>
                <w:color w:val="auto"/>
              </w:rPr>
            </w:pPr>
          </w:p>
        </w:tc>
      </w:tr>
      <w:tr>
        <w:trPr>
          <w:trHeight w:val="115"/>
        </w:trPr>
        <w:tc>
          <w:tcPr>
            <w:tcW w:w="1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36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PP: Primary Patency, which is the interval of time of access placement until any intervention designed to maintain or reestablish patency, access thrombosis, or the time of measurement of patency, i.e. patent without interventions.</w:t>
      </w:r>
    </w:p>
    <w:p>
      <w:pPr>
        <w:spacing w:after="0" w:line="129" w:lineRule="exact"/>
        <w:rPr>
          <w:rFonts w:ascii="Arial" w:cs="Arial" w:eastAsia="Arial" w:hAnsi="Arial"/>
          <w:sz w:val="18"/>
          <w:szCs w:val="18"/>
          <w:color w:val="auto"/>
        </w:rPr>
      </w:pPr>
    </w:p>
    <w:p>
      <w:pPr>
        <w:ind w:left="340" w:right="540"/>
        <w:spacing w:after="0" w:line="277" w:lineRule="auto"/>
        <w:rPr>
          <w:rFonts w:ascii="Arial" w:cs="Arial" w:eastAsia="Arial" w:hAnsi="Arial"/>
          <w:sz w:val="18"/>
          <w:szCs w:val="18"/>
          <w:color w:val="auto"/>
        </w:rPr>
      </w:pPr>
      <w:r>
        <w:rPr>
          <w:rFonts w:ascii="Arial" w:cs="Arial" w:eastAsia="Arial" w:hAnsi="Arial"/>
          <w:sz w:val="18"/>
          <w:szCs w:val="18"/>
          <w:color w:val="auto"/>
        </w:rPr>
        <w:t>SP: Secondary Patency, which is the interval from the time of access placement until abandonment, i.e. patent with or without interventions.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Data from Early Phase II Trials in Hemodialysis: V001 and V003</w:t>
      </w:r>
    </w:p>
    <w:p>
      <w:pPr>
        <w:spacing w:after="0" w:line="19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color w:val="auto"/>
        </w:rPr>
        <w:t xml:space="preserve">Phase II Trial Design and Current Outcomes: </w:t>
      </w:r>
      <w:r>
        <w:rPr>
          <w:rFonts w:ascii="Arial" w:cs="Arial" w:eastAsia="Arial" w:hAnsi="Arial"/>
          <w:sz w:val="17"/>
          <w:szCs w:val="17"/>
          <w:color w:val="auto"/>
        </w:rPr>
        <w:t>We have completed or are in long-term follow-up on two open-label Phase II trials</w:t>
      </w:r>
      <w:r>
        <w:rPr>
          <w:rFonts w:ascii="Arial" w:cs="Arial" w:eastAsia="Arial" w:hAnsi="Arial"/>
          <w:sz w:val="17"/>
          <w:szCs w:val="17"/>
          <w:b w:val="1"/>
          <w:bCs w:val="1"/>
          <w:color w:val="auto"/>
        </w:rPr>
        <w:t xml:space="preserve"> </w:t>
      </w:r>
      <w:r>
        <w:rPr>
          <w:rFonts w:ascii="Arial" w:cs="Arial" w:eastAsia="Arial" w:hAnsi="Arial"/>
          <w:sz w:val="17"/>
          <w:szCs w:val="17"/>
          <w:color w:val="auto"/>
        </w:rPr>
        <w:t>in 60 hemodialysis patients in the United States and Poland from December 2012 through May 2014, which we refer to as our V003 trial and V001 trial, respectively. Both the V001 and V003 studies were designed as single-arm trials to assess the safety and efficacy of the HAV for hemodialysis access, with assessments of patency at 6, 12, 18 and 24 months. In the 60 patients enrolled in these two studies, blood flow through all HAVs was appropriate for hemodialysis, averaging over 1,200 mL/minute. Secondary patency for the two combined trials was 97% at six months, 89% at 12-months, and 81% at 18-months. These results compare favorably to published reports of secondary patency for fistula of 51% – 61% at six months and 75% at 12 months. Long-term results from the V001 trial showing five-year secondary patency of 58% were presented at Charing Cross (CX) International Symposium on April 20, 2021, and patients from the V001 trial are currently in a 10-year follow-up period.</w:t>
      </w:r>
    </w:p>
    <w:p>
      <w:pPr>
        <w:spacing w:after="0" w:line="137" w:lineRule="exact"/>
        <w:rPr>
          <w:sz w:val="20"/>
          <w:szCs w:val="20"/>
          <w:color w:val="auto"/>
        </w:rPr>
      </w:pPr>
    </w:p>
    <w:p>
      <w:pPr>
        <w:ind w:left="2420"/>
        <w:spacing w:after="0"/>
        <w:rPr>
          <w:sz w:val="20"/>
          <w:szCs w:val="20"/>
          <w:color w:val="auto"/>
        </w:rPr>
      </w:pPr>
      <w:r>
        <w:rPr>
          <w:rFonts w:ascii="Arial" w:cs="Arial" w:eastAsia="Arial" w:hAnsi="Arial"/>
          <w:sz w:val="18"/>
          <w:szCs w:val="18"/>
          <w:i w:val="1"/>
          <w:iCs w:val="1"/>
          <w:color w:val="auto"/>
        </w:rPr>
        <w:t>Images and long-term results from Phase 2 V001 trial of HAV in AV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126365</wp:posOffset>
            </wp:positionV>
            <wp:extent cx="3360420" cy="11912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042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HAV Secondary Patency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128905</wp:posOffset>
            </wp:positionV>
            <wp:extent cx="2125980" cy="1945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2598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Phase III V006 AV Access Study</w:t>
      </w:r>
    </w:p>
    <w:p>
      <w:pPr>
        <w:spacing w:after="0" w:line="194" w:lineRule="exact"/>
        <w:rPr>
          <w:sz w:val="20"/>
          <w:szCs w:val="20"/>
          <w:color w:val="auto"/>
        </w:rPr>
      </w:pPr>
    </w:p>
    <w:p>
      <w:pPr>
        <w:jc w:val="both"/>
        <w:ind w:right="560" w:firstLine="324"/>
        <w:spacing w:after="0" w:line="289" w:lineRule="auto"/>
        <w:rPr>
          <w:sz w:val="20"/>
          <w:szCs w:val="20"/>
          <w:color w:val="auto"/>
        </w:rPr>
      </w:pPr>
      <w:r>
        <w:rPr>
          <w:rFonts w:ascii="Arial" w:cs="Arial" w:eastAsia="Arial" w:hAnsi="Arial"/>
          <w:sz w:val="16"/>
          <w:szCs w:val="16"/>
          <w:b w:val="1"/>
          <w:bCs w:val="1"/>
          <w:color w:val="auto"/>
        </w:rPr>
        <w:t xml:space="preserve">Trial Design: </w:t>
      </w:r>
      <w:r>
        <w:rPr>
          <w:rFonts w:ascii="Arial" w:cs="Arial" w:eastAsia="Arial" w:hAnsi="Arial"/>
          <w:sz w:val="16"/>
          <w:szCs w:val="16"/>
          <w:color w:val="auto"/>
        </w:rPr>
        <w:t>Our V006 HUMANITY study is a prospective, multi-center, multinational, open-label, randomized, two-arm,</w:t>
      </w:r>
      <w:r>
        <w:rPr>
          <w:rFonts w:ascii="Arial" w:cs="Arial" w:eastAsia="Arial" w:hAnsi="Arial"/>
          <w:sz w:val="16"/>
          <w:szCs w:val="16"/>
          <w:b w:val="1"/>
          <w:bCs w:val="1"/>
          <w:color w:val="auto"/>
        </w:rPr>
        <w:t xml:space="preserve"> </w:t>
      </w:r>
      <w:r>
        <w:rPr>
          <w:rFonts w:ascii="Arial" w:cs="Arial" w:eastAsia="Arial" w:hAnsi="Arial"/>
          <w:sz w:val="16"/>
          <w:szCs w:val="16"/>
          <w:color w:val="auto"/>
        </w:rPr>
        <w:t>comparative study. Eligible study subjects were randomized to receive either a HAV or a commercially available ePTFE graft and followed to 24 months post-implantation by routine study visits. After 24 months, subjects with a patent conduit are followed to</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five years post-implantation using a questionnaire at six-month intervals to ascertain patient and conduit status. The primary endpoint for the V006 HUMANITY trial was a non-inferiority analysis of secondary patency compared to ePTFE, to be assessed when all subjects are at least 18 months post-implantation. There were a total of 37 sites that participated in the study, enrolling a combined total of 355 subjects.</w:t>
      </w:r>
    </w:p>
    <w:p>
      <w:pPr>
        <w:spacing w:after="0" w:line="148" w:lineRule="exact"/>
        <w:rPr>
          <w:sz w:val="20"/>
          <w:szCs w:val="20"/>
          <w:color w:val="auto"/>
        </w:rPr>
      </w:pPr>
    </w:p>
    <w:p>
      <w:pPr>
        <w:ind w:right="340" w:firstLine="324"/>
        <w:spacing w:after="0" w:line="312" w:lineRule="auto"/>
        <w:rPr>
          <w:sz w:val="20"/>
          <w:szCs w:val="20"/>
          <w:color w:val="auto"/>
        </w:rPr>
      </w:pPr>
      <w:r>
        <w:rPr>
          <w:rFonts w:ascii="Arial" w:cs="Arial" w:eastAsia="Arial" w:hAnsi="Arial"/>
          <w:sz w:val="17"/>
          <w:szCs w:val="17"/>
          <w:b w:val="1"/>
          <w:bCs w:val="1"/>
          <w:color w:val="auto"/>
        </w:rPr>
        <w:t xml:space="preserve">24-Month Results: </w:t>
      </w:r>
      <w:r>
        <w:rPr>
          <w:rFonts w:ascii="Arial" w:cs="Arial" w:eastAsia="Arial" w:hAnsi="Arial"/>
          <w:sz w:val="17"/>
          <w:szCs w:val="17"/>
          <w:color w:val="auto"/>
        </w:rPr>
        <w:t>The V006 study enrolled 355 subjects who were roughly equally matched in terms of demographics and co-morbidities. HAV subjects trended older (p=0.06) and had more prior strokes (p=0.02) than did ePTFE subjects.</w:t>
      </w:r>
    </w:p>
    <w:p>
      <w:pPr>
        <w:spacing w:after="0" w:line="103" w:lineRule="exact"/>
        <w:rPr>
          <w:sz w:val="20"/>
          <w:szCs w:val="20"/>
          <w:color w:val="auto"/>
        </w:rPr>
      </w:pPr>
    </w:p>
    <w:p>
      <w:pPr>
        <w:ind w:left="3160"/>
        <w:spacing w:after="0"/>
        <w:rPr>
          <w:sz w:val="20"/>
          <w:szCs w:val="20"/>
          <w:color w:val="auto"/>
        </w:rPr>
      </w:pPr>
      <w:r>
        <w:rPr>
          <w:rFonts w:ascii="Arial" w:cs="Arial" w:eastAsia="Arial" w:hAnsi="Arial"/>
          <w:sz w:val="18"/>
          <w:szCs w:val="18"/>
          <w:i w:val="1"/>
          <w:iCs w:val="1"/>
          <w:color w:val="auto"/>
        </w:rPr>
        <w:t>Phase 3 V006 HUMANITY trial subject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126365</wp:posOffset>
            </wp:positionV>
            <wp:extent cx="3051810" cy="258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5181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secondary patency of the HAV was greater than that of ePTFE at six and 12 months but lower at 18 and 24 months, an outcome that had not been modelled in the V006 trial design. As per the pre-specified Cox Proportional Hazards test, the HAV did not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achieve its primary efficacy endpoint regarding secondary patency. In terms of safety, the HAV had a statistically significant lower rate of conduit infections compared to ePTFE. Substantial differences in antibiotic use and need for hospitalization for infection were also noted in the V006 trial, all favoring the HAV. The safety advantage of the HAV over ePTFE may be clinically important as infection and sepsis are the second most common cause of death in dialysis patients.</w:t>
      </w:r>
    </w:p>
    <w:p>
      <w:pPr>
        <w:spacing w:after="0" w:line="160"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Phase 3 V006 HUMANITY trial secondary patency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126365</wp:posOffset>
            </wp:positionV>
            <wp:extent cx="3926205" cy="15005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92620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Phase 3 V006 HUMANITY trial rates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126365</wp:posOffset>
            </wp:positionV>
            <wp:extent cx="4217670" cy="18688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1767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reported SAEs related to the HAV and ePTFE in the V006 trial, in this patient population, which typically has a high prevalence of existing medical conditions, are detailed in the table below.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SAEs Reported in V006 Phase III Clinical Study in AV Access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Description of SAE</w:t>
            </w:r>
          </w:p>
        </w:tc>
        <w:tc>
          <w:tcPr>
            <w:tcW w:w="25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Number of SAEs (% of total subjects)</w:t>
            </w:r>
          </w:p>
        </w:tc>
      </w:tr>
      <w:tr>
        <w:trPr>
          <w:trHeight w:val="142"/>
        </w:trPr>
        <w:tc>
          <w:tcPr>
            <w:tcW w:w="52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HAV</w:t>
            </w:r>
          </w:p>
        </w:tc>
        <w:tc>
          <w:tcPr>
            <w:tcW w:w="10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ePTFE</w:t>
            </w:r>
          </w:p>
        </w:tc>
        <w:tc>
          <w:tcPr>
            <w:tcW w:w="180" w:type="dxa"/>
            <w:vAlign w:val="bottom"/>
          </w:tcPr>
          <w:p>
            <w:pPr>
              <w:spacing w:after="0"/>
              <w:rPr>
                <w:sz w:val="12"/>
                <w:szCs w:val="12"/>
                <w:color w:val="auto"/>
              </w:rPr>
            </w:pPr>
          </w:p>
        </w:tc>
      </w:tr>
      <w:tr>
        <w:trPr>
          <w:trHeight w:val="209"/>
        </w:trPr>
        <w:tc>
          <w:tcPr>
            <w:tcW w:w="5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Number of subjects in V006 study</w:t>
            </w: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General disorders and administration conditions: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Implant site extravasation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Infections and infestations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Vascular access site infection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Injury, poisoning and procedural complications: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Anastomotic stenosis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5380" w:type="dxa"/>
            <w:vAlign w:val="bottom"/>
            <w:gridSpan w:val="2"/>
          </w:tcPr>
          <w:p>
            <w:pPr>
              <w:ind w:left="140"/>
              <w:spacing w:after="0"/>
              <w:rPr>
                <w:sz w:val="20"/>
                <w:szCs w:val="20"/>
                <w:color w:val="auto"/>
              </w:rPr>
            </w:pPr>
            <w:r>
              <w:rPr>
                <w:rFonts w:ascii="Arial" w:cs="Arial" w:eastAsia="Arial" w:hAnsi="Arial"/>
                <w:sz w:val="18"/>
                <w:szCs w:val="18"/>
                <w:color w:val="auto"/>
              </w:rPr>
              <w:t>Vascular access site hematomas</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6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Vascular access site hemorrhage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5380" w:type="dxa"/>
            <w:vAlign w:val="bottom"/>
            <w:gridSpan w:val="2"/>
          </w:tcPr>
          <w:p>
            <w:pPr>
              <w:ind w:left="140"/>
              <w:spacing w:after="0"/>
              <w:rPr>
                <w:sz w:val="20"/>
                <w:szCs w:val="20"/>
                <w:color w:val="auto"/>
              </w:rPr>
            </w:pPr>
            <w:r>
              <w:rPr>
                <w:rFonts w:ascii="Arial" w:cs="Arial" w:eastAsia="Arial" w:hAnsi="Arial"/>
                <w:sz w:val="18"/>
                <w:szCs w:val="18"/>
                <w:color w:val="auto"/>
              </w:rPr>
              <w:t>Vascular access site pain</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Vascular access site pseudoaneurysm</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5380" w:type="dxa"/>
            <w:vAlign w:val="bottom"/>
            <w:gridSpan w:val="2"/>
          </w:tcPr>
          <w:p>
            <w:pPr>
              <w:ind w:left="140"/>
              <w:spacing w:after="0"/>
              <w:rPr>
                <w:sz w:val="20"/>
                <w:szCs w:val="20"/>
                <w:color w:val="auto"/>
              </w:rPr>
            </w:pPr>
            <w:r>
              <w:rPr>
                <w:rFonts w:ascii="Arial" w:cs="Arial" w:eastAsia="Arial" w:hAnsi="Arial"/>
                <w:sz w:val="18"/>
                <w:szCs w:val="18"/>
                <w:color w:val="auto"/>
              </w:rPr>
              <w:t>Vascular access site rupture</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Vascular access site thrombosis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(23.2)%</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(15.7)%</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Skin and subcutaneous tissue disorders: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Skin necrosis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Vascular disorders: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Steal syndrome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380" w:type="dxa"/>
            <w:vAlign w:val="bottom"/>
            <w:gridSpan w:val="2"/>
          </w:tcPr>
          <w:p>
            <w:pPr>
              <w:ind w:left="140"/>
              <w:spacing w:after="0"/>
              <w:rPr>
                <w:sz w:val="20"/>
                <w:szCs w:val="20"/>
                <w:color w:val="auto"/>
              </w:rPr>
            </w:pPr>
            <w:r>
              <w:rPr>
                <w:rFonts w:ascii="Arial" w:cs="Arial" w:eastAsia="Arial" w:hAnsi="Arial"/>
                <w:sz w:val="18"/>
                <w:szCs w:val="18"/>
                <w:color w:val="auto"/>
              </w:rPr>
              <w:t>Subclavian vein occlusion</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Vascular stenosis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(19.2)%</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(15.2)%</w:t>
            </w:r>
          </w:p>
        </w:tc>
      </w:tr>
      <w:tr>
        <w:trPr>
          <w:trHeight w:val="230"/>
        </w:trPr>
        <w:tc>
          <w:tcPr>
            <w:tcW w:w="5380" w:type="dxa"/>
            <w:vAlign w:val="bottom"/>
            <w:gridSpan w:val="2"/>
          </w:tcPr>
          <w:p>
            <w:pPr>
              <w:ind w:left="140"/>
              <w:spacing w:after="0"/>
              <w:rPr>
                <w:sz w:val="20"/>
                <w:szCs w:val="20"/>
                <w:color w:val="auto"/>
              </w:rPr>
            </w:pPr>
            <w:r>
              <w:rPr>
                <w:rFonts w:ascii="Arial" w:cs="Arial" w:eastAsia="Arial" w:hAnsi="Arial"/>
                <w:sz w:val="18"/>
                <w:szCs w:val="18"/>
                <w:color w:val="auto"/>
              </w:rPr>
              <w:t>Venous stenosis</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Through an Analysis of Panel Reactive Antibodies (PRA) in the V006 trial, we observed that subjects that received the ePTFE grafts were more likely to develop antibodies against human tissues, and to become more difficult to crossmatch for a future kidney transplant, than were patients who received the HAV. While the cause of this improvement in patient responses with the HAV is not clear, this may have been related to the lower number of severe infection events in HAV patients as compared to ePTFE patients in V006.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women becoming sensitized (i.e. cPRA values &gt; 20%) was notably higher in the ePTFE group than the HAV group.</w:t>
      </w:r>
    </w:p>
    <w:p>
      <w:pPr>
        <w:spacing w:after="0" w:line="207"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Phase 3 V006 HUMANITY trial % of patients developing antibodies against human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126365</wp:posOffset>
            </wp:positionV>
            <wp:extent cx="3274695" cy="18859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7469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also observed differences in the remodeling of the HAV and ePTFE implants in the V006 trial. Consistent with earlier observations from Phase II studies, microscopic examination of samples from HAV and ePTFE subjects suggest that the HAVs may have repopulated with host cells and microvasculature, while ePTFE grafts did not repopulate with cells and, in certain cases,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fractured at sites of needle cannulation for hemodialysis (“G” is graft; “D” is defect’ “T” is thrombus (clot); “L” is lumen; and “A” is adventitia):</w:t>
      </w:r>
    </w:p>
    <w:p>
      <w:pPr>
        <w:spacing w:after="0" w:line="143"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Phase 3 V006 HUMANITY trial microscopic examination of samples from ePTFE and HAV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126365</wp:posOffset>
            </wp:positionV>
            <wp:extent cx="4783455" cy="16459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8345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Comparison of flow rates within the HAV and ePTFE conduits revealed similarities in blood flow and diameter over the 24-month period of the trial. Bar graphs below display average blood flow rate, maximal blood flow rate, and mid-graft diameters, all of which were measured by periodic ultrasound examinations. Diameters of the HAV remained close to the nominal 6.0 millimeter diameter. Average blood flow rates exceeded 1.0 liters/minute, which is generally considered suitable for efficient hemodialysis.</w:t>
      </w:r>
    </w:p>
    <w:p>
      <w:pPr>
        <w:spacing w:after="0" w:line="144"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Phase 3 V006 HUMANITY trial blood-flow rates and vessel diameters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126365</wp:posOffset>
            </wp:positionV>
            <wp:extent cx="4286250" cy="1525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8625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Overall, although the primary efficacy endpoint concerning secondary patency was not met, the HAV performed in the V006 trial as was expected, based upon HAV performance in previous Phase II trials in hemodialysis and in other clinical applications. This outcome was due at least in part to unexpectedly high patency of the ePTFE grafts, particularly after 12 months. While the cause of this unexpectedly high patency is not clear, it is possible that study-mandated ultrasounds and examinations may have led to more aggressive vigilance with ePTFE grafts to maintain patency. In addition, the age and comorbidities of HAV subjects in V006 was somewhat worse than for ePTFE subjects.</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V006 trial, the HAV displayed significantly fewer infections than did the ePTFE grafts. This was associated with fewer instances of immune sensitization in HAV subjects as compared to ePTFE subjects, which could translate to easier kidney transplantation at future times. Similar to prior studies, we observed that the HAV had good durability, blood flow rates and diameters similar to ePTFE grafts, and also host cell remodelling that was superior to that of ePTFE grafts.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III V007 AV Access Study</w:t>
      </w:r>
    </w:p>
    <w:p>
      <w:pPr>
        <w:spacing w:after="0" w:line="18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Trial Design: </w:t>
      </w:r>
      <w:r>
        <w:rPr>
          <w:rFonts w:ascii="Arial" w:cs="Arial" w:eastAsia="Arial" w:hAnsi="Arial"/>
          <w:sz w:val="18"/>
          <w:szCs w:val="18"/>
          <w:color w:val="auto"/>
        </w:rPr>
        <w:t>We are currently enrolling a Phase III trial, called V007, in 240 patients with ESRD. V007 is a Phase III, prospective,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open label, randomized, two-arm comparative study conducted in the United States. The V007 trial is designed to assess the useability of the HAV for dialysis at six and 12 months as a comparison to autogenous fistulas, which are known to exhibit a high rate of early maturation failure of approximately 40% at six months. Patients in the study are randomized to receive either the HAV for vascular access or an autogenous AV fistula. The objective of V007 is to compare the safety and efficacy of our 6 millimeter HAV to autogenous AV fistula for functional hemodialysis access.</w:t>
      </w:r>
    </w:p>
    <w:p>
      <w:pPr>
        <w:sectPr>
          <w:pgSz w:w="11900" w:h="16838" w:orient="portrait"/>
          <w:cols w:equalWidth="0" w:num="1">
            <w:col w:w="9900"/>
          </w:cols>
          <w:pgMar w:left="980" w:top="125" w:right="10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Eligible study subjects in V007 are randomized to receive either an HAV or an autogenous fistula and followed to 24 months post-implantation by routine study visits. After 24 months, patients with functional accesses will be followed for up to five years. Efficacy endpoints include useability for dialysis at six and 12 months, as well as a comparison of secondary patency via a time-to-event analysis of all subjects at 12 months. Additional safety endpoints include the rate of dialysis access-related infections for HAV and fistula subjects.</w:t>
      </w:r>
    </w:p>
    <w:p>
      <w:pPr>
        <w:spacing w:after="0" w:line="157"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Current Trial Status: </w:t>
      </w:r>
      <w:r>
        <w:rPr>
          <w:rFonts w:ascii="Arial" w:cs="Arial" w:eastAsia="Arial" w:hAnsi="Arial"/>
          <w:sz w:val="18"/>
          <w:szCs w:val="18"/>
          <w:color w:val="auto"/>
        </w:rPr>
        <w:t>As of September 1, 2021, there were 200 patients enrolled in the V007 trial, out of a target enrollment of 240</w:t>
      </w:r>
      <w:r>
        <w:rPr>
          <w:rFonts w:ascii="Arial" w:cs="Arial" w:eastAsia="Arial" w:hAnsi="Arial"/>
          <w:sz w:val="18"/>
          <w:szCs w:val="18"/>
          <w:b w:val="1"/>
          <w:bCs w:val="1"/>
          <w:color w:val="auto"/>
        </w:rPr>
        <w:t xml:space="preserve"> </w:t>
      </w:r>
      <w:r>
        <w:rPr>
          <w:rFonts w:ascii="Arial" w:cs="Arial" w:eastAsia="Arial" w:hAnsi="Arial"/>
          <w:sz w:val="18"/>
          <w:szCs w:val="18"/>
          <w:color w:val="auto"/>
        </w:rPr>
        <w:t>total. We currently expect to complete the V007 trial in time to support a BLA filing for the use of HAV in AV access for hemodialysis in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Indication #3: Peripheral Arterial Disease</w:t>
      </w:r>
    </w:p>
    <w:p>
      <w:pPr>
        <w:spacing w:after="0" w:line="1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PAD involves partial or complete occlusion of blood vessels in the peripheral circulation and is a major cause of morbidity and mortality in the developed world. Patients with severe PAD undergo peripheral arterial bypass surgery where a conduit is implanted above and below the area of the arterial obstruction, to provide a “bypass” route for blood to flow around the blocked artery. The vast majority of these operations are performed in the lower limb. Other surgical alternatives include minimally invasive approaches such as stenting and angioplasties that are suitable for smaller atherosclerotic lesions and can delay — but oftentimes not prevent — the ultimate need for surgical revascularization.</w:t>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Published Data in PAD</w:t>
      </w:r>
    </w:p>
    <w:p>
      <w:pPr>
        <w:spacing w:after="0" w:line="18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derived the data in the table below from data contained in certain published papers on PAD between 2008 and the present. These data are from different studies and thus are not directly comparable. In addition, many of these papers reported on additional endpoints that are not included in the table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6"/>
              </w:rPr>
              <w:t>Clinical</w:t>
            </w:r>
          </w:p>
        </w:tc>
        <w:tc>
          <w:tcPr>
            <w:tcW w:w="160" w:type="dxa"/>
            <w:vAlign w:val="bottom"/>
          </w:tcPr>
          <w:p>
            <w:pPr>
              <w:spacing w:after="0"/>
              <w:rPr>
                <w:sz w:val="12"/>
                <w:szCs w:val="12"/>
                <w:color w:val="auto"/>
              </w:rPr>
            </w:pPr>
          </w:p>
        </w:tc>
        <w:tc>
          <w:tcPr>
            <w:tcW w:w="22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Type of</w:t>
            </w:r>
          </w:p>
        </w:tc>
        <w:tc>
          <w:tcPr>
            <w:tcW w:w="160" w:type="dxa"/>
            <w:vAlign w:val="bottom"/>
          </w:tcPr>
          <w:p>
            <w:pPr>
              <w:spacing w:after="0"/>
              <w:rPr>
                <w:sz w:val="12"/>
                <w:szCs w:val="12"/>
                <w:color w:val="auto"/>
              </w:rPr>
            </w:pPr>
          </w:p>
        </w:tc>
        <w:tc>
          <w:tcPr>
            <w:tcW w:w="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vMerge w:val="restart"/>
          </w:tcPr>
          <w:p>
            <w:pPr>
              <w:spacing w:after="0"/>
              <w:rPr>
                <w:sz w:val="12"/>
                <w:szCs w:val="12"/>
                <w:color w:val="auto"/>
              </w:rPr>
            </w:pPr>
          </w:p>
        </w:tc>
        <w:tc>
          <w:tcPr>
            <w:tcW w:w="7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1"/>
              </w:rPr>
              <w:t>Published Secondary</w:t>
            </w:r>
          </w:p>
        </w:tc>
        <w:tc>
          <w:tcPr>
            <w:tcW w:w="160" w:type="dxa"/>
            <w:vAlign w:val="bottom"/>
          </w:tcPr>
          <w:p>
            <w:pPr>
              <w:spacing w:after="0"/>
              <w:rPr>
                <w:sz w:val="12"/>
                <w:szCs w:val="12"/>
                <w:color w:val="auto"/>
              </w:rPr>
            </w:pPr>
          </w:p>
        </w:tc>
        <w:tc>
          <w:tcPr>
            <w:tcW w:w="11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Infection</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Rejection</w:t>
            </w:r>
          </w:p>
        </w:tc>
        <w:tc>
          <w:tcPr>
            <w:tcW w:w="0" w:type="dxa"/>
            <w:vAlign w:val="bottom"/>
          </w:tcPr>
          <w:p>
            <w:pPr>
              <w:spacing w:after="0"/>
              <w:rPr>
                <w:sz w:val="1"/>
                <w:szCs w:val="1"/>
                <w:color w:val="auto"/>
              </w:rPr>
            </w:pPr>
          </w:p>
        </w:tc>
      </w:tr>
      <w:tr>
        <w:trPr>
          <w:trHeight w:val="171"/>
        </w:trPr>
        <w:tc>
          <w:tcPr>
            <w:tcW w:w="2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Indication</w:t>
            </w:r>
          </w:p>
        </w:tc>
        <w:tc>
          <w:tcPr>
            <w:tcW w:w="2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Conduit</w:t>
            </w:r>
          </w:p>
        </w:tc>
        <w:tc>
          <w:tcPr>
            <w:tcW w:w="3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Patients</w:t>
            </w:r>
          </w:p>
        </w:tc>
        <w:tc>
          <w:tcPr>
            <w:tcW w:w="1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Patency Outcome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(per patient-year)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Outcome</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Peripheral Arterial Disease</w:t>
            </w:r>
          </w:p>
        </w:tc>
        <w:tc>
          <w:tcPr>
            <w:tcW w:w="16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Saphenous Vein (autologous)</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 months: – 86%</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6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12 months: – 80%</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ePTFE</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101</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12 months: 76% – 89%</w:t>
            </w:r>
          </w:p>
        </w:tc>
        <w:tc>
          <w:tcPr>
            <w:tcW w:w="13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(synthetic graft)</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273</w:t>
            </w:r>
          </w:p>
        </w:tc>
        <w:tc>
          <w:tcPr>
            <w:tcW w:w="16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12 months: 81%</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496</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N/A</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Procol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6 months: 50%</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(bovine vein)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12 months: 50%</w:t>
            </w:r>
          </w:p>
        </w:tc>
        <w:tc>
          <w:tcPr>
            <w:tcW w:w="13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Aneurysm Rate: 29%</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have observed excellent patency rates and no reported cases of infection for the HAV in PAD in clinical studies to date. We are developing our 6 millimeter HAV for use as a bypass conduit for patients with PAD. We are conducting two Phase II trials to evaluate the safety and efficacy of our 6 millimeter HAV for use as a bypass conduit with PAD, which we refer to as our V002 and V004 trials. For both of these Phase II trials, the HAV is being implanted as a femoral popliteal bypass graft in patients with PAD.</w:t>
      </w:r>
    </w:p>
    <w:p>
      <w:pPr>
        <w:spacing w:after="0" w:line="13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Our Current Phase II Trials of the HAV in PAD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Clinical</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Begin</w:t>
            </w: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Design/</w:t>
            </w: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Trial</w:t>
            </w:r>
          </w:p>
        </w:tc>
        <w:tc>
          <w:tcPr>
            <w:tcW w:w="13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Indication</w:t>
            </w:r>
          </w:p>
        </w:tc>
        <w:tc>
          <w:tcPr>
            <w:tcW w:w="10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40" w:type="dxa"/>
            <w:vAlign w:val="bottom"/>
          </w:tcPr>
          <w:p>
            <w:pPr>
              <w:spacing w:after="0"/>
              <w:rPr>
                <w:sz w:val="12"/>
                <w:szCs w:val="12"/>
                <w:color w:val="auto"/>
              </w:rPr>
            </w:pPr>
          </w:p>
        </w:tc>
        <w:tc>
          <w:tcPr>
            <w:tcW w:w="20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Outcomes**</w:t>
            </w:r>
          </w:p>
        </w:tc>
        <w:tc>
          <w:tcPr>
            <w:tcW w:w="0" w:type="dxa"/>
            <w:vAlign w:val="bottom"/>
          </w:tcPr>
          <w:p>
            <w:pPr>
              <w:spacing w:after="0"/>
              <w:rPr>
                <w:sz w:val="1"/>
                <w:szCs w:val="1"/>
                <w:color w:val="auto"/>
              </w:rPr>
            </w:pPr>
          </w:p>
        </w:tc>
      </w:tr>
      <w:tr>
        <w:trPr>
          <w:trHeight w:val="171"/>
        </w:trPr>
        <w:tc>
          <w:tcPr>
            <w:tcW w:w="2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340" w:type="dxa"/>
            <w:vAlign w:val="bottom"/>
            <w:gridSpan w:val="3"/>
            <w:vMerge w:val="continue"/>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Enrollment</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Phase</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Subjects</w:t>
            </w: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V002</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Peripheral</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Phase II</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10-year</w:t>
            </w:r>
          </w:p>
        </w:tc>
        <w:tc>
          <w:tcPr>
            <w:tcW w:w="1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30-day PP: 100%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Arterial Disease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Single-arm</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follow-up</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6-month SP: 84%</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ongoing</w:t>
            </w:r>
          </w:p>
        </w:tc>
        <w:tc>
          <w:tcPr>
            <w:tcW w:w="2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12-month SP: 84%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Infection Rate/yr: 0%</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Number of Rejections: 0</w:t>
            </w:r>
          </w:p>
        </w:tc>
        <w:tc>
          <w:tcPr>
            <w:tcW w:w="0" w:type="dxa"/>
            <w:vAlign w:val="bottom"/>
          </w:tcPr>
          <w:p>
            <w:pPr>
              <w:spacing w:after="0"/>
              <w:rPr>
                <w:sz w:val="1"/>
                <w:szCs w:val="1"/>
                <w:color w:val="auto"/>
              </w:rPr>
            </w:pPr>
          </w:p>
        </w:tc>
      </w:tr>
      <w:tr>
        <w:trPr>
          <w:trHeight w:val="216"/>
        </w:trPr>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V004</w:t>
            </w: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Peripheral</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Phase II</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5-year</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30-day PP: 100%</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1"/>
              </w:rPr>
              <w:t>Arterial Disease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Single-arm</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follow-up</w:t>
            </w:r>
          </w:p>
        </w:tc>
        <w:tc>
          <w:tcPr>
            <w:tcW w:w="2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6-month SP: 86%</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ongoing</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12-month SP: 64%</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Infection Rate/yr: 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Number of Rejections: 0</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Number of Amputations: 0</w:t>
            </w:r>
          </w:p>
        </w:tc>
        <w:tc>
          <w:tcPr>
            <w:tcW w:w="0" w:type="dxa"/>
            <w:vAlign w:val="bottom"/>
          </w:tcPr>
          <w:p>
            <w:pPr>
              <w:spacing w:after="0"/>
              <w:rPr>
                <w:sz w:val="1"/>
                <w:szCs w:val="1"/>
                <w:color w:val="auto"/>
              </w:rPr>
            </w:pPr>
          </w:p>
        </w:tc>
      </w:tr>
      <w:tr>
        <w:trPr>
          <w:trHeight w:val="108"/>
        </w:trPr>
        <w:tc>
          <w:tcPr>
            <w:tcW w:w="19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125" w:right="99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32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PP: Primary Patency, which is the interval of time of access placement until any intervention designed to maintain or reestablish patency, access thrombosis, or the time of measurement of patency, i.e. patent without interventions.</w:t>
      </w:r>
    </w:p>
    <w:p>
      <w:pPr>
        <w:spacing w:after="0" w:line="129" w:lineRule="exact"/>
        <w:rPr>
          <w:rFonts w:ascii="Arial" w:cs="Arial" w:eastAsia="Arial" w:hAnsi="Arial"/>
          <w:sz w:val="18"/>
          <w:szCs w:val="18"/>
          <w:color w:val="auto"/>
        </w:rPr>
      </w:pPr>
    </w:p>
    <w:p>
      <w:pPr>
        <w:ind w:left="340" w:right="500"/>
        <w:spacing w:after="0" w:line="277" w:lineRule="auto"/>
        <w:rPr>
          <w:rFonts w:ascii="Arial" w:cs="Arial" w:eastAsia="Arial" w:hAnsi="Arial"/>
          <w:sz w:val="18"/>
          <w:szCs w:val="18"/>
          <w:color w:val="auto"/>
        </w:rPr>
      </w:pPr>
      <w:r>
        <w:rPr>
          <w:rFonts w:ascii="Arial" w:cs="Arial" w:eastAsia="Arial" w:hAnsi="Arial"/>
          <w:sz w:val="18"/>
          <w:szCs w:val="18"/>
          <w:color w:val="auto"/>
        </w:rPr>
        <w:t>SP: Secondary Patency, which is the interval from the time of access placement until abandonment, i.e. patent with or without interventions.</w:t>
      </w:r>
    </w:p>
    <w:p>
      <w:pPr>
        <w:spacing w:after="0" w:line="13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color w:val="auto"/>
        </w:rPr>
        <w:t xml:space="preserve">Trial Design: </w:t>
      </w:r>
      <w:r>
        <w:rPr>
          <w:rFonts w:ascii="Arial" w:cs="Arial" w:eastAsia="Arial" w:hAnsi="Arial"/>
          <w:sz w:val="18"/>
          <w:szCs w:val="18"/>
          <w:color w:val="auto"/>
        </w:rPr>
        <w:t>Both our V004 and V002 trials are prospective, open-label, single treatment arm, multi-center studies. We enrolled 20</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in our V002 trial in Poland, and 15 patients in our V004 trial in the United States. Both trials have the primary objectives of evaluating the safety of the HAV as a femoral-to-popliteal bypass graft, and determining the primary, primary assisted, and secondary patency over 12 and 24 months.</w:t>
      </w:r>
    </w:p>
    <w:p>
      <w:pPr>
        <w:spacing w:after="0" w:line="13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b w:val="1"/>
          <w:bCs w:val="1"/>
          <w:color w:val="auto"/>
        </w:rPr>
        <w:t xml:space="preserve">Current Trial Status and Outcomes: </w:t>
      </w:r>
      <w:r>
        <w:rPr>
          <w:rFonts w:ascii="Arial" w:cs="Arial" w:eastAsia="Arial" w:hAnsi="Arial"/>
          <w:sz w:val="16"/>
          <w:szCs w:val="16"/>
          <w:color w:val="auto"/>
        </w:rPr>
        <w:t>V002 enrolled a total of 20 patients between the ages of 54 and 79 at three clinical sites. 24-month results of the V002 trial were published in 2020. After censoring for three deaths (none of which were determined to be related to the HAV or the implant procedure), we observed 24-month primary, primary assisted and secondary patency rates of 58%, 58%, and 74%, respectively. We observed through ultrasound data that the HAVs were mechanically stable during the follow-up period and did not develop aneurysmal dilatation in any patient. Overall, we also determined through the histological assessment of explanted specimens that there were normal vascular cells within the HAV and there was no infection or signs of immunological reaction to the graft.</w:t>
      </w:r>
    </w:p>
    <w:p>
      <w:pPr>
        <w:spacing w:after="0" w:line="123" w:lineRule="exact"/>
        <w:rPr>
          <w:sz w:val="20"/>
          <w:szCs w:val="20"/>
          <w:color w:val="auto"/>
        </w:rPr>
      </w:pPr>
    </w:p>
    <w:p>
      <w:pPr>
        <w:ind w:right="300" w:firstLine="324"/>
        <w:spacing w:after="0" w:line="291" w:lineRule="auto"/>
        <w:rPr>
          <w:sz w:val="20"/>
          <w:szCs w:val="20"/>
          <w:color w:val="auto"/>
        </w:rPr>
      </w:pPr>
      <w:r>
        <w:rPr>
          <w:rFonts w:ascii="Arial" w:cs="Arial" w:eastAsia="Arial" w:hAnsi="Arial"/>
          <w:sz w:val="16"/>
          <w:szCs w:val="16"/>
          <w:color w:val="auto"/>
        </w:rPr>
        <w:t>There have been no HAV-related infections reported during the V002 trial as of September 1, 2021, and no amputations of the treated extremity. A sub-set of seven V002 subjects consented for long-term follow-up CT angiograms, which were obtained at 48 to</w:t>
      </w:r>
    </w:p>
    <w:p>
      <w:pPr>
        <w:jc w:val="both"/>
        <w:spacing w:after="0" w:line="253" w:lineRule="auto"/>
        <w:rPr>
          <w:sz w:val="20"/>
          <w:szCs w:val="20"/>
          <w:color w:val="auto"/>
        </w:rPr>
      </w:pPr>
      <w:r>
        <w:rPr>
          <w:rFonts w:ascii="Arial" w:cs="Arial" w:eastAsia="Arial" w:hAnsi="Arial"/>
          <w:sz w:val="18"/>
          <w:szCs w:val="18"/>
          <w:color w:val="auto"/>
        </w:rPr>
        <w:t>52 months after HAV implantation. In all cases, the HAV maintained normal architecture and function. A representative image is shown below, taken 50 months post-implantation. Proximal and distal anastomoses of HAV with recipient’s vasculature are noted, as is the scale bar on the right-hand side of each image. The image presents two views of the same subject, and shows uniform HAV diameter along the length of the implant.</w:t>
      </w:r>
    </w:p>
    <w:p>
      <w:pPr>
        <w:spacing w:after="0" w:line="166" w:lineRule="exact"/>
        <w:rPr>
          <w:sz w:val="20"/>
          <w:szCs w:val="20"/>
          <w:color w:val="auto"/>
        </w:rPr>
      </w:pPr>
    </w:p>
    <w:p>
      <w:pPr>
        <w:ind w:left="2400"/>
        <w:spacing w:after="0"/>
        <w:rPr>
          <w:sz w:val="20"/>
          <w:szCs w:val="20"/>
          <w:color w:val="auto"/>
        </w:rPr>
      </w:pPr>
      <w:r>
        <w:rPr>
          <w:rFonts w:ascii="Arial" w:cs="Arial" w:eastAsia="Arial" w:hAnsi="Arial"/>
          <w:sz w:val="18"/>
          <w:szCs w:val="18"/>
          <w:i w:val="1"/>
          <w:iCs w:val="1"/>
          <w:color w:val="auto"/>
        </w:rPr>
        <w:t>A CT Angiogram from a V002 Subject at 51 months after HAV implantation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126365</wp:posOffset>
            </wp:positionV>
            <wp:extent cx="2280285" cy="2186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8028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Patients in the V002 trial are currently in long-term follow-up out to ten years. For the V002 trial, six-year long-term follow-up data were compiled in March 2021, which confirmed durability of the HAV in the arterial circulation. For HAV patients in the V002 trial, there were also no reports of conduit infections, and no reports of amputations of the operative limb.</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Long-term results from V002 Phase II study in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134620</wp:posOffset>
            </wp:positionV>
            <wp:extent cx="3566160" cy="925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6616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V004 trial enrolled 15 subjects in the United States, with the 12-month follow-up of the last enrolled patient occurring in December 2020. Patients in the V004 trial included Rutherford 4 and 5 subjects, with severe, debilitating limb ischemia. (Rutherford 4 and 5 patients are classified as patients with pain at rest due to limb ischemia (stage 4), and those patients suffering tissue loss in the limb as a result of ischemia (stage 5)). In addition, enrollment in V004 required that no autologous vein be available for bypass. Hence, the subjects enrolled in the V004 trial had severe and debilitating limb ischemia due to PAD and had no autologous vein that was suitable for lesion bypass and revascularization.</w:t>
      </w:r>
    </w:p>
    <w:p>
      <w:pPr>
        <w:spacing w:after="0" w:line="152" w:lineRule="exact"/>
        <w:rPr>
          <w:sz w:val="20"/>
          <w:szCs w:val="20"/>
          <w:color w:val="auto"/>
        </w:rPr>
      </w:pPr>
    </w:p>
    <w:p>
      <w:pPr>
        <w:ind w:left="3300"/>
        <w:spacing w:after="0"/>
        <w:rPr>
          <w:sz w:val="20"/>
          <w:szCs w:val="20"/>
          <w:color w:val="auto"/>
        </w:rPr>
      </w:pPr>
      <w:r>
        <w:rPr>
          <w:rFonts w:ascii="Arial" w:cs="Arial" w:eastAsia="Arial" w:hAnsi="Arial"/>
          <w:sz w:val="18"/>
          <w:szCs w:val="18"/>
          <w:i w:val="1"/>
          <w:iCs w:val="1"/>
          <w:color w:val="auto"/>
        </w:rPr>
        <w:t>12-month results from V004 Phase II study in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134620</wp:posOffset>
            </wp:positionV>
            <wp:extent cx="3634740" cy="942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3474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the V004 trial, HAV secondary patency was 86% at 6 months, and 64% at 12 months. While lower than patency values observed in the V002 trial, patients in the V004 trial had more severe PAD, which is associated with poorer arterial “run-off” and higher propensity for conduit occlusion. Assessment of Quality of Life by the validated VascuQol assessment demonstrated an increase in overall quality of life for V004 patients at 6 and 12 months. In addition, ankle-brachial index, a measurement of blood pressure in the operative limb, was increased at 6 and 12 months. There were no infections of the HAV reported in the V004 trial, despite the severity of the PAD and the often-associated tissue infection that can accompany this disease. There were zero reports of clinical HAV rejection. Lastly, there were zero reported amputations of any operative limb in the first 12 months of follow-up.</w:t>
      </w:r>
    </w:p>
    <w:p>
      <w:pPr>
        <w:spacing w:after="0" w:line="13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SAEs reported for the HAV in our V002 and V004 Phase II clinical studies in PAD in 35 subjects, a patient population which typically has a high prevalence of existing medical conditions, are summarized in the table below.</w:t>
      </w:r>
    </w:p>
    <w:p>
      <w:pPr>
        <w:spacing w:after="0" w:line="130" w:lineRule="exact"/>
        <w:rPr>
          <w:sz w:val="20"/>
          <w:szCs w:val="20"/>
          <w:color w:val="auto"/>
        </w:rPr>
      </w:pPr>
    </w:p>
    <w:p>
      <w:pPr>
        <w:ind w:left="2720"/>
        <w:spacing w:after="0"/>
        <w:rPr>
          <w:sz w:val="20"/>
          <w:szCs w:val="20"/>
          <w:color w:val="auto"/>
        </w:rPr>
      </w:pPr>
      <w:r>
        <w:rPr>
          <w:rFonts w:ascii="Arial" w:cs="Arial" w:eastAsia="Arial" w:hAnsi="Arial"/>
          <w:sz w:val="18"/>
          <w:szCs w:val="18"/>
          <w:i w:val="1"/>
          <w:iCs w:val="1"/>
          <w:color w:val="auto"/>
        </w:rPr>
        <w:t>SAEs Reported in V002 and V004 Phase II Clinical Studies in PAD</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SAE</w:t>
            </w: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 of SAEs</w:t>
            </w:r>
          </w:p>
        </w:tc>
        <w:tc>
          <w:tcPr>
            <w:tcW w:w="0" w:type="dxa"/>
            <w:vAlign w:val="bottom"/>
          </w:tcPr>
          <w:p>
            <w:pPr>
              <w:spacing w:after="0"/>
              <w:rPr>
                <w:sz w:val="1"/>
                <w:szCs w:val="1"/>
                <w:color w:val="auto"/>
              </w:rPr>
            </w:pPr>
          </w:p>
        </w:tc>
      </w:tr>
      <w:tr>
        <w:trPr>
          <w:trHeight w:val="171"/>
        </w:trPr>
        <w:tc>
          <w:tcPr>
            <w:tcW w:w="6320" w:type="dxa"/>
            <w:vAlign w:val="bottom"/>
            <w:gridSpan w:val="2"/>
            <w:vMerge w:val="continue"/>
          </w:tcPr>
          <w:p>
            <w:pPr>
              <w:spacing w:after="0"/>
              <w:rPr>
                <w:sz w:val="14"/>
                <w:szCs w:val="14"/>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 of total subjects)</w:t>
            </w: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Number of subjects in V002 and V004 studies</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N=35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Arterial bypass thrombosis</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Anastomotic stenosis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Graft Thrombosis</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Vascular Graft Complication</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Published literature reports of patients with Rutherford stage 4 and 5 PAD and no autologous vein available for revascularization show that outcomes can include amputation. For Rutherford 4,5 patients with no vein and no revascularization procedure, amputation rates at 6 months are reported at 31%. For stage 4,5 patients who do undergo saphenous vein revascularization, the amputation rate at one year is approximately 10%. The lack of amputation for stage 4,5 patients in the V004 trial at one year, none of whom had saphenous vein for revascularization, supports the use of the HAV in severe PAD.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Examples of the Use of Our 6 millimeter HAVs in Expanded Access Cases</w:t>
      </w:r>
    </w:p>
    <w:p>
      <w:pPr>
        <w:spacing w:after="0" w:line="18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FDA has granted use of the HAV in 14 special expanded access cases. Each of these compassionate use cases was conducted under an individual, investigator-initiated IND with the FDA. Two cases are highlighted below.</w:t>
      </w:r>
    </w:p>
    <w:p>
      <w:pPr>
        <w:sectPr>
          <w:pgSz w:w="11900" w:h="16838" w:orient="portrait"/>
          <w:cols w:equalWidth="0" w:num="1">
            <w:col w:w="9900"/>
          </w:cols>
          <w:pgMar w:left="980" w:top="125" w:right="1019"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70-year-old with Critical Limb Ischemia</w:t>
      </w:r>
    </w:p>
    <w:p>
      <w:pPr>
        <w:spacing w:after="0" w:line="198"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patient is a 70-year-old male with critical limb ischemia and no vein available to perform a bypass, as the vein was previously used for a CABG. He underwent a successful bypass with the HAV. Imaging at one year demonstrated a patent graft.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76200</wp:posOffset>
            </wp:positionV>
            <wp:extent cx="4732020" cy="2134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3202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42-year-old with Infected Dacron Graft</w:t>
      </w:r>
    </w:p>
    <w:p>
      <w:pPr>
        <w:spacing w:after="0" w:line="19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An HAV was used in a 42-year-old female to replace an 8 mm Dacron iliac artery bypass graft that had become infected. The patient refused harvesting of the femoral vein for reconstruction and requested the HAV. The patient was seen at one, three, six, nine, and</w:t>
      </w:r>
    </w:p>
    <w:p>
      <w:pPr>
        <w:jc w:val="both"/>
        <w:ind w:right="80"/>
        <w:spacing w:after="0" w:line="273" w:lineRule="auto"/>
        <w:rPr>
          <w:sz w:val="20"/>
          <w:szCs w:val="20"/>
          <w:color w:val="auto"/>
        </w:rPr>
      </w:pPr>
      <w:r>
        <w:rPr>
          <w:rFonts w:ascii="Arial" w:cs="Arial" w:eastAsia="Arial" w:hAnsi="Arial"/>
          <w:sz w:val="17"/>
          <w:szCs w:val="17"/>
          <w:color w:val="auto"/>
        </w:rPr>
        <w:t>12 months after HAV implantation. At all visits, the HAV appeared normal with unobstructed patency. Flow and velocities were normal. At three months, the patient was released to full activity. At six and 12 months, the graft was functioning well. At one-year imaging, the HAV was patent and appeared remarkably similar to the patient’s native blood vessels. The patient had no signs of infection in the HAV and continues to have no limitations or complications during normal activity or exercise.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Pipeline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Pancreatic Islet Transplantation for Type 1 Diabetes (“Biovascular Pancreas”)</w:t>
      </w:r>
    </w:p>
    <w:p>
      <w:pPr>
        <w:spacing w:after="0" w:line="18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Biovascular Pancreas (“BVP”) is a modification of Humacyte’s HAV product, leveraging the HAV to deliver therapeutic cells to within close proximity of the patient’s bloodstream. We believe that the HAV extracellular matrix material is both highly biocompatible, as evidenced by adaptive cellular repopulation after implantation, and also highly angiogenic, as evidenced by extensive formation of microvessels surrounding the HAV in vivo. These attributes mean that the HAV may serve as a suitable conduit for delivering large numbers of therapeutic cells to a patient.</w:t>
      </w:r>
    </w:p>
    <w:p>
      <w:pPr>
        <w:spacing w:after="0" w:line="16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Pancreatic islets, which sense blood glucose and respond by secreting insulin, are destroyed by an auto-immune attack in patients with Type I diabetes. The outer surface of our 42cm HAV has sufficient surface area to accommodate a monolayer of approximately 800,000 human pancreatic islets, which is approximately the number in an entire adult pancreas, and can reverse diabetes and restore glucose control.</w:t>
      </w:r>
    </w:p>
    <w:p>
      <w:pPr>
        <w:spacing w:after="0" w:line="146"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have performed mathematical modelling studies that predict, we believe, that a 42cm HAV could maintain viability of a therapeutic number of islets after implantation of the HAV into the arterial bloodstream, or after implantation as an AV conduit similar to that used for hemodialysis access. Bioreactor experiments have confirmed these mathematical conclusions. Furthermore, we have implanted rat-sized BVPs into the aortas of diabetic rats, and observed that the BVP could restore normal glucose levels in all</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treated animals, while control animals (“No Flow” in red in figure below) did not restore glucose control. Studies in large animal models are planned as the next step in the development of this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100330</wp:posOffset>
            </wp:positionV>
            <wp:extent cx="3171825" cy="127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7182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Coronary Artery Bypass Graft (CABG)</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Evaluation of 3- and 4mm diameter HAVs for coronary artery bypass is ongoing at Humacyte. Our initial pilot studies have included the use of our engineered vessels for CABG in canines, demonstrating functional patency and adequate blood flow for up to one month. To further evaluate the utility and durability of the HAV in a large animal model, we have initiated a preclinical study at Duke University to evaluate the use of our small diameter HAV for CABG in adult primates (baboons). The goal of this study is to assess patency and function for six to 12 months, as well as host responses and cellular remodeling. We anticipate that this study will provide sufficient in vivo data to support an IND filing for a Phase I clinical trial in adult CABG. As of September 1, 2021, we have implanted a 3.5mm HAV CABG from the aorta to the left anterior descending (LAD) coronary artery in four baboons. HAVs are followed by ultrasound imaging of the heart, and angiographic imaging of the conduits. These studies are active and ongoing.</w:t>
      </w:r>
    </w:p>
    <w:p>
      <w:pPr>
        <w:spacing w:after="0" w:line="138"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Before (left) and after (right) implantation of HAV CABG in baboon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134620</wp:posOffset>
            </wp:positionV>
            <wp:extent cx="3308985" cy="18002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898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Heart Surgery: Blalock Taussig (BT) Shunt</w:t>
      </w:r>
    </w:p>
    <w:p>
      <w:pPr>
        <w:spacing w:after="0" w:line="185"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Tetrology of Fallot is a relatively common congenital heart defect, that is often treated using a Blalock Taussig (BT) Shunt. To support an IND filing with the FDA, we are currently evaluating the use of our HAV as a BT shunt for up to six months in juvenile primates at the Research Institute at Nationwide Children’s Hospital in Columbus, Ohio.</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BT Shunt Implant Schematic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134620</wp:posOffset>
            </wp:positionV>
            <wp:extent cx="3154680" cy="12687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5468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Ongoing primary cardiac surgery studies are showing the feasibility of using the HAV as a BT shunt in a relevant pre-clinical model. The HAV BT shunts are evaluated at one and two weeks, one month, three months, and six months. BT shunts are evaluated for patency and mechanical integrity, as well as cellular repopulation after explantation. Should we observe evidence of growth of our HAVs during long-term implantations from the BT shunt, we believe this would provide initial support for their use in other pediatric settings, in which a conduit that grows with the patient would be desirable. As of September 1, 2021, five juvenile primates have been implanted with a</w:t>
      </w:r>
    </w:p>
    <w:p>
      <w:pPr>
        <w:spacing w:after="0" w:line="2"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3.5mm HAV as a BT shunt and followed for three to six months. Data collection and analysis continue for this ongoing study, and will be used to support a pre-IND filing to the FDA for possible use of the HAV in a Phase I clinical trial in infants with cyanotic heart disease.</w:t>
      </w:r>
    </w:p>
    <w:p>
      <w:pPr>
        <w:spacing w:after="0" w:line="98" w:lineRule="exact"/>
        <w:rPr>
          <w:sz w:val="20"/>
          <w:szCs w:val="20"/>
          <w:color w:val="auto"/>
        </w:rPr>
      </w:pPr>
    </w:p>
    <w:p>
      <w:pPr>
        <w:ind w:left="2420"/>
        <w:spacing w:after="0"/>
        <w:rPr>
          <w:sz w:val="20"/>
          <w:szCs w:val="20"/>
          <w:color w:val="auto"/>
        </w:rPr>
      </w:pPr>
      <w:r>
        <w:rPr>
          <w:rFonts w:ascii="Arial" w:cs="Arial" w:eastAsia="Arial" w:hAnsi="Arial"/>
          <w:sz w:val="18"/>
          <w:szCs w:val="18"/>
          <w:i w:val="1"/>
          <w:iCs w:val="1"/>
          <w:color w:val="auto"/>
        </w:rPr>
        <w:t>Imaging of 3.5mm HAV BT shunt in juvenile primate followed for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126365</wp:posOffset>
            </wp:positionV>
            <wp:extent cx="3566160" cy="1431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6616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Engineered Trachea for Treatment of Severe Airway Injuries</w:t>
      </w:r>
    </w:p>
    <w:p>
      <w:pPr>
        <w:spacing w:after="0" w:line="198" w:lineRule="exact"/>
        <w:rPr>
          <w:sz w:val="20"/>
          <w:szCs w:val="20"/>
          <w:color w:val="auto"/>
        </w:rPr>
      </w:pPr>
    </w:p>
    <w:p>
      <w:pPr>
        <w:jc w:val="both"/>
        <w:ind w:right="220" w:firstLine="324"/>
        <w:spacing w:after="0" w:line="301" w:lineRule="auto"/>
        <w:rPr>
          <w:sz w:val="20"/>
          <w:szCs w:val="20"/>
          <w:color w:val="auto"/>
        </w:rPr>
      </w:pPr>
      <w:r>
        <w:rPr>
          <w:rFonts w:ascii="Arial" w:cs="Arial" w:eastAsia="Arial" w:hAnsi="Arial"/>
          <w:sz w:val="16"/>
          <w:szCs w:val="16"/>
          <w:color w:val="auto"/>
        </w:rPr>
        <w:t>Each year in the U.S., approximately 4,000 operations are performed to repair or reconstruct the trachea or mainstem bronchi. But unlike most other connective tissues in the body — such as blood vessel, bone, skin and tendon — there currently are no replacements for tracheal tissue that are in widespread clinical use. For long tracheal or bronchial defects, some sort of tracheal replacement is often needed, yet none exists currently. The lack of a functional tracheal conduit commits patients to, sometimes, slow suffocation.</w:t>
      </w:r>
    </w:p>
    <w:p>
      <w:pPr>
        <w:spacing w:after="0" w:line="117"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have modified the HAV production process to enable the embedding of a biocompatible medical-grade stent within the wall of the engineered vessel. Combining a non-degradable stent with the degradable polymer scaffold used for HAV production results in a composite scaffold that can be seeded with smooth muscle cells and grown in culture. After decellularization, the engineered trachea consists of the extracellular matrix contained in the HAV, along with an embedded stent that prevents the collapse of the engineered airway with inspiration or neck movements.</w:t>
      </w:r>
    </w:p>
    <w:p>
      <w:pPr>
        <w:spacing w:after="0" w:line="147" w:lineRule="exact"/>
        <w:rPr>
          <w:sz w:val="20"/>
          <w:szCs w:val="20"/>
          <w:color w:val="auto"/>
        </w:rPr>
      </w:pPr>
    </w:p>
    <w:p>
      <w:pPr>
        <w:ind w:left="3160"/>
        <w:spacing w:after="0"/>
        <w:rPr>
          <w:sz w:val="20"/>
          <w:szCs w:val="20"/>
          <w:color w:val="auto"/>
        </w:rPr>
      </w:pPr>
      <w:r>
        <w:rPr>
          <w:rFonts w:ascii="Arial" w:cs="Arial" w:eastAsia="Arial" w:hAnsi="Arial"/>
          <w:sz w:val="18"/>
          <w:szCs w:val="18"/>
          <w:i w:val="1"/>
          <w:iCs w:val="1"/>
          <w:color w:val="auto"/>
        </w:rPr>
        <w:t>Summary of Process to Generate Engineered Tracheas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134620</wp:posOffset>
            </wp:positionV>
            <wp:extent cx="4852035" cy="9512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85203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models where engineered tracheas were implanted into rats and non-human primates, we have observed that the implants repopulate with cells from the host, including cuboidal respiratory epithelium that lines the native airway progressively from two to eight weeks after implantation. We have further observed that the engineered tracheas can function out to two months. Future studies in large animal models are planned.</w:t>
      </w:r>
    </w:p>
    <w:p>
      <w:pPr>
        <w:spacing w:after="0" w:line="160" w:lineRule="exact"/>
        <w:rPr>
          <w:sz w:val="20"/>
          <w:szCs w:val="20"/>
          <w:color w:val="auto"/>
        </w:rPr>
      </w:pPr>
    </w:p>
    <w:p>
      <w:pPr>
        <w:ind w:left="3060" w:right="440" w:hanging="2249"/>
        <w:spacing w:after="0" w:line="277" w:lineRule="auto"/>
        <w:rPr>
          <w:sz w:val="20"/>
          <w:szCs w:val="20"/>
          <w:color w:val="auto"/>
        </w:rPr>
      </w:pPr>
      <w:r>
        <w:rPr>
          <w:rFonts w:ascii="Arial" w:cs="Arial" w:eastAsia="Arial" w:hAnsi="Arial"/>
          <w:sz w:val="18"/>
          <w:szCs w:val="18"/>
          <w:i w:val="1"/>
          <w:iCs w:val="1"/>
          <w:color w:val="auto"/>
        </w:rPr>
        <w:t>Photograph (A) of Implantation of Engineered Trachea into Non-Human Primate Airway; Microscope Imaging of Cells Repopulating the Trachea after 2 and 8 weeks (B,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91440</wp:posOffset>
            </wp:positionV>
            <wp:extent cx="5040630" cy="7029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406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Engineered Whole Lung Organs</w:t>
      </w:r>
    </w:p>
    <w:p>
      <w:pPr>
        <w:spacing w:after="0" w:line="18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End-stage lung disease is the fourth leading cause of death in the U.S., and lung transplantation remains severely limited by donor organ shortages. Dr. Niklason’s laboratory at Yale University has pioneered the development of using decellularized native lungs, combined with targeted recellularization of the lung scaffolds within biomimetic bioreactors, to produce whole lungs that are capable of exchanging gas. Gas exchange for several hours has been observed in studies in rodents. Efforts to scale-up the technology to human-sized organs are ongoing.</w:t>
      </w:r>
    </w:p>
    <w:p>
      <w:pPr>
        <w:spacing w:after="0" w:line="147"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Structure of Lung, Scaffold for Lung Engineering, and Implanted Engineered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134620</wp:posOffset>
            </wp:positionV>
            <wp:extent cx="4929505" cy="14744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2950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8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We have developed a novel paradigm for manufacturing human tissues that mimics key aspects of human physiology. Recognizing that commercial scale production capacity of bioengineered tissue has been non-existent, we prioritized the development of a scalable, reproduceable, commercial biomanufacturing process. At our 83,000 square foot manufacturing facility in Durham, North Carolina, we have industrialized this concept and created a scalable modular manufacturing process that enables us to engineer our HAVs in commercial quantities in a system designed for cGMP compliance.</w:t>
      </w:r>
    </w:p>
    <w:p>
      <w:pPr>
        <w:spacing w:after="0" w:line="13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proprietary manufacturing process was designed with a modular approach allowing us to produce HAVs in smaller batches for clinical trials and scale out to larger batches for commercial manufacturing. The system used in our clinical trials since 2016, including all Phase III trials, utilizes a single tray within one growth drawer holding ten HAVs per batch. These batches were manufactured at a contract manufacturer. The current, commercial-scale LUNA200 system utilizes 20 growth drawers holding ten HAVs each for a total of 200 HAVs per batch. This system is planned to be utilized for ongoing Phase III trials and for subsequent anticipated commercial launches once approved.</w:t>
      </w:r>
    </w:p>
    <w:p>
      <w:pPr>
        <w:spacing w:after="0" w:line="16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Our manufacturing process utilizes our LUNA200 system, consisting of 20 “growth drawers.” Each growth drawer is capable of producing ten 42cm HAVs and each HAV remains contained within an individual bioreactor bag. Inside a LUNA200, a closed tubing network connects all 20 growth drawers as well as the ten bioreactor bags in each drawer, allowing the entire system to share cells and nutritive media. In this way, a single LUNA200 can produce up to 200 HAVs per batch while maintaining the critical operating parameters that direct growth, creating a gross capacity of approximately 900 HAVs per system annually.</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thorough comparability assessment was performed to evaluate HAV batches produced in the single drawer system and used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Phase III studies versus the 20-drawer LUNA system. The study assessed 22 separate comparisons on the identity, strength, quality,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purity, and potency of the HAV product. In this study we observed that HAVs produced in the LUNA system were comparable to HAVs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in our Phase III trials. This comparability report is being submitted to the FDA. Additionally, a crossover study, called V011, has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completed enrollment of 30 subjects to evaluate HAVs that are manufactured on Humacyte’s commercial LUNA platform,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primary goal of evaluating the safety, efficacy and immunogenicity of the LUNA-manufactured HAVs. Thus far in the trial,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10, 2020, we have observed a comparable safety profile between HAVs used in previous studies and the HAVs manufactured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LUNA commercial system. The LUNA200 system is planned to be utilized for ongoing Phase III trials and for subsequent anticipated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commercial launches after approval.</w:t>
      </w:r>
    </w:p>
    <w:p>
      <w:pPr>
        <w:spacing w:after="0" w:line="18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have designed the LUNA200 to have the ability to produce HAVs in diameter sizes from 3mm to 10mm and lengths from 10cm to 42cm, making the equipment suitable for the varied array of product candidates in our pipeline. We intend to introduce a 13cm HAV line extension after commercial launch of the 42cm HAV. Using our existing LUNA manufacturing equipment, we can generate 400 13cm HAVs per batch. Our modular manufacturing platform can be scaled without impacting the operating parameters that support the HAV growth process. We have designed our manufacturing system to be functionally closed, to utilize single-use disposable materials with aseptic connections, and to be fully automated.</w:t>
      </w:r>
    </w:p>
    <w:p>
      <w:pPr>
        <w:spacing w:after="0" w:line="152"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Modular Manufacturing Platform Allows for Production of Multiple Product Lengths Using the Same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126365</wp:posOffset>
            </wp:positionV>
            <wp:extent cx="1920240" cy="9512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2024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currently have eight LUNA200 systems installed, commissioned and qualified in our manufacturing facility, creating an annual gross HAV capacity of approximately 7,200 HAVs. Our manufacturing facility contains completed utility connections for the installation of at least 25 additional LUNA200 systems and space to further increase capacity in future years, up to approximately 40 LUNA200 systems in total. As we continue to expand production, we believe that we will have the ability to take advantage of economies of scale and reduce production costs. The initiation and pace of the expansion of vessel capacity will be determined based on our assessment of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114300</wp:posOffset>
            </wp:positionV>
            <wp:extent cx="4337685" cy="9683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3768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380" w:firstLine="324"/>
        <w:spacing w:after="0" w:line="279" w:lineRule="auto"/>
        <w:rPr>
          <w:sz w:val="20"/>
          <w:szCs w:val="20"/>
          <w:color w:val="auto"/>
        </w:rPr>
      </w:pPr>
      <w:r>
        <w:rPr>
          <w:rFonts w:ascii="Arial" w:cs="Arial" w:eastAsia="Arial" w:hAnsi="Arial"/>
          <w:sz w:val="17"/>
          <w:szCs w:val="17"/>
          <w:color w:val="auto"/>
        </w:rPr>
        <w:t>We initiate HAV production using primary human aortic vascular cells from a working cell stock (“WCS”) that is isolated from FDA-compliant donor tissues and cryopreserved. The WCS vials are stored at two separate qualified facilities to mitigate the risk of single site storage. We qualify all new WCSs for use in HAV manufacturing utilizing biochemical and gene expression assays. Each qualified primary isolation can produce approximately 500,000 to one million HAVs.</w:t>
      </w:r>
    </w:p>
    <w:p>
      <w:pPr>
        <w:spacing w:after="0" w:line="13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working cell stock is expanded using traditional cell culture techniques, and the cells are transferred onto a biocompatible, biodegradable polymer mesh within a flexible, single-use bioreactor bag. Cells inoculated onto this tubular mesh are cultured utilizing a proprietary culture medium and subjected to cyclic mechanical stretch for a period of approximately eight weeks. During this period,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salts, enzymes and detergents, followed by numerous washes in excipient grade neutral pH buffered saline. The resulting HAV retains the human extracellular matrix constituents and, therefore, the biomechanical properties of the bioengineered vessel, but cells and cellular components, which could induce a foreign body response or immune rejection following implantation, are removed. After decellularization, our HAVs are packaged for distribution inside the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same flexible bioreactor bag in which they were produced, with sterile phosphate buffered saline as the excipient. Once the package is delivered to the operating room, the HAV is removed from the bioreactor bag by the surgical staff.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w:t>
      </w:r>
    </w:p>
    <w:p>
      <w:pPr>
        <w:spacing w:after="0" w:line="18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source critical components and necessary raw materials from vendors that have been approved and qualified through our vendor management program. SeraCare is the current single source supplier of human plasma used in our manufacturing process and Confluent is the current single source supplier of the polymer mesh we use. We source custom, Humacyte-designed, pre-sterilized (gamma irradiated) assemblies and single-use tubing sets through multiple approved vendors. We source bioprocess solutions, including culture media and decellularization buffers, from a division of Thermo Fisher Scientific, which has a second production site to provide redundant media/buffer production capacity. We are in the process of developing redundant vendors for all critical materials and we manage all vendor changes through a robust change control process.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Agreement with SeraCare</w:t>
      </w:r>
    </w:p>
    <w:p>
      <w:pPr>
        <w:spacing w:after="0" w:line="19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January 2014, we entered into a supply agreement with SeraCare for the supply of human plasma, which was amended in October 2018. We refer to the supply agreement, as amended, as the SeraCare Agreement. Under the SeraCare Agreement, we agreed to purchase at least a substantial majority of our human plasma requirements from SeraCare. In the event SeraCare is unable to fulfill our requirements, and subject to certain conditions, we may engage another plasma supplier during the period in which SeraCare is unable to fulfill our requirements. The SeraCare Agreement is subject to annual price modifications in the case of significant changes in SeraCare’s cost of raw materials, with any modification to be determined at least three months prior to the end of the relevant year. The initial term of the SeraCare Agreement expires on October 12, 2023, but automatically extends for subsequent one-year periods unless terminated by either party at least 18 months prior to the end of the initial term. Either party may terminate the SeraCare Agreement for uncured material breach or for the insolvency of the other party at any time. In addition, either party may terminate the SeraCare Agreement without cause upon 12 months’ written notice. We may also terminate the agreement in the event of certain supply interruptions. Each party also agreed to indemnify the other against certain third-party claims up to a specified cap.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Agreement with Confluent</w:t>
      </w:r>
    </w:p>
    <w:p>
      <w:pPr>
        <w:spacing w:after="0" w:line="185"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In August 2015, we entered into an agreement for the supply of polymer mesh, which we refer to as the mesh supply agreement, with Biomedical Structures LLC. Biomedical Structures’ rights and obligations under the mesh supply agreement were subsequently assigned to Confluent in connection with Confluent’s acquisition of Biomedical Structures in 2016. In 2020, the agreement was amended to align with the growth expected with the transition to commercial distribution following FDA approval. Pursuant to the mesh supply agreement, the price of polymer mesh we purchase from Confluent is subject to potential adjustment if Confluent’s cost of raw materials increases above a specified threshold pursuant to good faith negotiations from both parties, which negotiation Confluent may not request more than once in a 12-month period. The 2020 amendment also provided volume driven discounts. Confluent is obligated to partner with Humacyte in order to establish redundant facilities for the manufacture of the polymer mesh at established contractual volume thresholds. The amended mesh supply agreement has a term of three years, which can be automatically extended for subsequent one-year periods and will continue to do so unless either party provides notice of non-renewal at least 120 days prior to the end of the then-current term or otherwise terminates in accordance with the agreement. We and Confluent are each also permitted to terminate the mesh supply agreement for convenience, however Confluent must provide us with at least 365 days written notice and we are obligated to provide</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180 days’ notice, prior to such a termination. In addition, each party is permitted to terminate the mesh supply agreement for an uncured material breach by the other party following failure to remedy the breach during a sixty-day cure period. Both parties have agreed to indemnify one another for certain third-party claims.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Commercialization Strategy Within United States and for Earlier-Stage Pipeline Programs</w:t>
      </w:r>
    </w:p>
    <w:p>
      <w:pPr>
        <w:spacing w:after="0" w:line="18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For our vascular repair and replacement applications of our technology, including renal replacement therapy for dialysis access, the treatment of PAD, and the treatment of vascular trauma, we have retained the right to commercialize our HAV within the United States, and expect to commercialize the HAV through a combination of our own direct sales and marketing team combined with our partnership with Fresenius Medical Care described below. We plan to own end-to-end commercialization while pursuing collaborations with appropriate strategic partners who have established distribution channels for supplying customer care centers.</w:t>
      </w:r>
    </w:p>
    <w:p>
      <w:pPr>
        <w:spacing w:after="0" w:line="121"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first expected market launch, in the treatment of vascular trauma, is a highly concentrated market of approximately 190 Level I Trauma Centers that may be reached with a small field sales forces of no more than 20 representatives. Many of the major trauma centers already have familiarity with our HAV product candidate through their participation in our clinical trials. Our sales effort will</w:t>
      </w:r>
    </w:p>
    <w:p>
      <w:pPr>
        <w:sectPr>
          <w:pgSz w:w="11900" w:h="16838" w:orient="portrait"/>
          <w:cols w:equalWidth="0" w:num="1">
            <w:col w:w="9920"/>
          </w:cols>
          <w:pgMar w:left="980" w:top="12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include dual targeting of surgeons to create pull-through demand and hospital administration (trauma center Value Analysis Committees) to assure adoption and uptake of the HAV in vascular trauma.</w:t>
      </w:r>
    </w:p>
    <w:p>
      <w:pPr>
        <w:spacing w:after="0" w:line="143"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expect that the large market potential of earlier-stage applications of our technology platform such as CABG and biovascular pancreas for diabetes will provide additional collaboration opportunities, and we expect explore strategic partnerships for these product candidates as preclinical and clinical results providing additional proof of concept are generated.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Agreement with Fresenius Medical Care</w:t>
      </w:r>
    </w:p>
    <w:p>
      <w:pPr>
        <w:spacing w:after="0" w:line="18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entered into a distribution agreement with Fresenius Medical Care in June 2018 which, as amended as of February 16, 2021, granted Fresenius Medical Care and its affiliates exclusive rights to develop outside the United States and EU and commercialize outside of the United States our 6 millimeter x 42cm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arterial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Humacyte in its commercialization of the product in the field, including adoption of the distribution product as a standard of care in patients for which such use is supported by clinical results and health economic analyses.</w:t>
      </w:r>
    </w:p>
    <w:p>
      <w:pPr>
        <w:spacing w:after="0" w:line="13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we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we agreed to use commercially reasonable efforts to support Fresenius Medical Care in its efforts.</w:t>
      </w:r>
    </w:p>
    <w:p>
      <w:pPr>
        <w:spacing w:after="0" w:line="14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Under the distribution agreement, we grant an exclusive, sublicensable license to Fresenius Medical Care under the patents, know-how and regulatory materials controlled by us during the term to commercialize the distribution product in the field outside the United States, subject to our retained rights to carry out our obligations under the distribution agreement. We also grant a non-exclusive, sublicensable license to Fresenius Medical Care under the patents, know-how and regulatory materials controlled by us during the term to develop the distribution product in accordance with the terms of the distribution agreement. In addition, we grant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3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distribution agreement provides that we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4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are obligated to make payments to Fresenius Medical Care based on a share of aggregate net sales by or on behalf of us of the distribution product in the United States in the field. Such revenue-share payments will be a percentage of net sales in the low double digits, without regard to the calendar year in which such net sales are attributable, until such time that we have paid to Fresenius Medical Care a certain total amount, at which time the revenue-share will decrease to a percentage of net sales in the mid-single digits. The amounts that Fresenius Medical Care will be obligated to pay us under the distribution agreement for sales of the distribution product in the field outside of the United States will vary. Fresenius Medical Care agreed to pay us initially, on a country-by-country basis for sales outside of the United States, the amount equal to the average cost of manufacturing our distribution product plus a fixed dollar amount per unit. Following a specified period, on a country-by-country basis outside of the United States, Fresenius Medical Care will pay us a fixed percentage of net sales for each unit sold in such country, such that the Company will receive more than half of such net sales.</w:t>
      </w:r>
    </w:p>
    <w:p>
      <w:pPr>
        <w:spacing w:after="0" w:line="139"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w:t>
      </w:r>
    </w:p>
    <w:p>
      <w:pPr>
        <w:sectPr>
          <w:pgSz w:w="11900" w:h="16838" w:orient="portrait"/>
          <w:cols w:equalWidth="0" w:num="1">
            <w:col w:w="9920"/>
          </w:cols>
          <w:pgMar w:left="980" w:top="12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us,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Reimbursement</w:t>
      </w:r>
    </w:p>
    <w:p>
      <w:pPr>
        <w:spacing w:after="0" w:line="18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anticipate that coverage and reimbursement by CMS and private payors will be essential for most patients and health care providers to afford our treatments, particularly in the applications of renal replacement therapy for dialysis access and the treatment of PAD. Accordingly, sales of our products will depend substantially, both domestically and abroad, on reimbursement by government authorities, private health coverage insurers and other third-party payors. Our strategy around HAV reimbursement focuses on achieving alignment and agreement from CMS on coding and payment pathways; both are critical to influencing and achieving optimal reimbursement payment from private payor sources. Therefore, Humacyte continues to develop a comprehensive reimbursement strategy including CMS, private payors, and other key stakeholders to ensure a clear and sustainable reimbursement path for all HAV product opportunities.</w:t>
      </w:r>
    </w:p>
    <w:p>
      <w:pPr>
        <w:spacing w:after="0" w:line="15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are pursuing a dual regulatory and legislative reimbursement strategy to ensure separate Medicare payment for the HAV at an appropriate price. The regulatory strategy includes (1) engaging CMS political and career staff directly on coverage, payment, and coding followed by (2) submission of formal applications in these areas once FDA approval is obtained. Currently, no RMAT tissue engineered product has established coverage and reimbursement by CMS, and it is difficult to predict what CMS will decide with respect to coverage and reimbursement for fundamentally novel products. See “Risk Factors—Risks Related to the Development and Commercialization of Our Product Candidates — Even if we receive marketing approval for our HAVs, there is uncertainty with respect to third-party coverage and reimbursement of our HAVs. They may also be subject to unfavorable pricing regulations, third-party reimbursement practices or healthcare reform initiatives, any of which could harm our business, prospects, operating results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that may be important for the development of our business. We additionally may rely on regulatory protection afforded through data exclusivity, market exclusivity and patent term extensions where available.</w:t>
      </w:r>
    </w:p>
    <w:p>
      <w:pPr>
        <w:spacing w:after="0" w:line="152"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w:t>
      </w:r>
    </w:p>
    <w:p>
      <w:pPr>
        <w:spacing w:after="0" w:line="10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September 1, 2021, our patent estate is comprised of 15 families of patents. Of these families, nine are solely owned by Humacyte, one is jointly owned by Humacyte and Global Life Sciences Solutions USA LLC, one is jointly owned by Humacyte and Yale University, two are exclusively licensed to Humacyte from Duke University and two are exclusively licensed to Humacyte from Yale University. For more information regarding these license agreements, see “— License Agreement with Duke University” and “— License Agreements with Yale University.”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15 families of patents are comprised of:</w:t>
      </w:r>
    </w:p>
    <w:p>
      <w:pPr>
        <w:spacing w:after="0" w:line="185" w:lineRule="exact"/>
        <w:rPr>
          <w:sz w:val="20"/>
          <w:szCs w:val="20"/>
          <w:color w:val="auto"/>
        </w:rPr>
      </w:pPr>
    </w:p>
    <w:p>
      <w:pPr>
        <w:ind w:left="340" w:right="100" w:firstLine="316"/>
        <w:spacing w:after="0" w:line="259" w:lineRule="auto"/>
        <w:tabs>
          <w:tab w:leader="none" w:pos="13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eight issued U.S. patents, 64 foreign patents in Austria, Belgium, Canada, China, Cyprus, Denmark, France, Germany, Hong Kong, Hungary, Ireland, Italy, Japan, Liechtenstein, Netherlands, Spain, Sweden, Switzerland, Turkey, and the UK, five pending U.S. non-provisional patent applications, one pending PCT patent application and two pending foreign applications in Europe and Hong Kong, which are solely owned by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80" w:firstLine="316"/>
        <w:spacing w:after="0" w:line="311" w:lineRule="auto"/>
        <w:tabs>
          <w:tab w:leader="none" w:pos="131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three issued U.S. patents, 18 issued foreign patents in Australia, Austria, Belgium, Canada, Denmark, France, Germany, Ireland, Italy, Japan, Liechtenstein, Netherlands, Spain, Sweden, Switzerland, Turkey, and the UK, one pending U.S. non-provisional patent application, and three pending foreign patent applications in Europe and Canada, which we co-own, and</w:t>
      </w:r>
    </w:p>
    <w:p>
      <w:pPr>
        <w:spacing w:after="0" w:line="121" w:lineRule="exact"/>
        <w:rPr>
          <w:rFonts w:ascii="Arial" w:cs="Arial" w:eastAsia="Arial" w:hAnsi="Arial"/>
          <w:sz w:val="16"/>
          <w:szCs w:val="16"/>
          <w:color w:val="auto"/>
        </w:rPr>
      </w:pPr>
    </w:p>
    <w:p>
      <w:pPr>
        <w:ind w:left="340" w:right="120" w:firstLine="316"/>
        <w:spacing w:after="0" w:line="259" w:lineRule="auto"/>
        <w:tabs>
          <w:tab w:leader="none" w:pos="13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three issued U.S. patents, 23 issued foreign patents in Australia, Austria, Belgium, Canada, Denmark, France, Germany, Ireland, Italy, Liechtenstein, Netherlands, Spain, Sweden, Switzerland, Turkey, and the UK, one pending U.S. non-provisional patent application, and seven pending foreign patent applications in Australia, Canada, Europe, Japan, China, and Hong Kong, which we exclusively license.</w:t>
      </w:r>
    </w:p>
    <w:p>
      <w:pPr>
        <w:spacing w:after="0" w:line="14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Many of these patents and patent applications generally relate to the scaffolds used to make our vessels, the composition of our vessels, and systems and methods of manufacturing our vessels. Excluding any patent term adjustment or patent term extension, the U.S. patent relating to the scaffold used to make our vessels expires in 2032, the U.S. patents relating to the composition of our vessels expire in 2032 and the U.S. patents relating to the systems and methods of manufacturing our vessels expires in 2032. The U.S. patent relating to the entangler machinery used to make tubular scaffolds expires in 2035. Included in our patent portfolio are three pending, Humacyte-owned non-provisional applications relating to the manufacturing of engineered tissues at commercial scale. If these three non-provisional applications are allowed, such additional patents issuing therefrom would be expected to expire around 2040.</w:t>
      </w:r>
    </w:p>
    <w:p>
      <w:pPr>
        <w:spacing w:after="0" w:line="12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For more information, see the section entitled “Risk Factors—Risks Related to Our Intellectual Property.”</w:t>
      </w:r>
    </w:p>
    <w:p>
      <w:pPr>
        <w:spacing w:after="0" w:line="16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also registered trademarks for use in connection with our products. These include registrations for HUMACYL™ in the United States, Europe, Australia, Canada, China, and Israel; HUMAGRAFT™ in Australia, China, Europe, and Israel; HUMAPASS™ in Europe, Australia, and Israel; and HUMACYTE, in the United States, Europe, Australia, Canada, and Israel. We may pursue additional registrations for future products in markets of interest.</w:t>
      </w:r>
    </w:p>
    <w:p>
      <w:pPr>
        <w:spacing w:after="0" w:line="14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to the above, we have established expertise and development capabilities focused in the areas of preclinical research and development, manufacturing process scale-up, cGMP manufacturing, quality control, quality assurance, compliance, regulatory affairs and clinical trial design and execution. We believe that our focus and expertise will help us develop and expand technology-based applications leveraging our proprietary intellectual property.</w:t>
      </w:r>
    </w:p>
    <w:p>
      <w:pPr>
        <w:spacing w:after="0" w:line="1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Finally, we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4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addition to the intellectual property that we have developed internally, we license rights to certain intellectual property that is material to our business prospects. We have summarized our material license agreements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Duke University</w:t>
      </w:r>
    </w:p>
    <w:p>
      <w:pPr>
        <w:spacing w:after="0" w:line="18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March 2006, we entered into a license agreement with Duke University (“Duke”), which was subsequently amended in 2011, 2014, 2015, 2018 and 2019. We refer to the license agreement as amended, as the Duke License Agreement. Under the Duke License Agreement, Duke granted us a worldwide, exclusive, sublicensable license to certain patents related to decellularized tissue engineering, which we refer to as the patent rights, as well as a non-exclusive license to use and practice certain know-how related to the patent rights. The relevant licensed patent on decellularization of tissue will expire in 2021. We have agreed to use commercially reasonable efforts to develop, register, market and sell products utilizing the patent rights, which we refer to as the licensed products. Any services provided to a third party utilizing licensed products are referred to as licensed services. We have also agreed to meet certain benchmarks in our development efforts, including as to development events, clinical trials, regulatory submissions and marketing approval, within specified timeframes. Under the Duke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41"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In connection with our entry into the Duke License Agreement, we granted equity consideration to Duke in the form of 200,666 shares of our common stock. Under the Duke License Agreement, we have also agreed to pay Duke: a low single-digit percentage royalty on eligible sales of licensed products and licensed services, plus a low double-digit percentage of any sublicensing revenue; an</w:t>
      </w:r>
    </w:p>
    <w:p>
      <w:pPr>
        <w:sectPr>
          <w:pgSz w:w="11900" w:h="16838" w:orient="portrait"/>
          <w:cols w:equalWidth="0" w:num="1">
            <w:col w:w="9920"/>
          </w:cols>
          <w:pgMar w:left="980" w:top="125"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annual minimum royalty beginning in 2012, which increases in the calendar year immediately following the first commercial sale of licensed products or licensed services (whichever occurs first); and an additional amount in license fees, as certain scientific milestones are met.</w:t>
      </w:r>
    </w:p>
    <w:p>
      <w:pPr>
        <w:spacing w:after="0" w:line="157"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Duke License Agreement remains effective until the latter of (i) the last of the patent rights expires or (ii) four years after our first commercial sale, unless earlier terminated. Either party may terminate the agreement for fraud, willful misconduct or illegal conduct, or uncured material breach. Duke may terminate the agreement if we become insolvent. Duke may also terminate the license, convert the license into a non-exclusive license or seek assignment of any sublicense if we fail to reach diligence milestones within the applicable time period. If we abandon any claim, patent or patent application, our rights under the license with respect to such patent rights will be terminated in the territory in which we abandon such rights. We may terminate the Duke License Agreement unilaterally upon three months’ prior notice to Duke. We agree to indemnify Duke against certain third-party claims.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 with Yale University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Large Diameter HAV</w:t>
      </w:r>
    </w:p>
    <w:p>
      <w:pPr>
        <w:spacing w:after="0" w:line="19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August 2019, we entered into a license agreement with Yale University (“Yale”) that granted us a worldwide license to the patents jointly owned with us related to tubular prostheses which are large diameter versions of our vessels, which may or may not contain a stent. The license granted under the agreement is exclusive in the field of engineered urinary conduits, engineered tracheae/airways and engineered esophagi,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26"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connection with our entry into the Yale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$0.2 million and $0.6 million for this license; a low single-digit percentage royalty on worldwide net sales, subject to reductions for third-party license fees; and a low double-digit percentage of sublicensing income.</w:t>
      </w:r>
    </w:p>
    <w:p>
      <w:pPr>
        <w:spacing w:after="0" w:line="13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If we or any of our future sublicensees bring a patent challenge against Yale or assist another party in bringing a patent challenge against Yale, the license fees described above will be subject to certain increases and penalties.</w:t>
      </w:r>
    </w:p>
    <w:p>
      <w:pPr>
        <w:spacing w:after="0" w:line="13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agreement expires on a country-by-country basis on the date on which the last of the patents in such country expires, lapses or is declared invalid.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Yale may terminate the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license agreement (i) on 90 days’ prior written notice to Yale, provided we are not in breach of the license agreement and have made all required payments to Yale thereunder and (ii) on written notice to Yale following an uncured material breach.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Diameter HAV Coating</w:t>
      </w:r>
    </w:p>
    <w:p>
      <w:pPr>
        <w:spacing w:after="0" w:line="185"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In February 2014, we entered into a license agreement with Yale that granted us a worldwide license to the patents related to coatings for small-diameter vessels to inhibit clotting. The license granted under the agreement is exclusive in the field of engineered vascular tissues and tissues and extracellular matrix-based implants used for vascular repair, reconstruction and replacement (provided</w:t>
      </w:r>
    </w:p>
    <w:p>
      <w:pPr>
        <w:sectPr>
          <w:pgSz w:w="11900" w:h="16838" w:orient="portrait"/>
          <w:cols w:equalWidth="0" w:num="1">
            <w:col w:w="9900"/>
          </w:cols>
          <w:pgMar w:left="980" w:top="125" w:right="101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that all uses are vascular tissues within the range of 1-12mm in diameter),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68"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In connection with our entry into the Yale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$0.2 million and $0.6 million for this license; a low single-digit percentage royalty on worldwide net sales, subject to reductions for third-party license fees; and a low double-digit percentage of sublicensing income.</w:t>
      </w:r>
    </w:p>
    <w:p>
      <w:pPr>
        <w:spacing w:after="0" w:line="13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If we or any of our future sublicensees bring a patent challenge against Yale or assist another party in bringing a patent challenge against Yale, the license fees described above will be subject to certain increases and penalties.</w:t>
      </w:r>
    </w:p>
    <w:p>
      <w:pPr>
        <w:spacing w:after="0" w:line="13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agreement expires on a country-by-country basis on the date on which the last of the patents in such country expires, lapses or is declared invalid. Issued patents and additional patents issuing from this licensed portfolio will expire no earlier than 2034, and the term of each patent may be extended by patent term adjustment, patent term extension, or foreign equivalents thereof. Issued patents and additional patents issuing from this licensed portfolio will expire no earlier than 2034, and the term of each patent may be extended by patent term adjustment, patent term extension, or foreign equivalents thereof. Yale may terminate the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license agreement (i) on 90 days’ prior written notice to Yale, provided we are not in breach of the license agreement and have made all required payments to Yale thereunder and (ii) on written notice to Yale following an uncured material breach. Our rights under the license agreement will also terminate automatically with respect to a patent application or patent within the licensed patents in a specified country if, upon receipt of written notice from Yale, we do not agree to pay the patent filing, prosecution and maintenance fees incurred by Yale for such patent applications or patents in the specified country.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Biovascular Pancreas</w:t>
      </w:r>
    </w:p>
    <w:p>
      <w:pPr>
        <w:spacing w:after="0" w:line="18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August 2019, we entered into a license agreement with Yale that granted us a worldwide license to its patents related to a biovascular pancreas. The license granted under the agreement is exclusive in the field of acellular vascular tissues that deliver pancreatic islet cells to patients,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2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In connection with our entry into the Yale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$0.1 million and $0.2 million for this license; a low single-digit percentage royalty on worldwide net sales, subject to reductions for third-party license fees; and a low double-digit percentage of sublicensing income.</w:t>
      </w:r>
    </w:p>
    <w:p>
      <w:pPr>
        <w:spacing w:after="0" w:line="13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If we or any future sublicensees bring a patent challenge against Yale or assist another party in bringing a patent challenge against Yale, the license fees described above will be subject to certain increases and penalties.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agreement expires on a country-by-country basis on the date on which the last of the patents in such country expires, lapses or is declared invalid. Patents issuing from this licensed portfolio will expire no earlier than 2039, and the term of each patent may be extended by patent term adjustment, patent term extension, or foreign equivalents thereof. Patents issuing from this licensed portfolio will expire no earlier than 2039, and the term of each patent may be extended by patent term adjustment, patent term extension, or foreign equivalents thereof. Yale may terminate the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license agreement (i) on 90 days’ prior written notice to Yale, provided we are not in breach of the license agreement and have made all required payments to Yale thereunder and (ii) on written notice to Yale following an uncured material breach. Our rights under the license agreement will also terminate automatically with respect to a patent application or patent within the licensed patents in a specified country if, upon receipt of written notice from Yale, we do not agree to pay the patent filing, prosecution and maintenance fees incurred by Yale for such patent applications or patents in the specified country.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8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Despite the magnitude and critical nature of the diseases and conditions we are targeting, no significant advances in the open surgical market have been made in the last 35 years, and current treatment and products used in vascular repair, reconstruction and replacement suffer from various drawbacks. The large majority of vascular repair, reconstruction and replacement procedures rely on either harvesting autologous veins or using synthetic grafts. However, each method presents significant limitations as discussed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Autologous Veins</w:t>
      </w:r>
    </w:p>
    <w:p>
      <w:pPr>
        <w:spacing w:after="0" w:line="19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harvest of autologous veins is a serious operation that can result in numerous complications, including infection, chronic pain, and limb swelling that severely impact the patient’s quality of life. In addition, this procedure can often result in long recovery times, increased hospital stays, and increased risk of hospital readmission. In order to obtain an autologous vein, such as a saphenous vein, for use in a surgical procedure, a second operation must be performed on the patient to harvest the vein. The harvesting process must be completed before the bypass procedure occurs and can take significant time to complete, which increases costs related to the additional operative time and staff required to perform the operation. Even if successful, the patient’s recovery time could increase as the patient must recover from two surgical procedures instead of one, further increasing morbidity and cost. Additionally, a significant percentage of patients are not suitable for vein harvesting either due to vein or limb damage, limited vein supply from prior harvest, venous disease or the surgeon’s desire to preserve the vein for future coronary or other bypass procedures. In acute trauma, the time to restore blood flow to injured limbs is delayed when a vein must be harvested from the patient, which puts the limbs at greater risk of reduced function or amputation.</w:t>
      </w:r>
    </w:p>
    <w:p>
      <w:pPr>
        <w:spacing w:after="0" w:line="14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For patients suffering from vascular trauma, some types of injury preclude the harvesting of autologous saphenous vein due to concomitant injuries of one or both legs. Furthermore, time is required to prepare the vein harvest site and to remove the vein from the leg, which adds to ischemia time and can increase the risk of tissue and limb loss. Rates of traumatic limb loss are strongly tied to ischemia time, and therefore rapid revascularization using an off-the-shelf HAV conduit may decrease ischemia time and lead to better outcomes.</w:t>
      </w:r>
    </w:p>
    <w:p>
      <w:pPr>
        <w:spacing w:after="0" w:line="14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use of autologous vein for creating an AV fistula for use in hemodialysis is often limited by vein size and location. The vast majority of veins must go through a process of enlargement, known as maturation, prior to use for hemodialysis. For approximately 40% of patients receiving fistulae, the vein does not mature sufficiently to allow for hemodialysis even after six months. Even in patients having adequate veins for fistula creation, the fistula often becomes large, tortuous and disfiguring and can be at risk for sometimes fatal rupture.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Synthetic Grafts</w:t>
      </w:r>
    </w:p>
    <w:p>
      <w:pPr>
        <w:spacing w:after="0" w:line="19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Use of synthetic materials, such as ePTFE and Dacron, while widely available, have known complications, such as continuous chronic risk of infection and clotting inside the graft. Risk of infection is significantly increased in acute battlefield and civilian injuries, as well as in contaminated wounds. The body recognizes any synthetic materials as foreign and, therefore, can mount a host foreign body response following implantation. Synthetic materials also have been shown to be inferior to autologous vein in resisting infection, and generally only are used for vascular repair when autologous vein is not an option.</w:t>
      </w:r>
    </w:p>
    <w:p>
      <w:pPr>
        <w:sectPr>
          <w:pgSz w:w="11900" w:h="16838" w:orient="portrait"/>
          <w:cols w:equalWidth="0" w:num="1">
            <w:col w:w="9900"/>
          </w:cols>
          <w:pgMar w:left="980" w:top="125" w:right="101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hemodialysis access, persistent puncture presents an ongoing risk of graft infection. The annual risk of infection of ePTFE grafts in hemodialysis patients can be as high as 10% – 15% per patient-year. Furthermore, gradual degradation of the non-healing ePTFE graft material caused by persistent needle punctures can eventually lead to graft failure. In traumatic vascular injury, ePTFE grafts are generally contraindicated, due to the high rates of contamination of the wound that can lead to synthetic graft infection and failure.</w:t>
      </w:r>
    </w:p>
    <w:p>
      <w:pPr>
        <w:spacing w:after="0" w:line="130"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Two lesser used products, cryopreserved human blood vessels, known as allografts, and animal-derived vessels, known as xenografts, also involve significant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Cryopreserved Blood Vessels</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To eliminate the need for harvesting autologous vein, some surgeons use allogeneic vessels that have been previously harvested from cadavers and cryogenically preserved. These allogeneic vessels are stored at -80 degrees Celsius and must be thawed prior to use, which can take up to 60 minutes. The supply of cryopreserved vessels is limited by the number of cadaveric donors available, and the vessels are often non-uniform in size. In addition, because the vessels contain human cells from a donor, they can generate an immune rejection response that can lead to aneurismal degradation or catastrophic failure. Furthermore, development of antibodies to the implanted cryopreserved human vessel frequently has a detrimental impact on the ability of the patient to receive a transplant in the future. Cryopreserved blood vessels are only rarely used in the treatment of vascular trauma, due to the time required for procurement and thawing, and the high rates of rejection response.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Animal-Derived Vessels</w:t>
      </w:r>
    </w:p>
    <w:p>
      <w:pPr>
        <w:spacing w:after="0" w:line="18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Xenogeneic tissues, including cow, pig or sheep-derived vessels, are used less frequently in vascular surgery, in part due to the risk of thrombosis and structural deterioration over time. The limited clinical data that are available for existing xenografts in vascular reconstruction indicates lower patency rates and higher incidence of complications when compared to autologous vein. Xenografts are all chemically treated in efforts to minimize rejection to animal components, and therefore do not respond like living tissue. Some of these products require rinsing to remove toxic chemicals used for storage.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w:t>
      </w:r>
    </w:p>
    <w:p>
      <w:pPr>
        <w:spacing w:after="0" w:line="18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believe our HAVs combine the off-the-shelf availability of synthetic grafts with the regenerative capabilities of autologous vessels. We believe these and other attributes have the potential to address unmet clinical needs in a range of disease states, including atherosclerosis, end-stage kidney disease, coronary artery disease, vascular trauma, pediatric congenital heart disease, airway disease, and others. We believe that the HAV’s multiple key characteristics will drive rapid clinical adoption amongst surgeons and the broader healthcare community:</w:t>
      </w:r>
    </w:p>
    <w:p>
      <w:pPr>
        <w:spacing w:after="0" w:line="161" w:lineRule="exact"/>
        <w:rPr>
          <w:sz w:val="20"/>
          <w:szCs w:val="20"/>
          <w:color w:val="auto"/>
        </w:rPr>
      </w:pPr>
    </w:p>
    <w:p>
      <w:pPr>
        <w:ind w:left="680" w:right="420" w:hanging="321"/>
        <w:spacing w:after="0" w:line="277"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Off-the-Shelf</w:t>
      </w:r>
      <w:r>
        <w:rPr>
          <w:rFonts w:ascii="Arial" w:cs="Arial" w:eastAsia="Arial" w:hAnsi="Arial"/>
          <w:sz w:val="18"/>
          <w:szCs w:val="18"/>
          <w:color w:val="auto"/>
        </w:rPr>
        <w:t>: Our “cabinet” of HAVs of varying diameters and lengths is designed to be stored on-site at facilities such as hospitals, trauma centers and outpatient surgical centers.</w:t>
      </w:r>
    </w:p>
    <w:p>
      <w:pPr>
        <w:spacing w:after="0" w:line="129" w:lineRule="exact"/>
        <w:rPr>
          <w:rFonts w:ascii="Arial" w:cs="Arial" w:eastAsia="Arial" w:hAnsi="Arial"/>
          <w:sz w:val="18"/>
          <w:szCs w:val="18"/>
          <w:color w:val="auto"/>
        </w:rPr>
      </w:pPr>
    </w:p>
    <w:p>
      <w:pPr>
        <w:ind w:left="680" w:right="220" w:hanging="321"/>
        <w:spacing w:after="0" w:line="259"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Immediately Available</w:t>
      </w:r>
      <w:r>
        <w:rPr>
          <w:rFonts w:ascii="Arial" w:cs="Arial" w:eastAsia="Arial" w:hAnsi="Arial"/>
          <w:sz w:val="18"/>
          <w:szCs w:val="18"/>
          <w:color w:val="auto"/>
        </w:rPr>
        <w:t>: When needed, our HAVs are available for immediate use by opening and removing the HAV from its original flexible bioreactor bag. Since our HAV does not need flushing, harvesting or thawing, as is common with other vascular substitute alternatives, we believe hospitals will be able to use our HAVs for vascular surgery more quickly with smaller surgical teams, reduced logistics and decreased overall cost.</w:t>
      </w:r>
    </w:p>
    <w:p>
      <w:pPr>
        <w:spacing w:after="0" w:line="146" w:lineRule="exact"/>
        <w:rPr>
          <w:rFonts w:ascii="Arial" w:cs="Arial" w:eastAsia="Arial" w:hAnsi="Arial"/>
          <w:sz w:val="18"/>
          <w:szCs w:val="18"/>
          <w:color w:val="auto"/>
        </w:rPr>
      </w:pPr>
    </w:p>
    <w:p>
      <w:pPr>
        <w:ind w:left="680" w:right="340" w:hanging="321"/>
        <w:spacing w:after="0" w:line="263"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Surgical Harvesting</w:t>
      </w:r>
      <w:r>
        <w:rPr>
          <w:rFonts w:ascii="Arial" w:cs="Arial" w:eastAsia="Arial" w:hAnsi="Arial"/>
          <w:sz w:val="18"/>
          <w:szCs w:val="18"/>
          <w:color w:val="auto"/>
        </w:rPr>
        <w:t>: The use of our HAVs does not subject patients to the serious operation of harvesting an autologous vein, which can result in greater procedure and recovery time, potential scarring and disfigurement, increased costs, and numerous potential health complications.</w:t>
      </w:r>
    </w:p>
    <w:p>
      <w:pPr>
        <w:spacing w:after="0" w:line="156" w:lineRule="exact"/>
        <w:rPr>
          <w:rFonts w:ascii="Arial" w:cs="Arial" w:eastAsia="Arial" w:hAnsi="Arial"/>
          <w:sz w:val="18"/>
          <w:szCs w:val="18"/>
          <w:color w:val="auto"/>
        </w:rPr>
      </w:pPr>
    </w:p>
    <w:p>
      <w:pPr>
        <w:ind w:left="680" w:right="20" w:hanging="321"/>
        <w:spacing w:after="0" w:line="301" w:lineRule="auto"/>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Non-Immunogenic and No Foreign Body Response</w:t>
      </w:r>
      <w:r>
        <w:rPr>
          <w:rFonts w:ascii="Arial" w:cs="Arial" w:eastAsia="Arial" w:hAnsi="Arial"/>
          <w:sz w:val="16"/>
          <w:szCs w:val="16"/>
          <w:color w:val="auto"/>
        </w:rPr>
        <w:t>: Given their acellular nature, our HAVs have the potential to be universally implantable and durable across patients. Because our HAVs are derived from human tissue (but cleansed of all cells and cellular components), we believe (and have observed in clinical trials to date) that they do not generate the foreign body response associated with the use of synthetic grafts, or the immune response associated with cryopreserved vessels.</w:t>
      </w:r>
    </w:p>
    <w:p>
      <w:pPr>
        <w:spacing w:after="0" w:line="116" w:lineRule="exact"/>
        <w:rPr>
          <w:rFonts w:ascii="Arial" w:cs="Arial" w:eastAsia="Arial" w:hAnsi="Arial"/>
          <w:sz w:val="16"/>
          <w:szCs w:val="16"/>
          <w:color w:val="auto"/>
        </w:rPr>
      </w:pPr>
    </w:p>
    <w:p>
      <w:pPr>
        <w:ind w:left="680" w:right="80" w:hanging="321"/>
        <w:spacing w:after="0" w:line="263"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Low Infection Susceptibility</w:t>
      </w:r>
      <w:r>
        <w:rPr>
          <w:rFonts w:ascii="Arial" w:cs="Arial" w:eastAsia="Arial" w:hAnsi="Arial"/>
          <w:sz w:val="18"/>
          <w:szCs w:val="18"/>
          <w:color w:val="auto"/>
        </w:rPr>
        <w:t>: In clinical trials to date, we have observed reduced rates of infection in our HAVs as compared to synthetic materials. As a result, we believe our HAVs may be used in complicated and potentially contaminated wounds with fewer patient complications following the initial procedure.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100" w:hanging="321"/>
        <w:spacing w:after="0" w:line="263"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Uniform and Predictable Size, Structure and Quality</w:t>
      </w:r>
      <w:r>
        <w:rPr>
          <w:rFonts w:ascii="Arial" w:cs="Arial" w:eastAsia="Arial" w:hAnsi="Arial"/>
          <w:sz w:val="18"/>
          <w:szCs w:val="18"/>
          <w:color w:val="auto"/>
        </w:rPr>
        <w:t>: Harvested veins vary in size, structure and quality by donor. We manufacture our HAVs to precise specifications under controlled quality standards, which will allow surgeons the flexibility to quickly and easily select an HAV in the appropriate size and shape for each indication.</w:t>
      </w:r>
    </w:p>
    <w:p>
      <w:pPr>
        <w:spacing w:after="0" w:line="156"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Regenerative Potential</w:t>
      </w:r>
      <w:r>
        <w:rPr>
          <w:rFonts w:ascii="Arial" w:cs="Arial" w:eastAsia="Arial" w:hAnsi="Arial"/>
          <w:sz w:val="18"/>
          <w:szCs w:val="18"/>
          <w:color w:val="auto"/>
        </w:rPr>
        <w:t>: Our HAVs repopulate with the patient’s own vascular cells, creating a living vascular tissue with the associated long-term benefits of self-healing and infection resistance.</w:t>
      </w:r>
    </w:p>
    <w:p>
      <w:pPr>
        <w:spacing w:after="0" w:line="130"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If approved, we expect our HAVs would compete with the use of a patient’s own blood vessels, as well as a variety of marketed products, such as conventional synthetic grafts, xenografts, and allografts, as well as developing technologies. We expect the key competitive factors affecting the commercial success of our HAVs to likely be efficacy, safety, convenience, pricing and reimbursement.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Entities</w:t>
      </w:r>
    </w:p>
    <w:p>
      <w:pPr>
        <w:spacing w:after="0" w:line="19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There are several conventional synthetic grafts made of ePTFE or Dacron presently on the market from companies such as Bard Peripheral Vascular, Inc., W.L. Gore &amp; Associates, Inc., Terumo Medical Systems, and Atrium (Maquet Getinge Group) that are used for both AV access for hemodialysis and vascular repair. Xenograft and allograft products are also available, but not widely used. Xenografts, such as Artegraft® and Procol®, are processed animal-derived vessels, while allografts are processed allogeneic cellular vessels, such as CryoVein® and AngioGRAFT®.</w:t>
      </w:r>
    </w:p>
    <w:p>
      <w:pPr>
        <w:spacing w:after="0" w:line="14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There are also a number of companies of which we are aware that have preclinical and early clinical-stage research programs underway to develop products that could potentially compete with our HAVs, including NovaHep AB, Xeltis AG, Hancock Jaffe, and Vascudyne Inc. We may face competition from these and other emerging technologies such as bioabsorbable polymetric implants and electrospun or 3D printed tubular conduits.</w:t>
      </w:r>
    </w:p>
    <w:p>
      <w:pPr>
        <w:spacing w:after="0" w:line="146" w:lineRule="exact"/>
        <w:rPr>
          <w:sz w:val="20"/>
          <w:szCs w:val="20"/>
          <w:color w:val="auto"/>
        </w:rPr>
      </w:pPr>
    </w:p>
    <w:p>
      <w:pPr>
        <w:jc w:val="both"/>
        <w:ind w:right="60" w:firstLine="324"/>
        <w:spacing w:after="0" w:line="30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more effective, safer, have fewer or less severe side effects, are more convenient or are less expensive than the products that we develop. Our competitors also may obtain FDA or other marketing approval for their products more rapidly than we may obtain the same approval for ours, which could result in our competitors establishing a strong market position before we are able to enter the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FDA and comparable regulatory authorities in state and local jurisdictions and in other countries impose substantial and burdensome requirements on the research, development, testing, manufacture, quality control, safety, effectiveness, packaging, labeling, storage, record keeping, marketing, advertising and promotion, import/export, and distribution of our vessels.</w:t>
      </w:r>
    </w:p>
    <w:p>
      <w:pPr>
        <w:spacing w:after="0" w:line="1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the United States, the FDA regulates pharmaceutical drugs, medical devices and biologic products under the Federal Food, Drug, and Cosmetic Act (“FDCA”), the Public Health Service Act (“PHSA”), FDA implementing regulations, and other laws. Our vessels are subject to regulation by the FDA as biologics. Biologics require the submission of a BLA and approval by the FDA before being marketed in the United States. None of our vessels have been approved by the FDA for marketing in the United States, and we currently have no BLAs pending. If we fail to comply with applicable FDA or other requirements at any time during the product development process, clinical testing, and the approval process or after approval, we may become subject to administrative or judicial sanctions. These sanctions could include the FDA’s refusal to approve pending applications, license suspension or revocation, withdrawal of an approval, warning letters, product recalls, product seizures, total or partial suspension of production or distribution, injunctions, fines, civil penalties or criminal prosecution. Any FDA enforcement action could have a material adverse effect on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 — Biological Products in the United States</w:t>
      </w:r>
    </w:p>
    <w:p>
      <w:pPr>
        <w:spacing w:after="0" w:line="18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Before a biologic is approved in the United States, an applicant must submit a BLA that includes sufficient evidence to establish the safety, purity, and potency of the product candidate for its intended indications, including from the results of preclinical studies and clinical trials. A BLA must also contain extensive information about manufacturing and product quality control testing, and the applicant must pass an FDA preapproval inspection of the manufacturing facility or facilities at which the biologic product is produced and distributed from to assess compliance with current good manufacturing practices, or cGMPs.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steps for obtaining FDA approval of a BLA to market a biologic product in the United States generally include:</w:t>
      </w:r>
    </w:p>
    <w:p>
      <w:pPr>
        <w:spacing w:after="0" w:line="198" w:lineRule="exact"/>
        <w:rPr>
          <w:sz w:val="20"/>
          <w:szCs w:val="20"/>
          <w:color w:val="auto"/>
        </w:rPr>
      </w:pPr>
    </w:p>
    <w:p>
      <w:pPr>
        <w:ind w:left="680" w:right="360" w:hanging="321"/>
        <w:spacing w:after="0" w:line="277" w:lineRule="auto"/>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performed in accordance with the FDA’s current good laboratory practice (“GLP”), regulations;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Submission to the FDA of an IND, which must become effective before human clinical trials in the United States may begin;</w:t>
      </w:r>
    </w:p>
    <w:p>
      <w:pPr>
        <w:spacing w:after="0" w:line="207" w:lineRule="exact"/>
        <w:rPr>
          <w:rFonts w:ascii="Arial" w:cs="Arial" w:eastAsia="Arial" w:hAnsi="Arial"/>
          <w:sz w:val="16"/>
          <w:szCs w:val="16"/>
          <w:color w:val="auto"/>
        </w:rPr>
      </w:pPr>
    </w:p>
    <w:p>
      <w:pPr>
        <w:ind w:left="680" w:right="200" w:hanging="321"/>
        <w:spacing w:after="0" w:line="277" w:lineRule="auto"/>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IRB or ethics committee representing each clinical site before each clinical trial may be initiated;</w:t>
      </w:r>
    </w:p>
    <w:p>
      <w:pPr>
        <w:spacing w:after="0" w:line="143" w:lineRule="exact"/>
        <w:rPr>
          <w:rFonts w:ascii="Arial" w:cs="Arial" w:eastAsia="Arial" w:hAnsi="Arial"/>
          <w:sz w:val="18"/>
          <w:szCs w:val="18"/>
          <w:color w:val="auto"/>
        </w:rPr>
      </w:pPr>
    </w:p>
    <w:p>
      <w:pPr>
        <w:ind w:left="680" w:right="120" w:hanging="321"/>
        <w:spacing w:after="0" w:line="263" w:lineRule="auto"/>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GCPs and any additional requirements for the protection of human research subjects and their health information, to establish the safety and efficacy of the product candidate for each proposed indication;</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Submission to the FDA of a BLA;</w:t>
      </w:r>
    </w:p>
    <w:p>
      <w:pPr>
        <w:spacing w:after="0" w:line="184" w:lineRule="exact"/>
        <w:rPr>
          <w:rFonts w:ascii="Arial" w:cs="Arial" w:eastAsia="Arial" w:hAnsi="Arial"/>
          <w:sz w:val="18"/>
          <w:szCs w:val="18"/>
          <w:color w:val="auto"/>
        </w:rPr>
      </w:pPr>
    </w:p>
    <w:p>
      <w:pPr>
        <w:ind w:left="680" w:right="120" w:hanging="321"/>
        <w:spacing w:after="0" w:line="259" w:lineRule="auto"/>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and distribution site at which the product is produced: to assess compliance with cGMP regulations; to assure that the facilities, production methods, testing and controls are adequate; and, if applicable, to assure compliance with cGTP requirements for human cellular and tissue-derived products;</w:t>
      </w:r>
    </w:p>
    <w:p>
      <w:pPr>
        <w:spacing w:after="0" w:line="146" w:lineRule="exact"/>
        <w:rPr>
          <w:rFonts w:ascii="Arial" w:cs="Arial" w:eastAsia="Arial" w:hAnsi="Arial"/>
          <w:sz w:val="18"/>
          <w:szCs w:val="18"/>
          <w:color w:val="auto"/>
        </w:rPr>
      </w:pPr>
    </w:p>
    <w:p>
      <w:pPr>
        <w:ind w:left="680" w:hanging="321"/>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Potential FDA audit of the nonclinical study and clinical trial sites that generated the data in support of the BLA;</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if applicable;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FDA review and approval, or licensure, of the BLA prior to any commercial marketing, sale or shipment of the product.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Biological Products Development Process</w:t>
      </w:r>
    </w:p>
    <w:p>
      <w:pPr>
        <w:spacing w:after="0" w:line="185"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vessels will be granted on a timely basis, if at all.</w:t>
      </w:r>
    </w:p>
    <w:p>
      <w:pPr>
        <w:spacing w:after="0" w:line="13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Once a product candidate is identified for development, that biologic candidate enters the preclinical testing stage. Preclinical studies include laboratory evaluations of product chemistry, toxicity, formulation and stability, as well as animal studies to evaluate the product’s potential safety and activity. The results of the preclinical studies, together with manufacturing information, analytical data, and at least one protocol for clinical study, are submitted to the FDA as part of an IND.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This is known as a “clinical hold.” In such a case, the IND sponsor must resolve all of the FDA’s concerns to the agency’s satisfaction before the clinical trial can begin. Submission of an IND may result in the FDA not allowing the clinical trials to commence or not allowing the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 Even after a clinical trial has begun, the FDA can issue a clinical hold at any time if it concludes that certain conditions exist, such as patients may be exposed to an unreasonable and significant risk of illness or injury.</w:t>
      </w:r>
    </w:p>
    <w:p>
      <w:pPr>
        <w:spacing w:after="0" w:line="14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Clinical trials involve the use of the product candidate in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 An independent IRB for each medical center proposing to conduct a clinical trial must also review and approve a plan for any clinical trial before it can begin at that center and the IRB must monitor the clinical trial until it is completed. The IRB must review and approve, among other things, the study protocol and informed consent information to be provided to study subjects.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Clinical testing also must satisfy extensive GCP requirements, including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requirements for informed consent. Information about clinical trials must be submitted within specific timeframes to the NIH for public dissemination on its ClinicalTrials.gov website.</w:t>
      </w:r>
    </w:p>
    <w:p>
      <w:pPr>
        <w:spacing w:after="0" w:line="14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purposes of BLA submission and approval, clinical trials are typically conducted in three sequential phases, which may overlap or be combined. For Humacyte’s development of product candidates, Phase I and Phase II trials have heretofore been combined into a single trial design. For the V005 trauma trial, we are in discussions with FDA about converting a Phase II/III study into a Phase III pivotal study.</w:t>
      </w:r>
    </w:p>
    <w:p>
      <w:pPr>
        <w:spacing w:after="0" w:line="146" w:lineRule="exact"/>
        <w:rPr>
          <w:sz w:val="20"/>
          <w:szCs w:val="20"/>
          <w:color w:val="auto"/>
        </w:rPr>
      </w:pPr>
    </w:p>
    <w:p>
      <w:pPr>
        <w:ind w:left="680" w:right="180" w:hanging="321"/>
        <w:spacing w:after="0" w:line="263" w:lineRule="auto"/>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Phase I. </w:t>
      </w:r>
      <w:r>
        <w:rPr>
          <w:rFonts w:ascii="Arial" w:cs="Arial" w:eastAsia="Arial" w:hAnsi="Arial"/>
          <w:sz w:val="18"/>
          <w:szCs w:val="18"/>
          <w:color w:val="auto"/>
        </w:rPr>
        <w:t>The biological product is initially introduced into human subjects and tested for safety. These initial trials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potential toxicity and pharmacological activity of the investigational product (including pharmacokinetics, if applicable), and, if possible, gain early evidence on effectiveness.</w:t>
      </w:r>
    </w:p>
    <w:p>
      <w:pPr>
        <w:spacing w:after="0" w:line="143" w:lineRule="exact"/>
        <w:rPr>
          <w:rFonts w:ascii="Arial" w:cs="Arial" w:eastAsia="Arial" w:hAnsi="Arial"/>
          <w:sz w:val="18"/>
          <w:szCs w:val="18"/>
          <w:color w:val="auto"/>
        </w:rPr>
      </w:pPr>
    </w:p>
    <w:p>
      <w:pPr>
        <w:ind w:left="680" w:right="20" w:hanging="321"/>
        <w:spacing w:after="0" w:line="286" w:lineRule="auto"/>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Phase II</w:t>
      </w:r>
      <w:r>
        <w:rPr>
          <w:rFonts w:ascii="Arial" w:cs="Arial" w:eastAsia="Arial" w:hAnsi="Arial"/>
          <w:sz w:val="17"/>
          <w:szCs w:val="17"/>
          <w:color w:val="auto"/>
        </w:rPr>
        <w:t>. The biological product is evaluated in a limited patient population to identify potential adverse events and safety risks,</w:t>
      </w:r>
      <w:r>
        <w:rPr>
          <w:rFonts w:ascii="Arial" w:cs="Arial" w:eastAsia="Arial" w:hAnsi="Arial"/>
          <w:sz w:val="17"/>
          <w:szCs w:val="17"/>
          <w:i w:val="1"/>
          <w:iCs w:val="1"/>
          <w:color w:val="auto"/>
        </w:rPr>
        <w:t xml:space="preserve"> </w:t>
      </w:r>
      <w:r>
        <w:rPr>
          <w:rFonts w:ascii="Arial" w:cs="Arial" w:eastAsia="Arial" w:hAnsi="Arial"/>
          <w:sz w:val="17"/>
          <w:szCs w:val="17"/>
          <w:color w:val="auto"/>
        </w:rPr>
        <w:t>to evaluate preliminarily the efficacy of the product candidate for specific targeted indications in patients with the disease or condition under trial, and, when applicable, to evaluate dosage tolerance and appropriate dosage.</w:t>
      </w:r>
    </w:p>
    <w:p>
      <w:pPr>
        <w:spacing w:after="0" w:line="138" w:lineRule="exact"/>
        <w:rPr>
          <w:rFonts w:ascii="Arial" w:cs="Arial" w:eastAsia="Arial" w:hAnsi="Arial"/>
          <w:sz w:val="17"/>
          <w:szCs w:val="17"/>
          <w:color w:val="auto"/>
        </w:rPr>
      </w:pPr>
    </w:p>
    <w:p>
      <w:pPr>
        <w:jc w:val="both"/>
        <w:ind w:left="680" w:right="140" w:hanging="321"/>
        <w:spacing w:after="0" w:line="296" w:lineRule="auto"/>
        <w:tabs>
          <w:tab w:leader="none" w:pos="6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Phase III. </w:t>
      </w:r>
      <w:r>
        <w:rPr>
          <w:rFonts w:ascii="Arial" w:cs="Arial" w:eastAsia="Arial" w:hAnsi="Arial"/>
          <w:sz w:val="16"/>
          <w:szCs w:val="16"/>
          <w:color w:val="auto"/>
        </w:rPr>
        <w:t>The biological product is administered to an expanded patient population, often large numbers of patients of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hundred to several thousand and generally at geographically dispersed clinical trial sites. These trials are designed to generate enough data to statistically evaluate clinical effectiveness and safety as well as to establish the overall benefit-risk relationship of the investigational new biological product, and to provide an adequate basis for product approval. FDA typically requires at least two Phase III trials to support approval, but in some cases may approve an application on the basis of one trial.</w:t>
      </w:r>
    </w:p>
    <w:p>
      <w:pPr>
        <w:spacing w:after="0" w:line="121"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IV clinical trials.</w:t>
      </w:r>
    </w:p>
    <w:p>
      <w:pPr>
        <w:spacing w:after="0" w:line="143"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During all phases of clinical development, regulatory agencies require extensive monitoring and auditing of all clinical activities, clinical data, and clinical trial investigators. Annual progress reports detailing the progress of the clinical trials must be submitted to the FDA. Written IND safety reports must be promptly submitted to the FDA and the investigators detailing serious and unexpected adverse events, any findings from other studies that suggest a significant risk to human patients, tests in laboratory animals or in vitro testing that suggest a significant risk for human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FDA or the sponsor may suspend or terminate a clinical trial at any time on various grounds, including a finding that the research patients are being exposed to an unacceptable health risk, including risks inferred from other trials on other products.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4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Concurrent with clinical trials, companies usually complete additional animal trials and must also develop additional information about the characteristics of the biologic and finalize a process for manufacturing the biologic in commercial quantities in accordance with cGMP and, when applicable, GTP requirements. The manufacturing process must be capable of consistently producing quality batches of the product candidate. Additionally, appropriate packaging must be selected and tested and stability studies must be conducted to demonstrate that the product candidate does not undergo unacceptable deterioration over its shelf life.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 Review Process</w:t>
      </w:r>
    </w:p>
    <w:p>
      <w:pPr>
        <w:spacing w:after="0" w:line="18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results of preclinical studies and of the clinical trials, together with other detailed information, including extensive manufacturing information, information on the composition of the biologic, and proposed labeling, are submitted to the FDA in the form of a BLA requesting approval to market the biologic in the United States for one or more specified indications. The FDA reviews a BLA to determine, among other things, whether a biologic is safe and effective for its intended use.</w:t>
      </w:r>
    </w:p>
    <w:p>
      <w:pPr>
        <w:spacing w:after="0" w:line="160"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The FDA has 60 days from its receipt of a BLA to determine whether the application will be accepted for filing based on the FDA’s threshold determination that the application is sufficiently complete to permit substantive review. The FDA may refuse to file any BLA that it deems incomplete or not properly reviewable at the time of submission and may request additional information. In this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event, the BLA must be resubmitted with the additional information. The resubmitted application also is subject to review before the FDA accepts it for filing. After the BLA submission is accepted for filing, the FDA reviews the BLA to determine, among other things, whether the proposed product is safe and potent, or effective, for its intended use, and has an acceptable purity profile, and whether the product is being manufactured in accordance with cGMPs (and, where applicable, GTPs) to assure and preserve the product’s identity, safety, strength, quality, potency, and purity, and biological product standards. The FDA may refer applications for novel biological products or biological products that present difficult questions of safety or efficacy to an advisory committee, typically a panel that includes outside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5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Before approving an application, the FDA will, among other things, inspect the facility or the facilities at which the biologic product is manufactured and distributed, and will not approve the product unless cGMP compliance is satisfactory. The FDA may also inspect the sites at which the clinical trials were conducted to assess their compliance, and may refuse to approve the biologic if compliance with GCP requirements is found to be unsatisfactory. For a human cellular or tissue product the FDA also may refuse to approve the product if the manufacturer is not in compliance with GTP requirements, in addition to cGMPs.</w:t>
      </w:r>
    </w:p>
    <w:p>
      <w:pPr>
        <w:spacing w:after="0" w:line="13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FDA also has authority to require a REMS from manufacturers to ensure that the benefits of a biological product outweigh its risks. A sponsor may also voluntarily propose a REMS as part of the BLA submission. The need for a REMS is determined as part of the review of the BLA. Based on statutory standards, elements of a REMS may include “dear doctor letters,” a medication guide, more elaborate targeted educational programs, and in some cases restrictions on distribution and/or use. These elements are negotiated as part of the BLA approval, and in some cases may delay the approval date. Once adopted, REMS are subject to periodic assessment and modification.</w:t>
      </w:r>
    </w:p>
    <w:p>
      <w:pPr>
        <w:spacing w:after="0" w:line="15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vessels for the treatment of a disease, the results may not be satisfactory to the FDA. Preclinical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our vessels. The FDA may limit the indications for use or place other conditions on any approvals that could restrict the commercial application of the products.</w:t>
      </w:r>
    </w:p>
    <w:p>
      <w:pPr>
        <w:spacing w:after="0" w:line="16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Biologics may be marketed only for the FDA approved indications and in accordance with the provisions of the approved labeling. Further, if there are any modifications to the biologic, including changes in indications, labeling, or manufacturing processes or facilities, the applicant may be required to submit and obtain FDA approval of a new BLA or BLA supplement, which may require developing additional data or conducting additional preclinical studies and clinical trials. As with new BLAs, the review process is often significantly extended by FDA requests for additional information or clarification.</w:t>
      </w:r>
    </w:p>
    <w:p>
      <w:pPr>
        <w:spacing w:after="0" w:line="13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Biologics Price Competition and Innovation Act (“BPCIA”), amended the PHSA to authorize the FDA to approve similar versions of innovative biologics, commonly known as biosimilars. A competitor seeking approval of a biosimilar must file an application to establish its product as highly similar to an approved innovator biologic, among other requirements. The BPCIA, however, bars the FDA from approving biosimilar applications for 12 years after an innovator biological product receives initial marketing approval. This bar does not apply to submission or approval of full BLAs. Because FDA has determined that our HAVs are regulated as biologics and require a BLA for marketing, we believe that our lead product will be entitled to 12 years of exclusivity upon approval. Nevertheless, the BPCIA is complex and is only beginning to be interpreted and implemented by the FDA. As a result, its ultimate impact, implementation and meaning is subject to uncertainty.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8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FDA offers various programs, including Fast Track designation, Breakthrough Therapy Designation, accelerated approval, priority review and RMAT designation, that are intended to expedite the process for the development and FDA review of biological products that are intended for the treatment of serious or life-threatening diseases or conditions. To be eligible for Fast Track designation,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biological product candidate may request the FDA to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w:t>
      </w:r>
    </w:p>
    <w:p>
      <w:pPr>
        <w:sectPr>
          <w:pgSz w:w="11900" w:h="16838" w:orient="portrait"/>
          <w:cols w:equalWidth="0" w:num="1">
            <w:col w:w="9920"/>
          </w:cols>
          <w:pgMar w:left="980" w:top="125" w:right="99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9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 biological product candidate may be eligible for Breakthrough Therapy Designation if it is intended to treat a serious or life-threatening disease or condition and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I, and FDA organizational commitment to expedited development, including involvement of senior managers and experienced review staff in a cross-disciplinary review, where appropriate.</w:t>
      </w:r>
    </w:p>
    <w:p>
      <w:pPr>
        <w:spacing w:after="0" w:line="13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Any marketing application for a biological product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Any product candidate is eligible for priority review if it is designed to treat a serious or life-threatening disease or condition, and if approved, would provide a significant improvement in safety or effectiveness compared to available alternatives for such disease or condition. The FDA will attempt to direct additional resources to the evaluation of an application for a biological product candidate designated for priority review in an effort to facilitate the review. Under priority review, the FDA’s goal is to review an application within six months of the 60-day filing date, compared to ten months for a standard review.</w:t>
      </w:r>
    </w:p>
    <w:p>
      <w:pPr>
        <w:spacing w:after="0" w:line="15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Additionally, FDA may grant accelerated approval to a product candidate intended to treat a serious or life-threatening disease or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receiving accelerated approval perform adequate and well-controlled post-marketing clinical trials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5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2017, the FDA established a new RMAT designation as part of its implementation of the 21st Century Cures Act. The RMAT designation program is intended to fulfill the 21st Century Cures Act requirement that the FDA facilitate an efficient development program for, and expedite review of, any biological product that meets the following criteria: (i) the biological product qualifies as an RMAT, which is defined as a cell therapy, therapeutic tissue engineering product, human cell and tissue product, or any combination product using such therapies or products, with limited exceptions; (ii) the biological product is intended to treat, modify, reverse, or cure a serious or life-threatening disease or condition; and (iii) preliminary clinical evidence indicates that the biological product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w:t>
      </w:r>
    </w:p>
    <w:p>
      <w:pPr>
        <w:spacing w:after="0" w:line="13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Fast Track designation, Breakthrough Therapy Designation, priority review, accelerated approval, and RMAT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4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Additionally, on December 12, 2017, Public Law No. 115-92 amended the FDCA to, among other things, allow the DoD to request, and FDA to provide assistance to expedite development and the FDA’s review of products to diagnose, prevent, treat or mitigate a specific and life-threatening risk to the U.S. military. Similar to the designations described above that FDA may grant, a priority designation by the DoD does not change the standards for approval but may expedite the development or approval process.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198"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Under the Orphan Drug Act, the FDA may grant orphan designation to a biological product intended to treat a rare disease or condition, which is generally a disease or condition that affects fewer than 200,000 individuals in the United States, or more than</w:t>
      </w:r>
    </w:p>
    <w:p>
      <w:pPr>
        <w:sectPr>
          <w:pgSz w:w="11900" w:h="16838" w:orient="portrait"/>
          <w:cols w:equalWidth="0" w:num="1">
            <w:col w:w="9900"/>
          </w:cols>
          <w:pgMar w:left="980" w:top="12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200,000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49" w:lineRule="exact"/>
        <w:rPr>
          <w:sz w:val="20"/>
          <w:szCs w:val="20"/>
          <w:color w:val="auto"/>
        </w:rPr>
      </w:pPr>
    </w:p>
    <w:p>
      <w:pPr>
        <w:ind w:right="200" w:firstLine="324"/>
        <w:spacing w:after="0" w:line="289"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including a full BLA, to market the same biological product for the same indication for seven years,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Competitors, however, may receive approval of different products for the indication for which the orphan product has exclusivity or obtain approval for the same product but for a different indication for which the orphan product has exclusivity.</w:t>
      </w:r>
    </w:p>
    <w:p>
      <w:pPr>
        <w:spacing w:after="0" w:line="12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 Regulatory Requirements</w:t>
      </w:r>
    </w:p>
    <w:p>
      <w:pPr>
        <w:spacing w:after="0" w:line="198"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For biologics that are human cells, tissues, and cellular and tissue-based products (“HTC/Ps”), manufacturers must also comply with the FDA’s HCT/P regulations at 21 C.F.R. Part 1271. These regulations impose a variety of specialized requirements as follows:</w:t>
      </w:r>
    </w:p>
    <w:p>
      <w:pPr>
        <w:spacing w:after="0" w:line="83"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i w:val="1"/>
          <w:iCs w:val="1"/>
          <w:color w:val="auto"/>
        </w:rPr>
        <w:t xml:space="preserve">HCT/P registration and listing. </w:t>
      </w:r>
      <w:r>
        <w:rPr>
          <w:rFonts w:ascii="Arial" w:cs="Arial" w:eastAsia="Arial" w:hAnsi="Arial"/>
          <w:sz w:val="16"/>
          <w:szCs w:val="16"/>
          <w:color w:val="auto"/>
        </w:rPr>
        <w:t>Every establishment that manufactures an HCT/P must register with the FDA and provide a list of</w:t>
      </w:r>
      <w:r>
        <w:rPr>
          <w:rFonts w:ascii="Arial" w:cs="Arial" w:eastAsia="Arial" w:hAnsi="Arial"/>
          <w:sz w:val="16"/>
          <w:szCs w:val="16"/>
          <w:i w:val="1"/>
          <w:iCs w:val="1"/>
          <w:color w:val="auto"/>
        </w:rPr>
        <w:t xml:space="preserve"> </w:t>
      </w:r>
      <w:r>
        <w:rPr>
          <w:rFonts w:ascii="Arial" w:cs="Arial" w:eastAsia="Arial" w:hAnsi="Arial"/>
          <w:sz w:val="16"/>
          <w:szCs w:val="16"/>
          <w:color w:val="auto"/>
        </w:rPr>
        <w:t>every HCT/P that the establishment manufactures. The definition of manufacture is broad and includes any and all steps in the recovery, processing, storage, labeling, packaging or distribution of any human cell or tissue and the screening or testing of the cell or tissue donor.</w:t>
      </w:r>
    </w:p>
    <w:p>
      <w:pPr>
        <w:spacing w:after="0" w:line="10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Donor eligibility. </w:t>
      </w:r>
      <w:r>
        <w:rPr>
          <w:rFonts w:ascii="Arial" w:cs="Arial" w:eastAsia="Arial" w:hAnsi="Arial"/>
          <w:sz w:val="18"/>
          <w:szCs w:val="18"/>
          <w:color w:val="auto"/>
        </w:rPr>
        <w:t>HCT/P manufacturers must maintain procedures for testing, screening and determining the eligibility of donors of</w:t>
      </w:r>
      <w:r>
        <w:rPr>
          <w:rFonts w:ascii="Arial" w:cs="Arial" w:eastAsia="Arial" w:hAnsi="Arial"/>
          <w:sz w:val="18"/>
          <w:szCs w:val="18"/>
          <w:i w:val="1"/>
          <w:iCs w:val="1"/>
          <w:color w:val="auto"/>
        </w:rPr>
        <w:t xml:space="preserve"> </w:t>
      </w:r>
      <w:r>
        <w:rPr>
          <w:rFonts w:ascii="Arial" w:cs="Arial" w:eastAsia="Arial" w:hAnsi="Arial"/>
          <w:sz w:val="18"/>
          <w:szCs w:val="18"/>
          <w:color w:val="auto"/>
        </w:rPr>
        <w:t>cells and tissues used in HCT/Ps. An HCT/P may not be transferred or implanted into an individual until the donor has been determined to be eligible under these procedures. These procedures must involve, among other things, testing donors for certain communicable diseases and the use of quarantines for HCT/Ps that have not yet been shown to meet the eligibility requirements. Manufacturers must keep detailed records regarding donor eligibility determinations.</w:t>
      </w:r>
    </w:p>
    <w:p>
      <w:pPr>
        <w:spacing w:after="0" w:line="14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Current Good Tissue Practices. </w:t>
      </w:r>
      <w:r>
        <w:rPr>
          <w:rFonts w:ascii="Arial" w:cs="Arial" w:eastAsia="Arial" w:hAnsi="Arial"/>
          <w:sz w:val="18"/>
          <w:szCs w:val="18"/>
          <w:color w:val="auto"/>
        </w:rPr>
        <w:t>HCT/Ps must be recovered, processed, stored, labeled, packaged and distributed in a manner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FDA’s cGTP regulations. Cells and tissues must also be screened and tested according to these regulations. The goal of cGTPs is to prevent the introduction, transmission or spread of communicable diseases. The FDA’s cGTPs regulations require companies to establish a comprehensive quality program and to comply with rules related to personnel, facilities and equipment used to manufacture HCT/Ps, as well as rules on how these HCT/Ps are processed, labeled and stored. Companies must also keep detailed manufacturing records and product complaint files.</w:t>
      </w:r>
    </w:p>
    <w:p>
      <w:pPr>
        <w:spacing w:after="0" w:line="16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 xml:space="preserve">Adverse Reaction Reports. </w:t>
      </w:r>
      <w:r>
        <w:rPr>
          <w:rFonts w:ascii="Arial" w:cs="Arial" w:eastAsia="Arial" w:hAnsi="Arial"/>
          <w:sz w:val="18"/>
          <w:szCs w:val="18"/>
          <w:color w:val="auto"/>
        </w:rPr>
        <w:t>Manufacturers of nonreproductive HCT/Ps must investigate and report to the FDA certain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reactions.</w:t>
      </w:r>
    </w:p>
    <w:p>
      <w:pPr>
        <w:spacing w:after="0" w:line="130" w:lineRule="exact"/>
        <w:rPr>
          <w:sz w:val="20"/>
          <w:szCs w:val="20"/>
          <w:color w:val="auto"/>
        </w:rPr>
      </w:pPr>
    </w:p>
    <w:p>
      <w:pPr>
        <w:ind w:right="500" w:firstLine="324"/>
        <w:spacing w:after="0" w:line="461" w:lineRule="auto"/>
        <w:rPr>
          <w:sz w:val="20"/>
          <w:szCs w:val="20"/>
          <w:color w:val="auto"/>
        </w:rPr>
      </w:pPr>
      <w:r>
        <w:rPr>
          <w:rFonts w:ascii="Arial" w:cs="Arial" w:eastAsia="Arial" w:hAnsi="Arial"/>
          <w:sz w:val="18"/>
          <w:szCs w:val="18"/>
          <w:i w:val="1"/>
          <w:iCs w:val="1"/>
          <w:color w:val="auto"/>
        </w:rPr>
        <w:t xml:space="preserve">Inspections. </w:t>
      </w:r>
      <w:r>
        <w:rPr>
          <w:rFonts w:ascii="Arial" w:cs="Arial" w:eastAsia="Arial" w:hAnsi="Arial"/>
          <w:sz w:val="18"/>
          <w:szCs w:val="18"/>
          <w:color w:val="auto"/>
        </w:rPr>
        <w:t>Establishments that manufacture HCT/Ps must allow the FDA to inspect the establishment and company records.</w:t>
      </w:r>
      <w:r>
        <w:rPr>
          <w:rFonts w:ascii="Arial" w:cs="Arial" w:eastAsia="Arial" w:hAnsi="Arial"/>
          <w:sz w:val="18"/>
          <w:szCs w:val="18"/>
          <w:i w:val="1"/>
          <w:iCs w:val="1"/>
          <w:color w:val="auto"/>
        </w:rPr>
        <w:t xml:space="preserve"> Post-Approval Requirements</w:t>
      </w:r>
    </w:p>
    <w:p>
      <w:pPr>
        <w:spacing w:after="0" w:line="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Any biologics manufactured or distributed by us or our collaborators pursuant to FDA approvals would be subject to continuing post-approval regulation by the FDA, including recordkeeping requirements and reporting of adverse experiences associated with the product, as well as any post-marketing surveillance requested by the FDA as a condition to BLA approval.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upon us and our third-party manufacturers. Failure to</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comply with the statutory and regulatory requirements can subject a manufacturer to possible legal or regulatory action, such as warning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our product from distribution or withdraw approval of the BLA for that product.</w:t>
      </w:r>
    </w:p>
    <w:p>
      <w:pPr>
        <w:spacing w:after="0" w:line="16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FDA closely regulates the post-approval marketing and promotion of biologics to healthcare professionals, including standards and regulations for direct-to-consumer advertising, false or misleading claims, off-label promotion, industry-sponsored scientific and educational activities, and promotional activities involving the Internet. Failure to comply with these requirements can result in adverse publicity, warning letters, corrective advertising, and potential civil and criminal penalties. Physicians may prescribe legally available biologics for uses that are not described in the product’s labelling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Healthcare Reform</w:t>
      </w:r>
    </w:p>
    <w:p>
      <w:pPr>
        <w:spacing w:after="0" w:line="1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Political, economic and regulatory influences are subjecting the healthcare industry in the United States to fundamental changes. There have been, and we expect there will continue to be, legislative and regulatory proposals to significantly change the healthcare system. For example, the ACA was enacted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In December 2017, portions of the ACA dealing with the individual mandate insurance requirement were effectively repealed by the Tax Cuts and Jobs Act of 2017. In December 2018, a federal district court judge in Texas found the ACA to be unconstitutional, although the ruling was stayed while the case is appealed. In June 2021, the United States Supreme Court held that the individual plaintiffs and states lacked standing to challenge the constitutionality of the ACA.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Third-Party Payor Coverage and Reimbursement</w:t>
      </w:r>
    </w:p>
    <w:p>
      <w:pPr>
        <w:spacing w:after="0" w:line="18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Although none of our vessels have been commercialized for any indication, if they are approved for marketing, commercial success of our vessels will depend, in part, upon the availability of coverage and reimbursement from third-party payors at the federal, state and private levels. Government payor programs, including Medicare and Medicaid, private health care insurance companies and managed-care plans have attempted to control costs by limiting coverage and the amount of reimbursement for particular procedures or treatments. The U.S. Congress and state legislatures from time to time propose and adopt initiatives aimed at cost-containment. Ongoing federal and state government initiatives directed at lowering the total cost of health care will likely continue to focus on health care reform and on the reform of the Medicare and Medicaid payment systems. Examples of how limits on coverage and reimbursement in the United States may cause reduced payments for products in the future include: changing Medicare reimbursement methodologies; fluctuating decisions on which drugs to include in formularies; allowing the federal government to negotiate drug prices for federal healthcare programs; revising drug rebate calculations under the Medicaid program; and reforming drug importation laws.</w:t>
      </w:r>
    </w:p>
    <w:p>
      <w:pPr>
        <w:spacing w:after="0" w:line="128"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Some third-party payors also require pre-approval of coverage for new or innovative devices or therapies before they will reimburse health care providers who use such therapies. While we cannot predict whether any proposed cost-containment measures will be adopted or otherwise implemented in the future, the announcement or adoption of these proposals could have a material adverse effect on our ability to obtain adequate prices for our vessels and operate profitably. Significant cost containment pressure and downward pricing pressures exist in the U.S. and around the world, which may negatively affect reimbursement at any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 and Regulations</w:t>
      </w:r>
    </w:p>
    <w:p>
      <w:pPr>
        <w:spacing w:after="0" w:line="198"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We are also subject to healthcare regulation and enforcement by the federal government and the states and foreign governments in which we conduct our business. The laws that may affect our ability to operate include but are not limited to:</w:t>
      </w:r>
    </w:p>
    <w:p>
      <w:pPr>
        <w:spacing w:after="0" w:line="106" w:lineRule="exact"/>
        <w:rPr>
          <w:sz w:val="20"/>
          <w:szCs w:val="20"/>
          <w:color w:val="auto"/>
        </w:rPr>
      </w:pPr>
    </w:p>
    <w:p>
      <w:pPr>
        <w:ind w:left="680" w:right="20" w:hanging="321"/>
        <w:spacing w:after="0" w:line="259" w:lineRule="auto"/>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200" w:hanging="321"/>
        <w:spacing w:after="0" w:line="342" w:lineRule="auto"/>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96" w:lineRule="exact"/>
        <w:rPr>
          <w:rFonts w:ascii="Arial" w:cs="Arial" w:eastAsia="Arial" w:hAnsi="Arial"/>
          <w:sz w:val="16"/>
          <w:szCs w:val="16"/>
          <w:color w:val="auto"/>
        </w:rPr>
      </w:pPr>
    </w:p>
    <w:p>
      <w:pPr>
        <w:ind w:left="680" w:right="280" w:hanging="321"/>
        <w:spacing w:after="0" w:line="277" w:lineRule="auto"/>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29" w:lineRule="exact"/>
        <w:rPr>
          <w:rFonts w:ascii="Arial" w:cs="Arial" w:eastAsia="Arial" w:hAnsi="Arial"/>
          <w:sz w:val="18"/>
          <w:szCs w:val="18"/>
          <w:color w:val="auto"/>
        </w:rPr>
      </w:pPr>
    </w:p>
    <w:p>
      <w:pPr>
        <w:ind w:left="680" w:right="600" w:hanging="321"/>
        <w:spacing w:after="0" w:line="277" w:lineRule="auto"/>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HIPAA, which governs the conduct of certain electronic healthcare transactions and protects the security and privacy of protected health information;</w:t>
      </w:r>
    </w:p>
    <w:p>
      <w:pPr>
        <w:spacing w:after="0" w:line="129" w:lineRule="exact"/>
        <w:rPr>
          <w:rFonts w:ascii="Arial" w:cs="Arial" w:eastAsia="Arial" w:hAnsi="Arial"/>
          <w:sz w:val="18"/>
          <w:szCs w:val="18"/>
          <w:color w:val="auto"/>
        </w:rPr>
      </w:pPr>
    </w:p>
    <w:p>
      <w:pPr>
        <w:ind w:left="680" w:right="640" w:hanging="321"/>
        <w:spacing w:after="0" w:line="342" w:lineRule="auto"/>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drug and device companies to annually report to CMS all payments and transfers of value provided to physicians and teaching hospitals for posting on a public website; and</w:t>
      </w:r>
    </w:p>
    <w:p>
      <w:pPr>
        <w:spacing w:after="0" w:line="96" w:lineRule="exact"/>
        <w:rPr>
          <w:rFonts w:ascii="Arial" w:cs="Arial" w:eastAsia="Arial" w:hAnsi="Arial"/>
          <w:sz w:val="16"/>
          <w:szCs w:val="16"/>
          <w:color w:val="auto"/>
        </w:rPr>
      </w:pPr>
    </w:p>
    <w:p>
      <w:pPr>
        <w:ind w:left="680" w:right="120" w:hanging="321"/>
        <w:spacing w:after="0" w:line="277" w:lineRule="auto"/>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state law equivalents of many of the above federal laws, including anti-kickback and false claims laws that may apply to items or services reimbursed by any third-party payor, including commercial insurers.</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operate our business and impact our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Regulation</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future 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 Requirements Applicable to Medicinal Products</w:t>
      </w:r>
    </w:p>
    <w:p>
      <w:pPr>
        <w:spacing w:after="0" w:line="1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the EU, medicinal products are subject to extensive pre- and post-market regulation by regulatory authorities at both the EU and national levels.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9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Clinical trials of medicinal products in the EU must be conducted in accordance with EU (currently Directive 2001/20/EC applies; however, as of January 31, 2022, Regulation EU No 536/2014 will apply) and national regulations and the International Conference on Harmonization (“ICH”) guidelines on GCP.</w:t>
      </w:r>
    </w:p>
    <w:p>
      <w:pPr>
        <w:spacing w:after="0" w:line="14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Prior to commencing a clinical trial, the sponsor must obtain a clinical trial authorization from the competent authority, and a positive opinion from an independent ethics committee of the relevant EU Member State in which the clinical trial will be carried out. Any substantial changes to the trial protocol or other information submitted with the clinical trial applications must be notified to or approved by the relevant competent authorities and ethics committees.</w:t>
      </w:r>
    </w:p>
    <w:p>
      <w:pPr>
        <w:spacing w:after="0" w:line="146"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The sponsor of a clinical trial must register the clinical trial in advance, and certain information related to the clinical trial will be made public as part of the registration. The results of the clinical trial must be submitted to the competent authorities and, with the exception of non-pediatric Phase I trials, will be made public at the latest within 12 months after the end of the trial.</w:t>
      </w:r>
    </w:p>
    <w:p>
      <w:pPr>
        <w:spacing w:after="0" w:line="13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During the development of a medicinal product, the EMA and national medicines regulators within the EU provide the opportunity for dialogue and guidance on the development program. At the EMA level, this is usually done in the form of scientific advice, which is given by the Scientific Advice Working Party of the Committee for Medicinal Products for Human Use (“CHMP”). Advice is not legally binding with regard to any future marketing authorization application of the product concerned. To date, we have not initiated any scientific advice procedures with the EMA, but we have obtained confirmation from the EMA that our HAVs would be eligible for the EMA’s scientific advice procedures.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Authorizations</w:t>
      </w:r>
    </w:p>
    <w:p>
      <w:pPr>
        <w:spacing w:after="0" w:line="198"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After completion of the required clinical testing, we must obtain a marketing authorization before we may place a medicinal product on the market in the EU. There are various application procedures available, depending on the type of product involved.</w:t>
      </w:r>
    </w:p>
    <w:p>
      <w:pPr>
        <w:spacing w:after="0" w:line="106" w:lineRule="exact"/>
        <w:rPr>
          <w:sz w:val="20"/>
          <w:szCs w:val="20"/>
          <w:color w:val="auto"/>
        </w:rPr>
      </w:pPr>
    </w:p>
    <w:p>
      <w:pPr>
        <w:ind w:right="300" w:firstLine="324"/>
        <w:spacing w:after="0" w:line="273" w:lineRule="auto"/>
        <w:rPr>
          <w:sz w:val="20"/>
          <w:szCs w:val="20"/>
          <w:color w:val="auto"/>
        </w:rPr>
      </w:pPr>
      <w:r>
        <w:rPr>
          <w:rFonts w:ascii="Arial" w:cs="Arial" w:eastAsia="Arial" w:hAnsi="Arial"/>
          <w:sz w:val="17"/>
          <w:szCs w:val="17"/>
          <w:color w:val="auto"/>
        </w:rPr>
        <w:t>All application procedures require an application in the common technical document format, which includes the submission of detailed information about the manufacturing and quality of the product, and non-clinical and clinical trial information. There is an increasing trend in the EU towards greater 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w:t>
      </w:r>
    </w:p>
    <w:p>
      <w:pPr>
        <w:spacing w:after="0" w:line="13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centralized procedure gives rise to marketing authorizations that are valid throughout the EU. Applicants file marketing authorization applications with the EMA, where they are reviewed by a relevant scientific committee, in most cases the CHMP (although other specialist committees may also be involved; for example, the Committee for Advanced Therapies will also be involved in the review of advanced therapy medicinal products (“ATMP”), and HAVs could potentially be classified as an ATMP). The EMA forwards CHMP opinions to the European Commission, which uses them as the basis for deciding whether to grant a marketing authorization. The centralized procedure is compulsory for medicinal products that (1) are derived from biotechnology processes, (2) contain a new active substance (not yet approved on 20 November 2005) indicated for the treatment of certain diseases, such as HIV/AIDS, cancer, diabetes, neurodegenerative disorders, viral diseases or autoimmune diseases and other immune dysfunctions, (3) are orphan medicinal products or</w:t>
      </w:r>
    </w:p>
    <w:p>
      <w:pPr>
        <w:spacing w:after="0" w:line="1" w:lineRule="exact"/>
        <w:rPr>
          <w:sz w:val="20"/>
          <w:szCs w:val="20"/>
          <w:color w:val="auto"/>
        </w:rPr>
      </w:pPr>
    </w:p>
    <w:p>
      <w:pPr>
        <w:ind w:right="120" w:firstLine="8"/>
        <w:spacing w:after="0" w:line="295"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are advanced therapy medicinal products. For medicines that do not fall within these categories, an applicant may voluntarily submit an application for a centralized marketing authorization to the EMA, as long as the CHMP agrees that (i) the medicine concerned contains a new active substance (not yet approved on November 20, 2005), (ii) the medicine is a significant therapeutic, scientific, or technical innovation, or (iii) if its authorization under the centralized procedure would be in the interest of public health.</w:t>
      </w:r>
    </w:p>
    <w:p>
      <w:pPr>
        <w:spacing w:after="0" w:line="134" w:lineRule="exact"/>
        <w:rPr>
          <w:sz w:val="20"/>
          <w:szCs w:val="20"/>
          <w:color w:val="auto"/>
        </w:rPr>
      </w:pPr>
    </w:p>
    <w:p>
      <w:pPr>
        <w:jc w:val="both"/>
        <w:ind w:right="40" w:firstLine="324"/>
        <w:spacing w:after="0" w:line="296" w:lineRule="auto"/>
        <w:rPr>
          <w:sz w:val="20"/>
          <w:szCs w:val="20"/>
          <w:color w:val="auto"/>
        </w:rPr>
      </w:pPr>
      <w:r>
        <w:rPr>
          <w:rFonts w:ascii="Arial" w:cs="Arial" w:eastAsia="Arial" w:hAnsi="Arial"/>
          <w:sz w:val="16"/>
          <w:szCs w:val="16"/>
          <w:color w:val="auto"/>
        </w:rPr>
        <w:t>For those medicinal products for which the centralized procedure is not available, the applicant must submit marketing authorization applications to the national medicines regulators through one of three procedures: (1) a national procedure, which results in a marketing authorization in a single EU member state; (2) the decentralized procedure, in which applications are submitted simultaneously in two or more EU member states; and (3) the mutual recognition procedure, in which the EU member states are required to grant an authorization recognizing an existing authorization in another EU member state, unless they identify a serious risk to public health.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Exclusivity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Marketing authorization applications for generic medicinal products do not need to include the results of preclinical and clinical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trials, but instead can refer to the data included in the marketing authorization of a reference product for which regulatory data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exclusivity has expired. If a marketing authorization is granted for a medicinal product containing a new active substance or to a different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marketing authorization holder that has carried out a complete set of pre-clinical tests and clinical trials, that product benefits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eight years of data exclusivity, during which generic marketing authorization applications referring to the data of that product may not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accepted by the regulatory authorities, and a further two years of market exclusivity, during which such generic products may not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placed on the market. The two-year period may be extended to three years if during the first eight years a new therapeutic indication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significant clinical benefit over existing therapies is approved.</w:t>
      </w:r>
    </w:p>
    <w:p>
      <w:pPr>
        <w:spacing w:after="0" w:line="170"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while a full set of pre-clinical tests and trials are not necessary, the results of appropriate preclinical or clinical trials must be provided, and guidelines from the EMA detail the type of quantity of supplementary data to be provided for different types of biological product.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Development</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the EU, companies developing a new medicinal product must agree to a Pediatric Investigation Plan (“PIP”) with the EMA and must conduct pediatric clinical trials in accordance with that PIP. The marketing authorization application for the product must ordinarily include the results of pediatric clinical trials conducted in accordance with the PIP. It is possible to obtain a deferral, in which case the pediatric clinical trials must be completed at a later date, or a complete waiver from the obligation to conduct pediatric clinical trials (e.g., because the relevant disease or condition occurs only in adults).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Controls</w:t>
      </w:r>
    </w:p>
    <w:p>
      <w:pPr>
        <w:spacing w:after="0" w:line="198"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The holder of a marketing authorization is subject to various post-approval controls, such as obligations to maintain a pharmacovigilance system and report adverse reactions, and requirements relating to promotional activities, including a prohibition on the promotion of prescription medicines to the general public. Manufacturers/importers and distributors of medicinal products must obtain authorizations from the competent national authorities and are subject to periodic inspections for compliance with cGMPs and current good distribution practices (“cGDPs”), respectively. The regulatory authorities may also impose specific obligations as a condition of the marketing authorization, such as additional safety monitoring or the conduct of additional clinical trials or post-authorization safety studies.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 Requirements Applicable to Medical Devices</w:t>
      </w:r>
    </w:p>
    <w:p>
      <w:pPr>
        <w:spacing w:after="0" w:line="18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the previous medical devices directive, Directive 93/42/EEC, our HAVs were not classified as medical devices in the EU because, with limited exceptions, products incorporating or derived from tissues or cells of human origin are expressly excluded from the scope of the EU medical devices rules under Directive 93/42. However, as of May 26, 2021, Regulation (EU) 2017/745 applies, and this will bring us within the scope of the EU medical device rules products containing or derived from tissues or cells of human origin that are non-viable or are rendered non-viable.</w:t>
      </w:r>
    </w:p>
    <w:p>
      <w:pPr>
        <w:spacing w:after="0" w:line="16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Medical devices are generally governed by Regulation (EU) 2017/745 on Medical Devices that directly applies in all EU Member States and harmonizes the conditions for placing medical devices on the EU market. This Regulation, however, does not regulate certain important marketing aspects, such as pricing and reimbursement, which remain governed by national law. Additionally, certain areas, such as advertising, may be goverened by additional national requirements.</w:t>
      </w:r>
    </w:p>
    <w:p>
      <w:pPr>
        <w:spacing w:after="0" w:line="146"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 medical device may be placed on the market within the EU if it conforms to certain “general product safety requirements” or “GSPRs.” These are general in nature and broad in scope. A fundamental GSPR, for example, is that a device must be designed and manufactured in such a way that it will not compromise the clinical condition or safety of patients, or the safety and health of users or other persons.</w:t>
      </w:r>
    </w:p>
    <w:p>
      <w:pPr>
        <w:spacing w:after="0" w:line="146"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manufacturer is obliged to demonstrate that the device conforms to the relevant GSPRs through a conformity assessment procedure. Once the appropriate conformity assessment procedure for a medical device has been completed, the manufacturer must draw up a written declaration of conformity and affix the CE mark to the device. The device can then be marketed throughout the EU.</w:t>
      </w:r>
    </w:p>
    <w:p>
      <w:pPr>
        <w:spacing w:after="0" w:line="10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nature of the conformity assessment depends upon the classification of the device. The classification rules are mainly based on three criteria: the length of time the device is in contact with the body, the degree of invasiveness, and the extent to which the device affects the anatomy. As a general rule, Class I (low risk) devices are those that do not enter or interact with the body; Class IIa and IIb (medium risk) devices are invasive or implantable or interact with the body; and Class III (high risk) devices are those that affect the vital organs.</w:t>
      </w:r>
    </w:p>
    <w:p>
      <w:pPr>
        <w:spacing w:after="0" w:line="16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Conformity assessment procedures for all but the lowest risk classification of device involve a notified body, which are non-governmental, private entities licensed to provide independent certification of certain classes of medical device. EU regulatory bodies are not involved in the premarket approval of medical devices, with only very limited exceptions (such as medical devices that incorporate a medicinal product as an ancillary substance, in which case these regulatory bodies review the medicinal product). The onus of ensuring a device is safe enough to be placed on the market is ultimately the responsibility of the manufacturer and the notified body.</w:t>
      </w:r>
    </w:p>
    <w:p>
      <w:pPr>
        <w:spacing w:after="0" w:line="12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As part of the conformity assessment procedure, the manufacture will need to conduct a clinical evaluation of the device. This clinical evaluation may consist of an analysis of the scientific literature relating to similar devices, new clinical investigations of the device, or a combination of the two. For Class III and implantable devices, the conduct of clinical investigations is mandatory (with limited exceptions). If a manufacturer wishes to conduct a clinical investigation in the EU, the manufacturer must notify the competent national regulatory authorities in advance and obtain ethics committee approval of the study.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 Requirements Applicable to Human Cells and Tissues</w:t>
      </w:r>
    </w:p>
    <w:p>
      <w:pPr>
        <w:spacing w:after="0" w:line="19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EU rules, notably Directive 2004/23/EC and other implementing directives, govern the donation, procurement, testing and storage of human cells and tissues intended for human application, whether or not they are medicinal products. These rules also cover the donation, testing, processing, preservation, storage and distribution of human cell and tissues that are not medicinal products. Establishments that conduct such activities must be licensed and are subject to inspection by regulatory authorities. Such establishments must implement appropriate quality systems and maintain appropriate records to ensure that cells and tissues can be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traced from the donor to the recipient and vice versa. There are also requirements to report SAEs and reactions linked to the quality and safety of cells and tissues. More detailed rules may exist at the national level.</w:t>
      </w:r>
    </w:p>
    <w:p>
      <w:pPr>
        <w:spacing w:after="0" w:line="14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addition to regulations in Europe and the United States, we will be subject to a variety of foreign regulations governing clinical trials and commercial distribution of our future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18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corporate headquarters, manufacturing, and research and development facilities are located in Durham, North Carolina where we lease approximately 83,000 square feet of space. This space includes approximately 55,000 square feet for production and distribution operations including manufacturing, bioprocessing, quality control, mechanical space and inventory. The remainder of the facility consists of offices, laboratories, and common spaces.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and Human Capital Management</w:t>
      </w:r>
    </w:p>
    <w:p>
      <w:pPr>
        <w:spacing w:after="0" w:line="18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September 1, 2021, we had 139 employees. None of our employees are represented by a collective bargaining agreement, and we have never experienced any work stoppage. We believe we have good relations with our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8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March 2021, Legacy Humacyte entered into a Loan Agreement with Silicon Valley Bank and SVB Innovation Credit Fund VIII, L.P., which provides a term loan facility of up to $50.0 million with a maturity date of March 1, 2025. We became a co-borrower under the Loan Agreement in connection with the Business Combination. The obligations of Humacyte and Legacy Humacyte under the Loan Agreement are secured by substantially all of their assets, except for their intellectual property. In connection with the Loan Agreement, the lenders were each granted a warrant to purchase Legacy Humacyte common stock, with an exercise price of $2.699 per share, subject to customary adjustments. In connection with the closing of the Business Combination, these warrants were exchanged for warrants to purchase 287,704 shares of our common stock at an exercise price of $10.28 per share. The Loan Agreement contains certain customary covenants, including, but not limited to, those relating to additional indebtedness, liens, asset divestitures, and affiliate transactions. We may use the proceeds of borrowings under the Loan Agreement as working capital and to fund our general business requirements.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we had incurred $20.0 million of principal under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sets forth certain information regarding our executive officers and directors as of the date of this prospectus.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40" w:type="dxa"/>
            <w:vAlign w:val="bottom"/>
          </w:tcPr>
          <w:p>
            <w:pPr>
              <w:spacing w:after="0"/>
              <w:rPr>
                <w:sz w:val="14"/>
                <w:szCs w:val="14"/>
                <w:color w:val="auto"/>
              </w:rPr>
            </w:pPr>
          </w:p>
        </w:tc>
        <w:tc>
          <w:tcPr>
            <w:tcW w:w="5140" w:type="dxa"/>
            <w:vAlign w:val="bottom"/>
          </w:tcPr>
          <w:p>
            <w:pPr>
              <w:ind w:left="224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Laura E. Niklason</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Dale A. Sander</w:t>
            </w:r>
          </w:p>
        </w:tc>
        <w:tc>
          <w:tcPr>
            <w:tcW w:w="1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61</w:t>
            </w:r>
          </w:p>
        </w:tc>
        <w:tc>
          <w:tcPr>
            <w:tcW w:w="53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98"/>
              </w:rPr>
              <w:t>Chief Financial Officer, Chief Corporate Development Officer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Heather Prichard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Tente, M.S.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5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Chief Regulatory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spacing w:after="0" w:line="216" w:lineRule="exact"/>
              <w:rPr>
                <w:sz w:val="20"/>
                <w:szCs w:val="20"/>
                <w:color w:val="auto"/>
              </w:rPr>
            </w:pPr>
            <w:r>
              <w:rPr>
                <w:rFonts w:ascii="Arial" w:cs="Arial" w:eastAsia="Arial" w:hAnsi="Arial"/>
                <w:sz w:val="17"/>
                <w:szCs w:val="17"/>
                <w:color w:val="auto"/>
              </w:rPr>
              <w:t>Jeffrey H. Lawson</w:t>
            </w:r>
            <w:r>
              <w:rPr>
                <w:rFonts w:ascii="Arial" w:cs="Arial" w:eastAsia="Arial" w:hAnsi="Arial"/>
                <w:sz w:val="25"/>
                <w:szCs w:val="25"/>
                <w:color w:val="auto"/>
                <w:vertAlign w:val="superscript"/>
              </w:rPr>
              <w:t>(4)</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Chief Surgical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Kiernan T. DeAngelis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5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William (B.J.) Scheessele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i w:val="1"/>
                <w:iCs w:val="1"/>
                <w:color w:val="auto"/>
              </w:rPr>
              <w:t>Non-Employee Directors: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Gordon M. Binder</w:t>
            </w:r>
            <w:r>
              <w:rPr>
                <w:rFonts w:ascii="Arial" w:cs="Arial" w:eastAsia="Arial" w:hAnsi="Arial"/>
                <w:sz w:val="25"/>
                <w:szCs w:val="25"/>
                <w:color w:val="auto"/>
                <w:vertAlign w:val="superscript"/>
              </w:rPr>
              <w:t>(2)(4)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w:t>
            </w:r>
          </w:p>
        </w:tc>
        <w:tc>
          <w:tcPr>
            <w:tcW w:w="5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spacing w:after="0" w:line="216" w:lineRule="exact"/>
              <w:rPr>
                <w:sz w:val="20"/>
                <w:szCs w:val="20"/>
                <w:color w:val="auto"/>
              </w:rPr>
            </w:pPr>
            <w:r>
              <w:rPr>
                <w:rFonts w:ascii="Arial" w:cs="Arial" w:eastAsia="Arial" w:hAnsi="Arial"/>
                <w:sz w:val="17"/>
                <w:szCs w:val="17"/>
                <w:color w:val="auto"/>
              </w:rPr>
              <w:t>Emery N. Brown</w:t>
            </w:r>
            <w:r>
              <w:rPr>
                <w:rFonts w:ascii="Arial" w:cs="Arial" w:eastAsia="Arial" w:hAnsi="Arial"/>
                <w:sz w:val="25"/>
                <w:szCs w:val="25"/>
                <w:color w:val="auto"/>
                <w:vertAlign w:val="superscript"/>
              </w:rPr>
              <w:t>(2)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Michael T. Constantino</w:t>
            </w:r>
            <w:r>
              <w:rPr>
                <w:rFonts w:ascii="Arial" w:cs="Arial" w:eastAsia="Arial" w:hAnsi="Arial"/>
                <w:sz w:val="25"/>
                <w:szCs w:val="25"/>
                <w:color w:val="auto"/>
                <w:vertAlign w:val="superscript"/>
              </w:rPr>
              <w:t>(1)(3)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5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Brady W. Dougan</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Todd M. Pope</w:t>
            </w:r>
            <w:r>
              <w:rPr>
                <w:rFonts w:ascii="Arial" w:cs="Arial" w:eastAsia="Arial" w:hAnsi="Arial"/>
                <w:sz w:val="25"/>
                <w:szCs w:val="25"/>
                <w:color w:val="auto"/>
                <w:vertAlign w:val="superscript"/>
              </w:rPr>
              <w:t>(3)(4)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5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spacing w:after="0" w:line="216" w:lineRule="exact"/>
              <w:rPr>
                <w:sz w:val="20"/>
                <w:szCs w:val="20"/>
                <w:color w:val="auto"/>
              </w:rPr>
            </w:pPr>
            <w:r>
              <w:rPr>
                <w:rFonts w:ascii="Arial" w:cs="Arial" w:eastAsia="Arial" w:hAnsi="Arial"/>
                <w:sz w:val="17"/>
                <w:szCs w:val="17"/>
                <w:color w:val="auto"/>
              </w:rPr>
              <w:t>Kathleen Sebelius</w:t>
            </w:r>
            <w:r>
              <w:rPr>
                <w:rFonts w:ascii="Arial" w:cs="Arial" w:eastAsia="Arial" w:hAnsi="Arial"/>
                <w:sz w:val="25"/>
                <w:szCs w:val="25"/>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Director and 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Rajiv Shukla</w:t>
            </w:r>
            <w:r>
              <w:rPr>
                <w:rFonts w:ascii="Arial" w:cs="Arial" w:eastAsia="Arial" w:hAnsi="Arial"/>
                <w:sz w:val="25"/>
                <w:szCs w:val="25"/>
                <w:color w:val="auto"/>
                <w:vertAlign w:val="superscript"/>
              </w:rPr>
              <w:t>(4)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5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spacing w:after="0" w:line="216" w:lineRule="exact"/>
              <w:rPr>
                <w:sz w:val="20"/>
                <w:szCs w:val="20"/>
                <w:color w:val="auto"/>
              </w:rPr>
            </w:pPr>
            <w:r>
              <w:rPr>
                <w:rFonts w:ascii="Arial" w:cs="Arial" w:eastAsia="Arial" w:hAnsi="Arial"/>
                <w:sz w:val="17"/>
                <w:szCs w:val="17"/>
                <w:color w:val="auto"/>
              </w:rPr>
              <w:t>Max Wallace</w:t>
            </w:r>
            <w:r>
              <w:rPr>
                <w:rFonts w:ascii="Arial" w:cs="Arial" w:eastAsia="Arial" w:hAnsi="Arial"/>
                <w:sz w:val="25"/>
                <w:szCs w:val="25"/>
                <w:color w:val="auto"/>
                <w:vertAlign w:val="superscript"/>
              </w:rPr>
              <w:t>(2)(3)</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Susan Windham-Bannister</w:t>
            </w:r>
            <w:r>
              <w:rPr>
                <w:rFonts w:ascii="Arial" w:cs="Arial" w:eastAsia="Arial" w:hAnsi="Arial"/>
                <w:sz w:val="25"/>
                <w:szCs w:val="25"/>
                <w:color w:val="auto"/>
                <w:vertAlign w:val="superscript"/>
              </w:rPr>
              <w:t>(1)(4)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5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07" w:lineRule="exact"/>
        <w:rPr>
          <w:rFonts w:ascii="Arial" w:cs="Arial" w:eastAsia="Arial" w:hAnsi="Arial"/>
          <w:sz w:val="16"/>
          <w:szCs w:val="16"/>
          <w:color w:val="auto"/>
        </w:rPr>
      </w:pPr>
    </w:p>
    <w:p>
      <w:pPr>
        <w:ind w:left="340" w:hanging="332"/>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Member of the nominating and governance committee.</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Member of the commercial committee.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89"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Laura E. Niklason </w:t>
      </w:r>
      <w:r>
        <w:rPr>
          <w:rFonts w:ascii="Arial" w:cs="Arial" w:eastAsia="Arial" w:hAnsi="Arial"/>
          <w:sz w:val="16"/>
          <w:szCs w:val="16"/>
          <w:color w:val="auto"/>
        </w:rPr>
        <w:t>is the founder of Legacy Humacyte. Dr. Niklason has served as our President and Chief Executive Officer and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member of the Board since the Business Combination, and previously served as President and Chief Executive Officer of Legacy Humacyte since November 2020 and as a member of the Legacy Humacyte board of directors since 2004. Dr. Niklason has served in a senior scientist capacity from 2005 through 2020. Dr. Niklason has served as an adjunct professor at Yale University since</w:t>
      </w:r>
    </w:p>
    <w:p>
      <w:pPr>
        <w:spacing w:after="0" w:line="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November 2020 and previously served as the Nicholas M. Greene Professor of Anesthesiology and Biomedical Engineering at Yale University from 2006 to November 2020. She was inducted into the National Academy of Inventors in 2014 and was elected to the National Academy of Medicine and the National Academy of Engineering in 2015 and 2020, respectively. Dr. Niklason is currently on the board of directors of Self Study Inc., a private learning optimization technology company. Dr. Niklason holds a Ph.D. in Biophysics from the University of Chicago and an M.D. from the University of Michigan. Dr. Niklason completed her residency training in anesthesia and intensive care unit medicine at the Massachusetts General Hospital and completed post-doctoral scientific training at the Massachusetts Institute of Technology. Dr. Niklason is married to Mr. Dougan, a member of the Board.</w:t>
      </w:r>
    </w:p>
    <w:p>
      <w:pPr>
        <w:spacing w:after="0" w:line="12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believe that Dr. Niklason is qualified to serve as a director based on her significant experience in the biotechnology industry, her extensive training in medicine and science and her role as the founder of Legacy Humacyte.</w:t>
      </w:r>
    </w:p>
    <w:p>
      <w:pPr>
        <w:spacing w:after="0" w:line="143"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Dale A. Sander </w:t>
      </w:r>
      <w:r>
        <w:rPr>
          <w:rFonts w:ascii="Arial" w:cs="Arial" w:eastAsia="Arial" w:hAnsi="Arial"/>
          <w:sz w:val="16"/>
          <w:szCs w:val="16"/>
          <w:color w:val="auto"/>
        </w:rPr>
        <w:t>has served as our Chief Financial Officer, Chief Corporate Development Officer and Treasurer since the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Mr. Sander previously served as Legacy Humacyte’s Chief Financial Officer and Treasurer since May 2021, as Legacy Humacyte’s Chief Corporate Development Officer since November 2020 and as a member of the Legacy Humacyte board of directors since September 2015. He served as the Chief Financial Officer of Bryn Pharma, a privately held life sciences company, from 2019 to 2021. Prior to that, Mr. Sander served as Chief Financial Officer of AVITA Medical Limited, a publicly traded regenerative medicine company, from 2017 to 2019, and as Senior Vice President, Global Accounting Officer at Sutherland Global Services, Inc. from 2012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2017. Mr. Sander served as a Senior Manager with Ernst &amp; Young and holds a B.S. in Business Administration from San Diego State University.</w:t>
      </w:r>
    </w:p>
    <w:p>
      <w:pPr>
        <w:spacing w:after="0" w:line="14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b w:val="1"/>
          <w:bCs w:val="1"/>
          <w:i w:val="1"/>
          <w:iCs w:val="1"/>
          <w:color w:val="auto"/>
        </w:rPr>
        <w:t xml:space="preserve">Heather Prichard </w:t>
      </w:r>
      <w:r>
        <w:rPr>
          <w:rFonts w:ascii="Arial" w:cs="Arial" w:eastAsia="Arial" w:hAnsi="Arial"/>
          <w:sz w:val="17"/>
          <w:szCs w:val="17"/>
          <w:color w:val="auto"/>
        </w:rPr>
        <w:t>has served as our Chief Operating Officer since the Business Combination and previously served as Legacy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Humacyte’s Chief Operating Officer since March 2019. Dr. Prichard previously served as Legacy Humacyte’s Senior Vice President of Product Development from April 2016 to February 2019 and served in other management roles with Legacy Humacyte since 2012. Dr. Prichard joined Legacy Humacyte in 2008 and has been instrumental in leading the process and product development teams for the HAV through all phases of clinical development. Prior to joining Legacy Humacyte, Dr. Prichard held roles at The Procter &amp; Gamble Company in research, development, and engineering from June 1999 to August 2002. Dr. Prichard holds a Ph.D. in Biomedical Engineering with a focus on investigating the healing response to implantable tissue engineered biomaterials from Duke University and a B.A. in Chemical Engineering from the Georgia Institute of Technology.</w:t>
      </w:r>
    </w:p>
    <w:p>
      <w:pPr>
        <w:spacing w:after="0" w:line="13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William Tente </w:t>
      </w:r>
      <w:r>
        <w:rPr>
          <w:rFonts w:ascii="Arial" w:cs="Arial" w:eastAsia="Arial" w:hAnsi="Arial"/>
          <w:sz w:val="16"/>
          <w:szCs w:val="16"/>
          <w:color w:val="auto"/>
        </w:rPr>
        <w:t>has served as our Chief Regulatory Officer since the Business Combination and previously served as Legacy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Humacyte’s Chief Regulatory Officer since March 2018. Mr. Tente joined Legacy Humacyte in 2008 and served in a variety of leadership roles, including as Vice President of Manufacturing and Regulatory Affairs, prior to his promotion to Chief Regulatory Officer. Previously, Mr. Tente served as Vice President of Operations for Neurotech USA, Inc., a biotechnology company, from July 2002 to August 2007, Director of Operations of Chimeric Therapies, Inc., a former clinical-stage biotechnology company, from January 1998 to June 2002, and Director of Clinical Production at CytoTherapeutics, Inc., a former clinical-stage biotechnology company, from 1992 to 1998. Mr. Tente was elected to the United States Pharmacopeia (USP) Council of Experts in 1998 and served as the Chairman of its Expert Committee on Gene Therapy, Cell Therapy and Tissue Engineering Products from 2005 to 2010. Mr. Tente holds a B.S. and M.S. in cell biology and microbiology from the University of Rhode Island and studied at the W. Alton Jones Cell Sciences Center.</w:t>
      </w:r>
    </w:p>
    <w:p>
      <w:pPr>
        <w:spacing w:after="0" w:line="126"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b w:val="1"/>
          <w:bCs w:val="1"/>
          <w:i w:val="1"/>
          <w:iCs w:val="1"/>
          <w:color w:val="auto"/>
        </w:rPr>
        <w:t xml:space="preserve">Jeffrey H. Lawson </w:t>
      </w:r>
      <w:r>
        <w:rPr>
          <w:rFonts w:ascii="Arial" w:cs="Arial" w:eastAsia="Arial" w:hAnsi="Arial"/>
          <w:sz w:val="17"/>
          <w:szCs w:val="17"/>
          <w:color w:val="auto"/>
        </w:rPr>
        <w:t>has served as our Chief Surgical Officer and a member of our Board since the Business Combination.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Lawson previously served as Legacy Humacyte’s Chief Surgical Officer since November 2020 and as a member of Legacy Humacyte’s board of directors since July 2018. Dr. Lawson also is an Adjunct Professor of Surgery and Pathology at Duke University. Prior to Dr. Lawson’s appointment as Legacy Humacyte’s President and Chief Executive Officer, he served as Legacy Humacyte’s Chief Medical Officer from October 2015 to January 2019. Prior to joining Legacy Humacyte, Dr. Lawson held various professorships in surgery and pathology at Duke University Medical Center beginning in 1999. Dr. Lawson is an active physician-surgeon-scientist and is an internationally recognized leader in the areas of peripheral vascular surgery, hemodialysis access, blood coagulation, and cardiovascular device innovation. Dr. Lawson has worked closely with Legacy Humacyte since its founding. He has successfully developed a number of molecular, cellular, and tissue engineered technologies through basic science, translational animal research, first-in-man and large-scale human clinical trials. In this regard, Dr. Lawson has been directly involved with a number of cardiovascular technologies gaining both FDA approval and successful commercial launch in both the vascular biologics and the medical device space. Dr. Lawson has over 20 years of surgical experience in treating complex vascular surgery and arteriovenous access patients. Dr. Lawson also currently serves on the Board of Directors for the Kidney Health Initiative (KHI), the American Board of Vascular Surgery (ABVS), the Vascular Access Society for the Americas (VASA), InnAVasc, and the Foundation for Women and Girls with Blood Disorders (FWGBD).</w:t>
      </w:r>
    </w:p>
    <w:p>
      <w:pPr>
        <w:spacing w:after="0" w:line="15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We believe that Dr. Lawson is qualified to serve as a director based on his significant medical and scientific knowledge and experience.</w:t>
      </w:r>
    </w:p>
    <w:p>
      <w:pPr>
        <w:spacing w:after="0" w:line="130"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b w:val="1"/>
          <w:bCs w:val="1"/>
          <w:i w:val="1"/>
          <w:iCs w:val="1"/>
          <w:color w:val="auto"/>
        </w:rPr>
        <w:t xml:space="preserve">Kiernan T. DeAngelis </w:t>
      </w:r>
      <w:r>
        <w:rPr>
          <w:rFonts w:ascii="Arial" w:cs="Arial" w:eastAsia="Arial" w:hAnsi="Arial"/>
          <w:sz w:val="16"/>
          <w:szCs w:val="16"/>
          <w:color w:val="auto"/>
        </w:rPr>
        <w:t>has served as our Chief Medical Officer since the Business Combination and previously served as Legacy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Humacyte’s Chief Medical Officer since December 2020. Prior to his appointment as Chief Medical Officer, Mr. DeAngelis served as Legacy Humacyte’s Vice President, Clinical from April 2020 to December 2020. Previously, Mr. DeAngelis served as Senior Medical Director of IQVIA Biotech LLC, a clinical and commercial solutions company, from September 2019 to April 2020, Global Medical Director of AstraZeneca plc from June 2017 to September 2019, and Senior Medical Director of United Therapeutics Corporation, a public biotechnology company, from February 2013 to May 2017. Mr. DeAngelis holds an M.D. from The Brody School of Medicine at East Carolina University and a B.S. in Biochemistry and B.A. in Chemistry from North Carolina State University.</w:t>
      </w:r>
    </w:p>
    <w:p>
      <w:pPr>
        <w:spacing w:after="0" w:line="126"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b w:val="1"/>
          <w:bCs w:val="1"/>
          <w:i w:val="1"/>
          <w:iCs w:val="1"/>
          <w:color w:val="auto"/>
        </w:rPr>
        <w:t xml:space="preserve">William (B.J.) Scheessele </w:t>
      </w:r>
      <w:r>
        <w:rPr>
          <w:rFonts w:ascii="Arial" w:cs="Arial" w:eastAsia="Arial" w:hAnsi="Arial"/>
          <w:sz w:val="16"/>
          <w:szCs w:val="16"/>
          <w:color w:val="auto"/>
        </w:rPr>
        <w:t>has served as Humacyte’s Chief Commercial Officer since August 2021. He served as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Global Marketing for Quest Medical Imaging Inc. from 2018 to 2021. Previously, Mr. Scheessele served as Vice President, Marketing at Sientra, Inc., a medical device company, from 2017 to 2018. Prior to that, he served as Vice President of North America Marketing and Canada Country Manager, among other roles in sales and marketing, at LifeCell Corporation, a regenerative medicine company, from 2007 to 2016, and as Vice President, North American Marketing and Reimbursement at Allergan plc, a global biopharmaceutical company, from 2016 to 2017, after its acquisition of LifeCell Corporation. Earlier in his career, Mr. Scheessele worked in business development and product management with Cordis Corporation, a medical device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subsidiary of Johnson &amp; Johnson, from 1998 to 2007. Mr. Scheessele earned a BSE in biomedical engineering and economics and an MBA from Duke University.</w:t>
      </w:r>
    </w:p>
    <w:p>
      <w:pPr>
        <w:spacing w:after="0" w:line="14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Each of our executive officers serves at the discretion of the Board and will hold office until the election or qualification of his or her successor or until his or her earlier death, resignation or removal.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8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i w:val="1"/>
          <w:iCs w:val="1"/>
          <w:color w:val="auto"/>
        </w:rPr>
        <w:t xml:space="preserve">Brady W. Dougan </w:t>
      </w:r>
      <w:r>
        <w:rPr>
          <w:rFonts w:ascii="Arial" w:cs="Arial" w:eastAsia="Arial" w:hAnsi="Arial"/>
          <w:sz w:val="16"/>
          <w:szCs w:val="16"/>
          <w:color w:val="auto"/>
        </w:rPr>
        <w:t>has served as a member of our Board since the Business Combination. He previously served as the chair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Humacyte board of directors from March 2019 to August 2021 and as a member of its board of directors since 2005. Since July 2015, Mr. Dougan has served as Chairman and Chief Executive Officer of Exos Securities (“Exos”). From May 2007 through June 2015, Mr. Dougan served as Chief Executive Officer and Member of the Executive Board of Credit Suisse Group AG and Credit Suisse AG, steering the bank through the financial crisis of 2008 and various reforms and changes in the banking industry. Prior to that time, Mr. Dougan served in various leadership positions at Credit Suisse. Mr. Dougan currently serves on the Board of Trustees for the University of Chicago. Mr. Dougan holds a B.A. in Economics and an M.B.A. in Finance from the University of Chicago. Mr. Dougan is married to Laura E. Niklason, Humacyte’s President and Chief Executive Officer and a member of our Board.</w:t>
      </w:r>
    </w:p>
    <w:p>
      <w:pPr>
        <w:spacing w:after="0" w:line="13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believe that Mr. Dougan is qualified to serve as a director based on his significant executive leadership experience and his extensive experience related to financing for public and private companies.</w:t>
      </w:r>
    </w:p>
    <w:p>
      <w:pPr>
        <w:spacing w:after="0" w:line="13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Emery N. Brown </w:t>
      </w:r>
      <w:r>
        <w:rPr>
          <w:rFonts w:ascii="Arial" w:cs="Arial" w:eastAsia="Arial" w:hAnsi="Arial"/>
          <w:sz w:val="17"/>
          <w:szCs w:val="17"/>
          <w:color w:val="auto"/>
        </w:rPr>
        <w:t>currently serves as the Warren M. Zapol Professor of Anaesthesia at Harvard Medical School and the Edward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Hood Taplin Professor of Medical Engineering and Computational Neuroscience at the Massachusetts Institute of Technology. He has been on the faculty at Harvard Medical School and MIT since May 1992 and October 2005, respectively. Dr. Brown has also served as an anesthesiologist at Massachusetts General Hospital since May 1992. Dr. Brown currently serves on the Board of Trustees of the Guggenheim Foundation, the Board of Trustees of the Simmons Foundation, the National Academy of Medicine Forum on Neurological Disorders and the board of PASCALL Systems, Inc., an early-stage medical device startup. Dr. Brown is a member of the National Academy of Inventors, the National Academy of Medicine, the National Academy of Sciences and the National Academy of Engineering. Dr. Brown holds an M.D. from Harvard Medical School, a Ph.D. and M.A. in statistics from Harvard University and a B.A. in applied mathematics from Harvard College.</w:t>
      </w:r>
    </w:p>
    <w:p>
      <w:pPr>
        <w:spacing w:after="0" w:line="140"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We believe that Dr. Brown is qualified to serve as a director based on his extensive medical and scientific knowledge and experience.</w:t>
      </w:r>
    </w:p>
    <w:p>
      <w:pPr>
        <w:spacing w:after="0" w:line="13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b w:val="1"/>
          <w:bCs w:val="1"/>
          <w:i w:val="1"/>
          <w:iCs w:val="1"/>
          <w:color w:val="auto"/>
        </w:rPr>
        <w:t xml:space="preserve">Kathleen Sebelius </w:t>
      </w:r>
      <w:r>
        <w:rPr>
          <w:rFonts w:ascii="Arial" w:cs="Arial" w:eastAsia="Arial" w:hAnsi="Arial"/>
          <w:sz w:val="17"/>
          <w:szCs w:val="17"/>
          <w:color w:val="auto"/>
        </w:rPr>
        <w:t>is the chair of our Board. She has served as a member of our Board since the Business Combination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served as a member of the Legacy Humacyte board of directors since September 2015. Ms. Sebelius is the Chief Executive Officer of Sebelius Resources LLC. From April 2009 to June 2014, Ms. Sebelius served as Secretary of the Department of Health and Human Services, or HHS. Prior to serving as Secretary of HHS, Ms. Sebelius was the Governor of Kansas and served two terms as the Kansas insurance commissioner and four terms in the Kansas Legislature. Ms. Sebelius currently serves on the board of directors of the following public companies: Devoted Health, Inc., Myovant Sciences Ltd., Grand Rounds Inc. and Exact Sciences Corporation. She also serves as a director of the Kaiser Family Foundation. Ms. Sebelius co-chairs the Aspen Institute Health Strategy Group and serves on advisory boards for the Dole Institute of Politics, Solera Health, Out Leadership, the Estée Lauder Foundation, and the University of Kansas College of Liberal Arts and Sciences. Ms. Sebelius holds a master of public administration degree from the University of Kansas and a B.A. in Political Science from Trinity Washington University.</w:t>
      </w:r>
    </w:p>
    <w:p>
      <w:pPr>
        <w:spacing w:after="0" w:line="1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believe that Ms. Sebelius is qualified to serve as a director based on her distinguished leadership in the healthcare reimbursement industry, tenure in the public sector and experience with regulatory process and policies.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Rajiv Shukla </w:t>
      </w:r>
      <w:r>
        <w:rPr>
          <w:rFonts w:ascii="Arial" w:cs="Arial" w:eastAsia="Arial" w:hAnsi="Arial"/>
          <w:sz w:val="17"/>
          <w:szCs w:val="17"/>
          <w:color w:val="auto"/>
        </w:rPr>
        <w:t>served as AHAC’s Chairman and Chief Executive Officer since inception and has two decades of buyouts,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operations experience in the healthcare industry. Mr. Shukla served as Chairman and Chief Executive Officer of CNAC, a Nasdaq-listed special purpose acquisition company, from June 2017 to August 2019. CNAC raised $144 million in proceeds from a Nasdaq initial public offering and successfully closed its initial business combination with DermTech, Inc., or DermTech, in August 2019. Since August 2019, Mr. Shukla has served as an independent director on the board of directors of InflammX Therapeutics, formerly known as Ocunexus Therapeutics, a clinical stage biotech company. From June 2013 to May 2015, Mr. Shukla served as Chief Executive Officer of Pipavav Defence &amp; Offshore Engineering Company (now Reliance Naval and Engineering Ltd.), an Indian listed shipbuilding and defense manufacturing company. Between 2008 and 2013, Mr. Shukla worked as an investor at ICICI Venture, Morgan Stanley Investment Management and Citi Venture Capital International. From 2001 to 2006, Mr. Shukla served as Senior Director at Pfizer, Inc. Mr. Shukla holds a master in healthcare management and policy degree from Harvard University and received a bachelor’s in pharmaceutics from the Indian Institute of Technology.</w:t>
      </w:r>
    </w:p>
    <w:p>
      <w:pPr>
        <w:sectPr>
          <w:pgSz w:w="11900" w:h="16838" w:orient="portrait"/>
          <w:cols w:equalWidth="0" w:num="1">
            <w:col w:w="9920"/>
          </w:cols>
          <w:pgMar w:left="980" w:top="125"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believe that Mr. Shukla is qualified to serve as a director based on the depth of his experience in the healthcare industry and in providing strategic guidance to numerous companies.</w:t>
      </w:r>
    </w:p>
    <w:p>
      <w:pPr>
        <w:spacing w:after="0" w:line="143"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b w:val="1"/>
          <w:bCs w:val="1"/>
          <w:i w:val="1"/>
          <w:iCs w:val="1"/>
          <w:color w:val="auto"/>
        </w:rPr>
        <w:t xml:space="preserve">Max Wallace </w:t>
      </w:r>
      <w:r>
        <w:rPr>
          <w:rFonts w:ascii="Arial" w:cs="Arial" w:eastAsia="Arial" w:hAnsi="Arial"/>
          <w:sz w:val="16"/>
          <w:szCs w:val="16"/>
          <w:color w:val="auto"/>
        </w:rPr>
        <w:t>has served as a member of our Board since the Business Combination and previously served as a member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Humacyte board of directors since June 2005. Mr. Wallace served as Chief Executive Officer of Accelerate Brain Cancer Cure, or ABC, a not-for-profit corporation seeking to drive research and treatments for brain tumors from August 2008 to December 2019. Prior to joining ABC, Mr. Wallace served as the Chief Executive Officer of TheraLogics, Inc. an early-stage biopharmaceutical company, and as President of Trimeris, Inc., a formerly public biopharmaceutical company founded by Mr. Wallace that created and brought to market a new class of drugs for the treatment of HIV, AIDS and other viral diseases and is now a part of Synageva BioPharma Corp.</w:t>
      </w:r>
    </w:p>
    <w:p>
      <w:pPr>
        <w:spacing w:after="0" w:line="4"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Mr. Wallace also founded and developed several other biopharmaceutical companies, including Cogent Neuroscience, Sphinx Pharmaceuticals Corporation, now a division of Eli Lilly &amp; Company, and SARCO, Inc., now a part of PPD/Pharmaco, and co-founded and served as President of the North Carolina Bioscience Organization, the biotechnology industry’s trade organization in North Carolina. Mr. Wallace holds a B.A. in English and Political Science from Duke University and a J.D. from the University of Florida.</w:t>
      </w:r>
    </w:p>
    <w:p>
      <w:pPr>
        <w:spacing w:after="0" w:line="12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We believe that Mr. Wallace is qualified to serve as a director based on the depth of his experience in the biotechnology industry, including his service in executive roles at multiple emerging biopharmaceutical companies and his oversight of the development and commercialization of innovative technologies.</w:t>
      </w:r>
    </w:p>
    <w:p>
      <w:pPr>
        <w:spacing w:after="0" w:line="14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Susan Windham-Bannister </w:t>
      </w:r>
      <w:r>
        <w:rPr>
          <w:rFonts w:ascii="Arial" w:cs="Arial" w:eastAsia="Arial" w:hAnsi="Arial"/>
          <w:sz w:val="16"/>
          <w:szCs w:val="16"/>
          <w:color w:val="auto"/>
        </w:rPr>
        <w:t>has served as President and Chief Executive Officer of Biomedical Growth Strategies, LLC, a strategic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advisory firm serving the life sciences and healthcare industries, since September 2015. From 2008 to 2015, Dr. Windham-Bannister served as founding President and Chief Executive Officer of the Massachusetts Life Sciences Initiative, a $1 billion life sciences-dedicated investment fund. Dr. Windham-Bannister currently serves on the board of directors of Aridis Pharmaceuticals, Inc., a public late-stage biopharmaceutical company. She is the Chair of the National Board of Directors of the Association for Women in Science (AWIS), serves on the board of directors of St. Jude’s Children’s Research Hospital, and Chairs the board of BioscienceLA, a nonprofit independent innovation catalyst organization. Dr. Windham-Bannister holds a Ph.D. in Health Policy and Management from the Florence Heller School at Brandeis University. She was a Post-Doctoral Fellow at Harvard University’s John F. Kennedy School and a Fellow in the Center for Science and Policy (CSAP) at Cambridge University, Cambridge, England.</w:t>
      </w:r>
    </w:p>
    <w:p>
      <w:pPr>
        <w:spacing w:after="0" w:line="13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believe that Dr. Windham-Bannister is qualified to serve as a director based on her status as an internationally recognized expert in innovation, market access, and market optimization strategies.</w:t>
      </w:r>
    </w:p>
    <w:p>
      <w:pPr>
        <w:spacing w:after="0" w:line="130"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b w:val="1"/>
          <w:bCs w:val="1"/>
          <w:i w:val="1"/>
          <w:iCs w:val="1"/>
          <w:color w:val="auto"/>
        </w:rPr>
        <w:t xml:space="preserve">Gordon M. Binder </w:t>
      </w:r>
      <w:r>
        <w:rPr>
          <w:rFonts w:ascii="Arial" w:cs="Arial" w:eastAsia="Arial" w:hAnsi="Arial"/>
          <w:sz w:val="16"/>
          <w:szCs w:val="16"/>
          <w:color w:val="auto"/>
        </w:rPr>
        <w:t>served as the Chief Executive Officer of Amgen, Inc. from 1998 through 2000. Mr. Binder joined Amgen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1982 as Chief Financial Officer, having previously served as the Chief Financial Officer of System Development Corporation, a computer system and software company, and in financial management positions at Litton Industries and Ford Motor Company. After retiring from Amgen, Mr. Binder founded Coastview Capital LLC, a biotech venture capital firm. Mr. Binder currently serves as Chairman of the Board of Directors of NEUVOGEN, Inc., a private immunoncology company. Mr. Binder has also served as the Chairman of BIO, the biotechnology industry trade association, and as Chairman of PHRMA, the pharmaceutical industry trade association. He has served as a member of the board of directors of the Massachusetts Institute of Technology, the California Institute of Technology, the American Enterprise Institute and Pepperdine University. Mr. Binder is a fellow of the American Academy of Arts and Sciences and is the author of Science Lessons: What the Business of Biotech Taught Me About Management. Mr. Binder holds a B.S. in electrical engineering from Purdue University and an M.B.A. from Harvard Business School, where he was a Baker Scholar.</w:t>
      </w:r>
    </w:p>
    <w:p>
      <w:pPr>
        <w:spacing w:after="0" w:line="128"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We believe that Mr. Binder is qualified to serve as a director based on the depth of his experience in the life sciences industry, including his service in executive roles at Amgen.</w:t>
      </w:r>
    </w:p>
    <w:p>
      <w:pPr>
        <w:spacing w:after="0" w:line="13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i w:val="1"/>
          <w:iCs w:val="1"/>
          <w:color w:val="auto"/>
        </w:rPr>
        <w:t xml:space="preserve">Michael T. Constantino </w:t>
      </w:r>
      <w:r>
        <w:rPr>
          <w:rFonts w:ascii="Arial" w:cs="Arial" w:eastAsia="Arial" w:hAnsi="Arial"/>
          <w:sz w:val="16"/>
          <w:szCs w:val="16"/>
          <w:color w:val="auto"/>
        </w:rPr>
        <w:t>is a retired Ernst &amp; Young LLP assurance partner who served in the Research Triangle Park region of North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Carolina for over 30 years. From 2009 to 2012, he served as the Office Managing Partner for the combined Raleigh/Greensboro office of Ernst &amp; Young with over 200 employees. Currently, Mr. Constantino serves as the member of the Board and the Chairman of the Audit Committee of 9 Meters Biopharma, Inc., a Nasdaq-listed clinical-stage biopharmaceutical company. He is also the Chair of the Board for the NC State Foundation and Chair of the Board of The Green Chair Project, and serves on the Advisory Board for CREO, Inc., an RTP-based consultancy focused on growth management and data transformation services. Mr. Constantino holds a B.A. in both Accounting and Business Management from NC State University and is a North Carolina Certified Public Accountant, or CPA.</w:t>
      </w:r>
    </w:p>
    <w:p>
      <w:pPr>
        <w:spacing w:after="0" w:line="13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believe that Mr. Constantino is qualified to serve as a director based on his extensive experience as a CPA and with SEC compliance matters and Sarbanes-Oxley internal controls.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Todd M. Pope </w:t>
      </w:r>
      <w:r>
        <w:rPr>
          <w:rFonts w:ascii="Arial" w:cs="Arial" w:eastAsia="Arial" w:hAnsi="Arial"/>
          <w:sz w:val="17"/>
          <w:szCs w:val="17"/>
          <w:color w:val="auto"/>
        </w:rPr>
        <w:t>has served as the President and Chief Executive Officer of WellAir Group Ltd., a leading clean air solutions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2021. Prior to its acquisition by WellAir, Mr. Pope served as the Executive Chairman of UV Innovators, LLC, a developer of medical-grade handheld UVC disinfection technology, from February 2017 to February 2021. From 2008 to 2019, Mr. Pope served as the Chief Executive Officer of TransEnterix, Inc. (now Asensus Surgical, Inc.), a medical device company. He also previously served as worldwide president of Cordis, a multi-billion-dollar division within Johnson &amp; Johnson’s medical device business. Mr. Pope currently serves as the Chairman of the Board of Directors of AdvaMed ACCEL and as a member of the Board of Directors of WELL.Co, a private digital health company. Mr. Pope also serves on the Kenan-Flagler Board of Visitors and the Educational Foundation for the University of North Carolina at Chapel Hill, where he is the immediate past Executive Chairman of the Board. Time Magazine named Mr. Pope one of the “50 most influential people in healthcare 2018.” Mr. Pope holds a B.A. in Labor and Industrial Relations from the University of North Carolina.</w:t>
      </w:r>
    </w:p>
    <w:p>
      <w:pPr>
        <w:spacing w:after="0" w:line="15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believe that Mr. Pope is qualified to serve as a director based on his extensive experience in key leadership positions at public and private companies within the healthcare industry.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8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Board directs the management of our business and affairs, as provided by Delaware law, and conducts its business through meetings of the Board and its standing committees.</w:t>
      </w:r>
    </w:p>
    <w:p>
      <w:pPr>
        <w:spacing w:after="0" w:line="14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Board consists of eleven members. Kathleen Sebelius serves as chair of the Board. The primary responsibilities of the Board are to provide risk oversight and strategic guidance to Humacyte and to counsel and direct our management. The Board meets on a regular basis and will convene additional meetings, as required.</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Fresenius Medical Care may designate one representative to attend, in a non-voting observer capacity, all meetings of the Board.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Board is divided into three classes of directors, with the classes to be as nearly equal as possible, and with the directors serving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three-year terms. Mr. Dougan, Dr. Lawson and Mr. Wallace are currently Class I directors; Mr. Binder, Mr. Pope, Ms. Sebelius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Shukla are Class II directors; and Dr. Brown, Mr. Constantino, Dr. Niklason and Dr. Windham-Bannister are Class III directors.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of office of the Class I directors will expire at the first annual meeting of stockholders following the initial classification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Board. At the second annual meeting of stockholders following such classification, the term of office of the Class II directors will expire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Class II directors will be elected for a full term of three years. At the third annual meeting of stockholders following such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the term of office of the Class III directors will expire and Class III directors will be elected for a full term of three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Dr. Niklason, our President and Chief Executive Officer, is married to Mr. Dougan. Both Dr. Niklason and Mr. Dougan serve on the Board. There are no additional family relationships among the directors and executive officers of Humacyte.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Nasdaq listing standards generally define an “independent director” as a person who is not an executive officer or employee, or who does not have a relationship which, in the opinion of the company’s board of directors, would interfere with the exercise of independent judgment in carrying out his or her responsibilities as a director. The Board has determined that Gordon M. Binder, Emery N. Brown, Michael T. Constantino, Todd M. Pope, Kathleen Sebelius, Max Wallace and Susan Windham-Bannister are considered independent directors of Humacyte. The independent directors hold regularly scheduled meetings at which only independent directors are present.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8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Board recognizes that the leadership structure and combination or separation of the Chief Executive Officer and chairperson roles is driven by the needs of Humacyte at any point in time. As a result, no policy exists requiring combination or separation of leadership roles, and Humacyte’s governing documents do not mandate a particular structure. This will allow the Board the flexibility to establish the most appropriate structure for Humacyte at any given time.</w:t>
      </w:r>
    </w:p>
    <w:p>
      <w:pPr>
        <w:spacing w:after="0" w:line="146"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The Board oversees the risk management activities designed and implemented by Humacyte’s management. The Board does not have a standing risk management committee, but rather executes its oversight responsibility both directly and through its standing committees. The Board also considers specific risk topics, including risks associated with Humacyte’s strategic initiatives, business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plans and capital structure. Humacyte’s management, including our executive officers, are primarily responsible for managing the risks associated with operation and business of the company and provide appropriate updates to the Board and the audit committee. The Board has delegated to the audit committee oversight of its risk management process, and the other committees of the Board also consider risks as they perform their respective committee responsibilities. All Board committees report to the Board as appropriate, including, but not limited to, when a matter rises to the level of a material or enterprise risk.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8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Board has an audit committee, a nominating and governance committee, a compensation committee, and a commercial committee. In addition, from time to time, special committees may be established under the direction of the Board when necessary to address specific issues. Copies of each Board committee’s charter are posted on Humacyte’s website. Humacyte’s website and the information contained on, or that can be accessed through, such website are not deemed to be incorporated by reference in, and are not considered part of, this prospectus.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audit committee consists of Michael T. Constantino, Kathleen Sebelius, and Susan Windham-Bannister. Michael T. Constantino serves as the chairperson of the audit committee. The Board has determined that each of Michael T. Constantino, Kathleen Sebelius, and Susan Windham-Bannister is independent under Nasdaq listing standards and Rule 10A-3 of the Exchange Act. Each member of the audit committee is financially literate. The Board also has determined that Michael T. Constantino is an “audit committee financial expert” within the meaning of SEC regulations.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has the following responsibilities, among others, as set forth in the audit committee charter:</w:t>
      </w:r>
    </w:p>
    <w:p>
      <w:pPr>
        <w:spacing w:after="0" w:line="185" w:lineRule="exact"/>
        <w:rPr>
          <w:sz w:val="20"/>
          <w:szCs w:val="20"/>
          <w:color w:val="auto"/>
        </w:rPr>
      </w:pPr>
    </w:p>
    <w:p>
      <w:pPr>
        <w:ind w:left="680" w:hanging="321"/>
        <w:spacing w:after="0"/>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selecting a firm to serve as the independent registered public accounting firm to audit Humacyte’s financial statements;</w:t>
      </w:r>
    </w:p>
    <w:p>
      <w:pPr>
        <w:spacing w:after="0" w:line="196" w:lineRule="exact"/>
        <w:rPr>
          <w:rFonts w:ascii="Arial" w:cs="Arial" w:eastAsia="Arial" w:hAnsi="Arial"/>
          <w:sz w:val="17"/>
          <w:szCs w:val="17"/>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98" w:lineRule="exact"/>
        <w:rPr>
          <w:rFonts w:ascii="Arial" w:cs="Arial" w:eastAsia="Arial" w:hAnsi="Arial"/>
          <w:sz w:val="18"/>
          <w:szCs w:val="18"/>
          <w:color w:val="auto"/>
        </w:rPr>
      </w:pPr>
    </w:p>
    <w:p>
      <w:pPr>
        <w:ind w:left="680" w:right="580" w:hanging="321"/>
        <w:spacing w:after="0" w:line="277" w:lineRule="auto"/>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Humacyte’s interim and year-end operating results;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establishing procedures for employees to anonymously submit concerns about questionable accounting or audit matters;</w:t>
      </w:r>
    </w:p>
    <w:p>
      <w:pPr>
        <w:spacing w:after="0" w:line="196" w:lineRule="exact"/>
        <w:rPr>
          <w:rFonts w:ascii="Arial" w:cs="Arial" w:eastAsia="Arial" w:hAnsi="Arial"/>
          <w:sz w:val="17"/>
          <w:szCs w:val="17"/>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considering the adequacy of Humacyte’s internal controls;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pre-approving audit and non-audit services to be performed by the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9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nominating and governance committee consists of Gordon M. Binder, Emery N. Brown and Max Wallace. Max Wallace serves as the chairperson of the nominating and governance committee. The Board has determined that each of Gordon M. Binder, Emery N. Brown and Max Wallace is independent under Nasdaq listing standards.</w:t>
      </w:r>
    </w:p>
    <w:p>
      <w:pPr>
        <w:spacing w:after="0" w:line="14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nominating and governance committee has the following responsibilities, among others, as set forth in the nominating and governance committee’s charter:</w:t>
      </w:r>
    </w:p>
    <w:p>
      <w:pPr>
        <w:spacing w:after="0" w:line="130" w:lineRule="exact"/>
        <w:rPr>
          <w:sz w:val="20"/>
          <w:szCs w:val="20"/>
          <w:color w:val="auto"/>
        </w:rPr>
      </w:pPr>
    </w:p>
    <w:p>
      <w:pPr>
        <w:ind w:left="680" w:hanging="32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the Board;</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and recommending Humacyte’s corporate governance guidelines and policies;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the Board;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assisting the Board on corporate governance matters; and</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and Ethics for directors and executive officers.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compensation committee consists of Michael T. Constantino, Todd M. Pope and Max Wallace. Todd M. Pope serves as the chairperson of the compensation committee. The Board has determined that each of Michael T. Constantino, Todd M. Pope and Max Wallace is independent under applicable SEC rules and Nasdaq listing standards and a “non-employee director” as defined in Rule 16b-3 promulgated under the Exchange Act.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has the following responsibilities, among others, as set forth in the compensation committee’s charter:</w:t>
      </w:r>
    </w:p>
    <w:p>
      <w:pPr>
        <w:spacing w:after="0" w:line="208" w:lineRule="exact"/>
        <w:rPr>
          <w:sz w:val="20"/>
          <w:szCs w:val="20"/>
          <w:color w:val="auto"/>
        </w:rPr>
      </w:pPr>
    </w:p>
    <w:p>
      <w:pPr>
        <w:ind w:left="680" w:hanging="321"/>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or recommending that the Board approve, the compensation of executive officers;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recommending to the Board the compensation of its directors;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administering Humacyte’s stock and equity incentive plans;</w:t>
      </w:r>
    </w:p>
    <w:p>
      <w:pPr>
        <w:spacing w:after="0" w:line="184"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with respect to, incentive compensation and equity plans; and</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Humacyte’s overall compensation philosophy.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Committee</w:t>
      </w:r>
    </w:p>
    <w:p>
      <w:pPr>
        <w:spacing w:after="0" w:line="18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commercial committee consists of Gordon M. Binder, Jeffrey H. Lawson, Todd M. Pope, Rajiv Shukla and Susan Windham-Bannister. The commercial committee does not have a chairperson. The commercial committee oversees issues related to manufacturing, pricing, market access, and sales. A majority of the members of the commercial committee—Gordon M. Binder, Todd M. Pope and Susan Windham-Bannister—are independent under applicable SEC rules and Nasdaq listing standards.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20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Humacyte has adopted a Code of Conduct and Ethics that applies to all officers, directors and employees of Humacyte and its subsidiaries. The Code of Conduct and Ethics codifies the business and ethical principles that govern all aspects of Humacyte’s business, reflecting Humacyte’s commitment to this culture of honesty, integrity and accountability. In addition to following the Code of Conduct and Ethics, officers, directors and employees are expected to seek guidance in situations where there is a question regarding compliance issues, whether with the letter or the spirit of Humacyte’s policies and applicable laws. Humacyte will provide, without charge, upon request, copies of the Code of Conduct and Ethics. The code of business conduct is available on Humacyte’s website. Humacyte’s website and the information contained on, or that can be accessed through, such website are not deemed to be incorporated by reference in, and are not considered part of, this prospectus. For copies of the Code of Conduct and Ethics, please see the section entitled “Where You Can Find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None of the members of the compensation committee is currently one of Humacyte’s officers or employees. None of Humacyte’s executive officers currently serves, or has served during the last completed fiscal year, as a member of the board of directors or compensation committee of any entity that has one or more executive officers serving or will serve as a member of Humacyte’s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section, “Humacyte” refers to Legacy Humacyte prior to the closing of the Business Combination and</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Humacyte, Inc. after the closing of the Business Combination; and the “Board” refers to the board of directors of Legacy Humacyte prior to the closing of the Business Combination and to the board of directors of Humacyte, Inc. after the closing of the Business Combination. Upon the closing of the Business Combination, the executive officers of Legacy Humacyte became executive officers of Humacyte, except for Mr. Blankenship.</w:t>
      </w:r>
    </w:p>
    <w:p>
      <w:pPr>
        <w:spacing w:after="0" w:line="15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This section provides an overview of Humacyte’s executive compensation programs as they relate to the executive officers named below (the “named executive officers”), including a narrative description of the material factors necessary to understand the information disclosed in the summary compensation table below. The Board, upon the recommendation of its compensation committee and with input from Humacyte’s Chief Executive Officer, has historically determined the compensation for Humacyte’s named executive officers. For the year ended December 31, 2020, Humacyte’s named executive officers were:</w:t>
      </w:r>
    </w:p>
    <w:p>
      <w:pPr>
        <w:spacing w:after="0" w:line="136" w:lineRule="exact"/>
        <w:rPr>
          <w:sz w:val="20"/>
          <w:szCs w:val="20"/>
          <w:color w:val="auto"/>
        </w:rPr>
      </w:pPr>
    </w:p>
    <w:p>
      <w:pPr>
        <w:ind w:left="680" w:hanging="321"/>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Laura E. Niklason, President, Chief Executive Officer and a member of the Board;</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Douglas L. Blankenship, former Chief Financial Officer and Treasurer;</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Jeffrey H. Lawson, Chief Surgical Officer and a member of the Board;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Heather Prichard, Chief Operating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information regarding the compensation awarded by, earned by or paid to Humacyte’s named executive officers during the fiscal year ended December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4"/>
                <w:szCs w:val="14"/>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Awards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40" w:type="dxa"/>
            <w:vAlign w:val="bottom"/>
          </w:tcPr>
          <w:p>
            <w:pPr>
              <w:spacing w:after="0"/>
              <w:rPr>
                <w:sz w:val="14"/>
                <w:szCs w:val="14"/>
                <w:color w:val="auto"/>
              </w:rPr>
            </w:pPr>
          </w:p>
        </w:tc>
        <w:tc>
          <w:tcPr>
            <w:tcW w:w="6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79"/>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(1)</w:t>
            </w:r>
          </w:p>
        </w:tc>
        <w:tc>
          <w:tcPr>
            <w:tcW w:w="140" w:type="dxa"/>
            <w:vAlign w:val="bottom"/>
          </w:tcPr>
          <w:p>
            <w:pPr>
              <w:spacing w:after="0"/>
              <w:rPr>
                <w:sz w:val="15"/>
                <w:szCs w:val="15"/>
                <w:color w:val="auto"/>
              </w:rPr>
            </w:pPr>
          </w:p>
        </w:tc>
        <w:tc>
          <w:tcPr>
            <w:tcW w:w="960" w:type="dxa"/>
            <w:vAlign w:val="bottom"/>
          </w:tcPr>
          <w:p>
            <w:pPr>
              <w:ind w:left="340"/>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(2)</w:t>
            </w: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Laura E. Niklason</w:t>
            </w:r>
            <w:r>
              <w:rPr>
                <w:rFonts w:ascii="Arial" w:cs="Arial" w:eastAsia="Arial" w:hAnsi="Arial"/>
                <w:sz w:val="24"/>
                <w:szCs w:val="24"/>
                <w:color w:val="auto"/>
                <w:vertAlign w:val="superscript"/>
              </w:rPr>
              <w:t>(3)</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4"/>
              </w:rPr>
              <w:t>26,990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106,277</w:t>
            </w:r>
          </w:p>
        </w:tc>
        <w:tc>
          <w:tcPr>
            <w:tcW w:w="2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208,267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6"/>
                <w:szCs w:val="16"/>
                <w:color w:val="auto"/>
              </w:rPr>
              <w:t>Douglas L. Blankenship</w:t>
            </w:r>
            <w:r>
              <w:rPr>
                <w:rFonts w:ascii="Arial" w:cs="Arial" w:eastAsia="Arial" w:hAnsi="Arial"/>
                <w:sz w:val="23"/>
                <w:szCs w:val="23"/>
                <w:color w:val="auto"/>
                <w:vertAlign w:val="superscript"/>
              </w:rPr>
              <w:t>(6)</w:t>
            </w:r>
          </w:p>
        </w:tc>
        <w:tc>
          <w:tcPr>
            <w:tcW w:w="580" w:type="dxa"/>
            <w:vAlign w:val="bottom"/>
            <w:gridSpan w:val="2"/>
          </w:tcPr>
          <w:p>
            <w:pPr>
              <w:jc w:val="center"/>
              <w:ind w:left="50"/>
              <w:spacing w:after="0" w:line="201" w:lineRule="exact"/>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w w:val="95"/>
              </w:rPr>
              <w:t>385,189</w:t>
            </w:r>
          </w:p>
        </w:tc>
        <w:tc>
          <w:tcPr>
            <w:tcW w:w="820" w:type="dxa"/>
            <w:vAlign w:val="bottom"/>
            <w:gridSpan w:val="2"/>
          </w:tcPr>
          <w:p>
            <w:pPr>
              <w:jc w:val="right"/>
              <w:spacing w:after="0" w:line="201" w:lineRule="exact"/>
              <w:rPr>
                <w:sz w:val="20"/>
                <w:szCs w:val="20"/>
                <w:color w:val="auto"/>
              </w:rPr>
            </w:pPr>
            <w:r>
              <w:rPr>
                <w:rFonts w:ascii="Arial" w:cs="Arial" w:eastAsia="Arial" w:hAnsi="Arial"/>
                <w:sz w:val="23"/>
                <w:szCs w:val="23"/>
                <w:color w:val="auto"/>
                <w:vertAlign w:val="superscript"/>
              </w:rPr>
              <w:t>(7)</w:t>
            </w:r>
            <w:r>
              <w:rPr>
                <w:rFonts w:ascii="Arial" w:cs="Arial" w:eastAsia="Arial" w:hAnsi="Arial"/>
                <w:sz w:val="16"/>
                <w:szCs w:val="16"/>
                <w:color w:val="auto"/>
              </w:rPr>
              <w:t xml:space="preserve"> 30,000</w:t>
            </w:r>
          </w:p>
        </w:tc>
        <w:tc>
          <w:tcPr>
            <w:tcW w:w="140" w:type="dxa"/>
            <w:vAlign w:val="bottom"/>
          </w:tcPr>
          <w:p>
            <w:pPr>
              <w:spacing w:after="0"/>
              <w:rPr>
                <w:sz w:val="17"/>
                <w:szCs w:val="17"/>
                <w:color w:val="auto"/>
              </w:rPr>
            </w:pPr>
          </w:p>
        </w:tc>
        <w:tc>
          <w:tcPr>
            <w:tcW w:w="1200" w:type="dxa"/>
            <w:vAlign w:val="bottom"/>
            <w:gridSpan w:val="2"/>
          </w:tcPr>
          <w:p>
            <w:pPr>
              <w:ind w:left="420"/>
              <w:spacing w:after="0" w:line="201" w:lineRule="exact"/>
              <w:rPr>
                <w:sz w:val="20"/>
                <w:szCs w:val="20"/>
                <w:color w:val="auto"/>
              </w:rPr>
            </w:pPr>
            <w:r>
              <w:rPr>
                <w:rFonts w:ascii="Arial" w:cs="Arial" w:eastAsia="Arial" w:hAnsi="Arial"/>
                <w:sz w:val="16"/>
                <w:szCs w:val="16"/>
                <w:color w:val="auto"/>
              </w:rPr>
              <w:t xml:space="preserve">26,990 </w:t>
            </w:r>
            <w:r>
              <w:rPr>
                <w:rFonts w:ascii="Arial" w:cs="Arial" w:eastAsia="Arial" w:hAnsi="Arial"/>
                <w:sz w:val="23"/>
                <w:szCs w:val="23"/>
                <w:color w:val="auto"/>
                <w:vertAlign w:val="superscript"/>
              </w:rPr>
              <w:t>(8)</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13,116</w:t>
            </w:r>
          </w:p>
        </w:tc>
        <w:tc>
          <w:tcPr>
            <w:tcW w:w="240" w:type="dxa"/>
            <w:vAlign w:val="bottom"/>
          </w:tcPr>
          <w:p>
            <w:pPr>
              <w:jc w:val="center"/>
              <w:spacing w:after="0"/>
              <w:rPr>
                <w:sz w:val="20"/>
                <w:szCs w:val="20"/>
                <w:color w:val="auto"/>
              </w:rPr>
            </w:pPr>
            <w:r>
              <w:rPr>
                <w:rFonts w:ascii="Arial" w:cs="Arial" w:eastAsia="Arial" w:hAnsi="Arial"/>
                <w:sz w:val="13"/>
                <w:szCs w:val="13"/>
                <w:color w:val="auto"/>
              </w:rPr>
              <w:t>(9)</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455,295</w:t>
            </w:r>
          </w:p>
        </w:tc>
        <w:tc>
          <w:tcPr>
            <w:tcW w:w="0" w:type="dxa"/>
            <w:vAlign w:val="bottom"/>
          </w:tcPr>
          <w:p>
            <w:pPr>
              <w:spacing w:after="0"/>
              <w:rPr>
                <w:sz w:val="1"/>
                <w:szCs w:val="1"/>
                <w:color w:val="auto"/>
              </w:rPr>
            </w:pPr>
          </w:p>
        </w:tc>
      </w:tr>
      <w:tr>
        <w:trPr>
          <w:trHeight w:val="230"/>
        </w:trPr>
        <w:tc>
          <w:tcPr>
            <w:tcW w:w="4580" w:type="dxa"/>
            <w:vAlign w:val="bottom"/>
          </w:tcPr>
          <w:p>
            <w:pPr>
              <w:ind w:left="120"/>
              <w:spacing w:after="0"/>
              <w:rPr>
                <w:sz w:val="20"/>
                <w:szCs w:val="20"/>
                <w:color w:val="auto"/>
              </w:rPr>
            </w:pPr>
            <w:r>
              <w:rPr>
                <w:rFonts w:ascii="Arial" w:cs="Arial" w:eastAsia="Arial" w:hAnsi="Arial"/>
                <w:sz w:val="18"/>
                <w:szCs w:val="18"/>
                <w:i w:val="1"/>
                <w:iCs w:val="1"/>
                <w:color w:val="auto"/>
              </w:rPr>
              <w:t>Former Chief Financial Officer and Treasurer</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Jeffrey H. Lawson</w:t>
            </w:r>
            <w:r>
              <w:rPr>
                <w:rFonts w:ascii="Arial" w:cs="Arial" w:eastAsia="Arial" w:hAnsi="Arial"/>
                <w:sz w:val="26"/>
                <w:szCs w:val="26"/>
                <w:color w:val="auto"/>
                <w:vertAlign w:val="superscript"/>
              </w:rPr>
              <w:t>(10)</w:t>
            </w:r>
          </w:p>
        </w:tc>
        <w:tc>
          <w:tcPr>
            <w:tcW w:w="5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2020</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604,816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3"/>
              </w:rPr>
              <w:t xml:space="preserve">26,990 </w:t>
            </w:r>
            <w:r>
              <w:rPr>
                <w:rFonts w:ascii="Arial" w:cs="Arial" w:eastAsia="Arial" w:hAnsi="Arial"/>
                <w:sz w:val="26"/>
                <w:szCs w:val="26"/>
                <w:color w:val="auto"/>
                <w:w w:val="83"/>
                <w:vertAlign w:val="superscript"/>
              </w:rPr>
              <w:t>(11)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720,885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Chief Surgical Officer</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4580" w:type="dxa"/>
            <w:vAlign w:val="bottom"/>
          </w:tcPr>
          <w:p>
            <w:pPr>
              <w:spacing w:after="0"/>
              <w:rPr>
                <w:sz w:val="20"/>
                <w:szCs w:val="20"/>
                <w:color w:val="auto"/>
              </w:rPr>
            </w:pPr>
            <w:r>
              <w:rPr>
                <w:rFonts w:ascii="Arial" w:cs="Arial" w:eastAsia="Arial" w:hAnsi="Arial"/>
                <w:sz w:val="18"/>
                <w:szCs w:val="18"/>
                <w:color w:val="auto"/>
              </w:rPr>
              <w:t>Heather Prichard</w:t>
            </w:r>
          </w:p>
        </w:tc>
        <w:tc>
          <w:tcPr>
            <w:tcW w:w="5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371,917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24"/>
                <w:szCs w:val="24"/>
                <w:color w:val="auto"/>
              </w:rPr>
            </w:pP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w w:val="83"/>
              </w:rPr>
              <w:t xml:space="preserve">26,990 </w:t>
            </w:r>
            <w:r>
              <w:rPr>
                <w:rFonts w:ascii="Arial" w:cs="Arial" w:eastAsia="Arial" w:hAnsi="Arial"/>
                <w:sz w:val="26"/>
                <w:szCs w:val="26"/>
                <w:color w:val="auto"/>
                <w:w w:val="83"/>
                <w:vertAlign w:val="superscript"/>
              </w:rPr>
              <w:t>(13)</w:t>
            </w:r>
          </w:p>
        </w:tc>
        <w:tc>
          <w:tcPr>
            <w:tcW w:w="900" w:type="dxa"/>
            <w:vAlign w:val="bottom"/>
          </w:tcPr>
          <w:p>
            <w:pPr>
              <w:jc w:val="right"/>
              <w:spacing w:after="0"/>
              <w:rPr>
                <w:sz w:val="20"/>
                <w:szCs w:val="20"/>
                <w:color w:val="auto"/>
              </w:rPr>
            </w:pPr>
            <w:r>
              <w:rPr>
                <w:rFonts w:ascii="Arial" w:cs="Arial" w:eastAsia="Arial" w:hAnsi="Arial"/>
                <w:sz w:val="18"/>
                <w:szCs w:val="18"/>
                <w:color w:val="auto"/>
              </w:rPr>
              <w:t>11,783</w:t>
            </w:r>
          </w:p>
        </w:tc>
        <w:tc>
          <w:tcPr>
            <w:tcW w:w="240" w:type="dxa"/>
            <w:vAlign w:val="bottom"/>
          </w:tcPr>
          <w:p>
            <w:pPr>
              <w:jc w:val="center"/>
              <w:spacing w:after="0"/>
              <w:rPr>
                <w:sz w:val="20"/>
                <w:szCs w:val="20"/>
                <w:color w:val="auto"/>
              </w:rPr>
            </w:pPr>
            <w:r>
              <w:rPr>
                <w:rFonts w:ascii="Arial" w:cs="Arial" w:eastAsia="Arial" w:hAnsi="Arial"/>
                <w:sz w:val="13"/>
                <w:szCs w:val="13"/>
                <w:color w:val="auto"/>
                <w:w w:val="94"/>
              </w:rPr>
              <w:t>(14)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490,690</w:t>
            </w:r>
          </w:p>
        </w:tc>
        <w:tc>
          <w:tcPr>
            <w:tcW w:w="0" w:type="dxa"/>
            <w:vAlign w:val="bottom"/>
          </w:tcPr>
          <w:p>
            <w:pPr>
              <w:spacing w:after="0"/>
              <w:rPr>
                <w:sz w:val="1"/>
                <w:szCs w:val="1"/>
                <w:color w:val="auto"/>
              </w:rPr>
            </w:pPr>
          </w:p>
        </w:tc>
      </w:tr>
      <w:tr>
        <w:trPr>
          <w:trHeight w:val="230"/>
        </w:trPr>
        <w:tc>
          <w:tcPr>
            <w:tcW w:w="4580" w:type="dxa"/>
            <w:vAlign w:val="bottom"/>
          </w:tcPr>
          <w:p>
            <w:pPr>
              <w:ind w:left="120"/>
              <w:spacing w:after="0"/>
              <w:rPr>
                <w:sz w:val="20"/>
                <w:szCs w:val="20"/>
                <w:color w:val="auto"/>
              </w:rPr>
            </w:pPr>
            <w:r>
              <w:rPr>
                <w:rFonts w:ascii="Arial" w:cs="Arial" w:eastAsia="Arial" w:hAnsi="Arial"/>
                <w:sz w:val="18"/>
                <w:szCs w:val="18"/>
                <w:i w:val="1"/>
                <w:iCs w:val="1"/>
                <w:color w:val="auto"/>
              </w:rPr>
              <w:t>Chief Operating Officer</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amounts reported here reflect annual cash bonuses for 2020 paid under an employee bonus program.</w:t>
      </w:r>
    </w:p>
    <w:p>
      <w:pPr>
        <w:spacing w:after="0" w:line="194" w:lineRule="exact"/>
        <w:rPr>
          <w:rFonts w:ascii="Arial" w:cs="Arial" w:eastAsia="Arial" w:hAnsi="Arial"/>
          <w:sz w:val="16"/>
          <w:szCs w:val="16"/>
          <w:color w:val="auto"/>
        </w:rPr>
      </w:pPr>
    </w:p>
    <w:p>
      <w:pPr>
        <w:jc w:val="both"/>
        <w:ind w:left="340" w:right="80" w:hanging="332"/>
        <w:spacing w:after="0" w:line="293" w:lineRule="auto"/>
        <w:tabs>
          <w:tab w:leader="none" w:pos="3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amounts reported here do not reflect the actual economic value that may be realized by each named executive officer. In accordance with SEC rules, these amounts represent the grant date fair value of the option awards, calculated in accordance with Accounting Standards Update 2018-07, “Compensation — Stock Compensation (Topic 718).” For additional information regarding the assumptions used in calculating the grant date fair value of the stock options reported in this table, see “Management’s Discussion and Analysis of Financial Condition and Results of Operations— Critical Accounting Policies and Significant Judgments and Estimates—Stock-Based Compensation.”</w:t>
      </w:r>
    </w:p>
    <w:p>
      <w:pPr>
        <w:spacing w:after="0" w:line="135" w:lineRule="exact"/>
        <w:rPr>
          <w:rFonts w:ascii="Arial" w:cs="Arial" w:eastAsia="Arial" w:hAnsi="Arial"/>
          <w:sz w:val="15"/>
          <w:szCs w:val="15"/>
          <w:color w:val="auto"/>
        </w:rPr>
      </w:pPr>
    </w:p>
    <w:p>
      <w:pPr>
        <w:ind w:left="340" w:right="80" w:hanging="332"/>
        <w:spacing w:after="0" w:line="278"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Dr. Niklason was appointed as Humacyte’s President and Chief Executive Officer in November 2020. Accordingly, her salary has been prorated to reflect the portion of 2020 during which she was employed by Humacyte. The $75,000 in salary earned by Dr. Niklason for her services as Humacyte’s President and Chief Executive Officer in 2020 was paid in January 2021.</w:t>
      </w:r>
    </w:p>
    <w:p>
      <w:pPr>
        <w:spacing w:after="0" w:line="157" w:lineRule="exact"/>
        <w:rPr>
          <w:rFonts w:ascii="Arial" w:cs="Arial" w:eastAsia="Arial" w:hAnsi="Arial"/>
          <w:sz w:val="16"/>
          <w:szCs w:val="16"/>
          <w:color w:val="auto"/>
        </w:rPr>
      </w:pPr>
    </w:p>
    <w:p>
      <w:pPr>
        <w:ind w:left="340" w:hanging="332"/>
        <w:spacing w:after="0"/>
        <w:tabs>
          <w:tab w:leader="none" w:pos="3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Reflects an incentive stock option (“ISO”) to purchase 10,000 shares of Humacyte common stock, which was granted in December 2020.</w:t>
      </w:r>
    </w:p>
    <w:p>
      <w:pPr>
        <w:spacing w:after="0" w:line="205" w:lineRule="exact"/>
        <w:rPr>
          <w:rFonts w:ascii="Arial" w:cs="Arial" w:eastAsia="Arial" w:hAnsi="Arial"/>
          <w:sz w:val="15"/>
          <w:szCs w:val="15"/>
          <w:color w:val="auto"/>
        </w:rPr>
      </w:pPr>
    </w:p>
    <w:p>
      <w:pPr>
        <w:ind w:left="340" w:right="80" w:hanging="332"/>
        <w:spacing w:after="0" w:line="273"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Consists of $4,388 in commuting and related travel expenses and $58,954 for lodging expenses paid by Humacyte. The all other compensation column for Dr. Niklason also includes $42,935 in fees earned or paid in cash for her service as a director from January 1, 2020 to the date of her appointment as President and Chief Executive Officer. For additional information regarding Humacyte’s non-employee director compensation, see “—Non-Employee Director Compensation” below.</w:t>
      </w:r>
    </w:p>
    <w:p>
      <w:pPr>
        <w:spacing w:after="0" w:line="148" w:lineRule="exact"/>
        <w:rPr>
          <w:rFonts w:ascii="Arial" w:cs="Arial" w:eastAsia="Arial" w:hAnsi="Arial"/>
          <w:sz w:val="16"/>
          <w:szCs w:val="16"/>
          <w:color w:val="auto"/>
        </w:rPr>
      </w:pPr>
    </w:p>
    <w:p>
      <w:pPr>
        <w:ind w:left="340" w:hanging="332"/>
        <w:spacing w:after="0"/>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Mr. Blankenship served as Humacyte’s Chief Financial Officer from October 2018 through May 2021.</w:t>
      </w:r>
    </w:p>
    <w:p>
      <w:pPr>
        <w:sectPr>
          <w:pgSz w:w="11900" w:h="16838" w:orient="portrait"/>
          <w:cols w:equalWidth="0" w:num="1">
            <w:col w:w="9920"/>
          </w:cols>
          <w:pgMar w:left="980" w:top="125" w:right="99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Reflects an increase in Mr. Blankenship’s annual base salary that became effective on January 27, 2020.</w:t>
      </w:r>
    </w:p>
    <w:p>
      <w:pPr>
        <w:spacing w:after="0" w:line="207" w:lineRule="exact"/>
        <w:rPr>
          <w:rFonts w:ascii="Arial" w:cs="Arial" w:eastAsia="Arial" w:hAnsi="Arial"/>
          <w:sz w:val="16"/>
          <w:szCs w:val="16"/>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Reflects an ISO to purchase 10,000 shares of Humacyte common stock, which was granted in December 2020.</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Consists of $11,400 in matching contributions under Humacyte’s 401(k) plans and $1,716 in life insurance premiums paid by Humacyte.</w:t>
      </w:r>
    </w:p>
    <w:p>
      <w:pPr>
        <w:spacing w:after="0" w:line="205" w:lineRule="exact"/>
        <w:rPr>
          <w:rFonts w:ascii="Arial" w:cs="Arial" w:eastAsia="Arial" w:hAnsi="Arial"/>
          <w:sz w:val="15"/>
          <w:szCs w:val="15"/>
          <w:color w:val="auto"/>
        </w:rPr>
      </w:pPr>
    </w:p>
    <w:p>
      <w:pPr>
        <w:ind w:left="340" w:right="140" w:hanging="332"/>
        <w:spacing w:after="0" w:line="271"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Dr. Lawson served as Humacyte’s President and Chief Executive Officer from June 2018 through November 2020 and was appointed as Humacyte’s Chief Surgical Officer in November 2020 in connection with Dr. Niklason’s assumption of the role of President and Chief Executive Officer. Accordingly, his salary reflects (i) the compensation he earned as President and Chief Executive Officer, which reflects an increase in his annual base salary that became effective on January 27, 2020 and (ii) the compensation he earned as Chief Surgical Officer from the date of such appointment through December 31, 2020.</w:t>
      </w:r>
    </w:p>
    <w:p>
      <w:pPr>
        <w:spacing w:after="0" w:line="162" w:lineRule="exact"/>
        <w:rPr>
          <w:rFonts w:ascii="Arial" w:cs="Arial" w:eastAsia="Arial" w:hAnsi="Arial"/>
          <w:sz w:val="16"/>
          <w:szCs w:val="16"/>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Reflects an ISO to purchase 10,000 shares of Humacyte common stock, which was granted in December 2020.</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Consists of $11,400 in matching contributions under Humacyte’s 401(k) plans and $2,679 in life insurance premiums paid by the company</w:t>
      </w:r>
    </w:p>
    <w:p>
      <w:pPr>
        <w:spacing w:after="0" w:line="205" w:lineRule="exact"/>
        <w:rPr>
          <w:rFonts w:ascii="Arial" w:cs="Arial" w:eastAsia="Arial" w:hAnsi="Arial"/>
          <w:sz w:val="15"/>
          <w:szCs w:val="15"/>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Reflects an ISO to purchase 10,000 shares of Humacyte common stock, which was granted in December 2020.</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Consists of $11,400 in matching contributions under Humacyte’s 401(k) plans and $383 in life insurance premiums paid by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Dr. Niklason’s appointment as Humacyte’s President and Chief Executive Officer, her annual base salary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$500,000 in 2020, which was prorated for the portion of the year in which she served in those positions and paid in January 2021. The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compensation column in the Summary Compensation Table above also includes $42,935 in fees earned or paid in cash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Dr. Niklason’s service as a director from January 1, 2020 to the date of her appointment as President and Chief Executive Officer.</w:t>
      </w:r>
    </w:p>
    <w:p>
      <w:pPr>
        <w:spacing w:after="0" w:line="19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Mr. Blankenship’s annual base salary for 2020 was $371,315, which reflects an increase in annual base salary that became effective on January 27, 2020.</w:t>
      </w:r>
    </w:p>
    <w:p>
      <w:pPr>
        <w:spacing w:after="0" w:line="13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Dr. Lawson’s annual base salary for 2020 was $583,495, which reflects an increase in annual base salary that became effective on January 27,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Dr. Prichard’s annual base salary for 2020 was $360,000.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18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In 2020, Mr. Blankenship, Dr. Lawson and Dr. Prichard earned cash bonuses as part of an employee bonus program. Because Dr. Niklason did not assume the role of President and Chief Executive Officer until November 2020, she was not awarded a bonus for 2020.</w:t>
      </w:r>
    </w:p>
    <w:p>
      <w:pPr>
        <w:spacing w:after="0" w:line="143"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2021, the Company awarded bonuses for individual performance during 2020 that were payable upon the closing of the Business Combination: (i) Mr. Jeff Lawson, the Company’s Chief Surgical Officer, was granted a bonus in the amount of $87,524; and (ii) Ms. Heather Prichard, the Company’s Chief Operating Officer, was granted a bonus in the amount of $54,000.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8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Although Humacyte does not have a formal policy with respect to the grant of equity incentive awards to its executive officers, or any formal equity ownership guidelines applicable to them, Humacyte generally uses stock options to compensate its executive officers in the form of initial grants in connection with the commencement of employment and also at various other times during their employment. Accordingly, the Board, upon the recommendation of its compensation committee, periodically reviews the equity incentive compensation of the executive officers and from time to time has granted equity incentive awards to them in the form of ISOs. The details of equity grants made to Humacyte’s named executive officers in 2020 are outlined below in “—Outstanding Equity Awards as of December 31, 2020.”</w:t>
      </w:r>
    </w:p>
    <w:p>
      <w:pPr>
        <w:spacing w:after="0" w:line="154"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The option awards granted to Humacyte’s named executive officers in 2020 vest as follows: (i) one-fifth on the first anniversary of the vesting commencement date, (ii) two-fifths in equal installments over a period of 24 months commencing on the first anniversary of the vesting commencement date, (iii) one-fifth upon the submission of a BLA, and (iv) one-fifth upon FDA approval of</w:t>
      </w:r>
    </w:p>
    <w:p>
      <w:pPr>
        <w:sectPr>
          <w:pgSz w:w="11900" w:h="16838" w:orient="portrait"/>
          <w:cols w:equalWidth="0" w:num="1">
            <w:col w:w="9900"/>
          </w:cols>
          <w:pgMar w:left="980" w:top="125" w:right="101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one of Humacyte’s product candidates. In the event of a corporate transaction, which is defined in Humacyte’s 2015 Omnibus Incentive Plan, as amended (the “2015 Plan”), to include certain change in control transactions, Dr. Niklason’s and Dr. Lawson’s option grants will vest automatically. With respect to Dr. Prichard’s option awards, in the event of a corporate transaction, where the surviving entity assumes or replaces an option award and an involuntary termination (as such term is defined in the 2015 Plan or Humacyte’s 2005 Stock Option Plan, as amended (the “2005 Plan”)), as applicable, each of which is described below) of the executive officer’s employment occurs within the period commencing 30 days prior to the effective date of the corporate transaction and ending 12 months following the effective date of such corporate transaction, the option award will vest in full on the date of such involuntary termination. Vesting rights otherwise cease upon termination of employment and exercise rights cease shortly after termination of employment, except that exercisability is extended in the case of death or disability. Both vesting and exercise rights cease immediately upon a termination of employment for cause, as defined in the 2015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 and Other Arrangements</w:t>
      </w:r>
    </w:p>
    <w:p>
      <w:pPr>
        <w:spacing w:after="0" w:line="18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Humacyte has entered into employment agreements with each of its named executive officers. These agreements generally set forth the terms and conditions of employment, including base salary, bonus opportunities, initial awards of equity incentive compensation and standard employee benefit plan participation. The agreements also contain provisions that provide for certain payments upon termination of employment without cause or resignation for good reason, as such terms are defined in the relevant employment agreement. In the event that any provision of the employment agreements would cause Humacyte’s named executive officers to incur additional tax or interest under Section 409A of the Code, Humacyte has agreed, upon the request of the named executive officer, to use reasonable business efforts to reform in good faith the provision to comply with Section 409A.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Laura E. Niklason</w:t>
      </w:r>
    </w:p>
    <w:p>
      <w:pPr>
        <w:spacing w:after="0" w:line="198" w:lineRule="exact"/>
        <w:rPr>
          <w:sz w:val="20"/>
          <w:szCs w:val="20"/>
          <w:color w:val="auto"/>
        </w:rPr>
      </w:pPr>
    </w:p>
    <w:p>
      <w:pPr>
        <w:ind w:right="120" w:firstLine="324"/>
        <w:spacing w:after="0" w:line="284" w:lineRule="auto"/>
        <w:rPr>
          <w:sz w:val="20"/>
          <w:szCs w:val="20"/>
          <w:color w:val="auto"/>
        </w:rPr>
      </w:pPr>
      <w:r>
        <w:rPr>
          <w:rFonts w:ascii="Arial" w:cs="Arial" w:eastAsia="Arial" w:hAnsi="Arial"/>
          <w:sz w:val="16"/>
          <w:szCs w:val="16"/>
          <w:color w:val="auto"/>
        </w:rPr>
        <w:t>Humacyte entered into an employment agreement with Laura E. Niklason, which became effective as of November 9, 2020, which provides for her at-will employment as Humacyte’s President and Chief Executive Officer. Dr. Niklason’s employment agreement provides for an initial annual base salary of $500,000, which will be reviewed by the Board from time to time but may not be reduced except in connection with a uniform reduction of the salaries of all similarly situated executive officers. The amount of any such reduction in Dr. Niklason’s salary may not exceed 10% of her then-current base salary. Dr. Niklason is also eligible to receive an annual incentive bonus of up to 50% of her then-current base salary. The amount of any bonus will be established annually based on objectives determined by Humacyte and Dr. Niklason, and awarded in the sole discretion of the Board. In general, except in the event that</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Dr. Niklason’s employment is terminated without cause or she resigns for good reason, Dr. Niklason must remain employed on the date any annual incentive bonus is paid in order to receive such bonus.</w:t>
      </w:r>
    </w:p>
    <w:p>
      <w:pPr>
        <w:spacing w:after="0" w:line="14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Under the terms of her employment agreement, Humacyte awarded Dr. Niklason an additional stock option award in January 2021 entitling her to purchase five million shares of Humacyte’s common stock, none of which have vested as of the date of this prospectus. This stock option vests in equal annual installments on each of the first three anniversaries of November 9, 2020, subject to acceleration upon a corporate transaction (as defined in the 2015 Plan). Humacyte has also agreed to reimburse Dr. Niklason for the cost of an apartment and living expenses in Durham, North Carolina near the company’s headquarters in an amount not to exceed $60,000 annually.</w:t>
      </w:r>
    </w:p>
    <w:p>
      <w:pPr>
        <w:spacing w:after="0" w:line="12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the event that Dr. Niklason’s employment is terminated without cause or she resigns for good reason, including Humacyte’s material breach of Dr. Niklason’s employment agreement or an uncured material adverse change in Dr. Niklason’s compensation, as each such term is defined in her employment agreement, Humacyte will be obligated to pay her (i) an amount equal to 12 months of her then-current base salary (payable in substantially equal installments on the same payroll schedule applicable to her immediately prior to the termination of her employment); (ii) a pro rata portion, calculated per diem, of her bonus for the then-current fiscal year (as well as any accrued, earned and unpaid bonus from the preceding fiscal year); and (iii) reimbursement for the cost to Dr. Niklason to continue her and her family’s health insurance under the Consolidated Omnibus Budget Reconciliation Act (“COBRA”) for a period of 12 months. Each of the severance payments described above is subject to Dr. Niklason’s timely execution of a general release of potential claims against Humacyte and her compliance with her non-competition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H. Lawson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19, 2018, Humacyte entered into an employment agreement with Jeffrey H. Lawson, which provides for his at-</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will employment. Dr. Lawson’s employment agreement was subsequently amended, effective November 9, 2020, to reflect his transition to the role of Chief Surgical Officer. Dr. Lawson’s employment agreement provides for an initial annual base salary of $550,000, which will be reviewed by the Board from time to time but may not be reduced except in connection with a uniform reduction of the salaries of all similarly situated executive officers. The amount of any such reduction in Dr. Lawson’s salary may not exceed 10% of his then-current base salary. Dr. Lawson is also eligible to receive an annual incentive bonus of up to 50% of his then-</w:t>
      </w:r>
    </w:p>
    <w:p>
      <w:pPr>
        <w:sectPr>
          <w:pgSz w:w="11900" w:h="16838" w:orient="portrait"/>
          <w:cols w:equalWidth="0" w:num="1">
            <w:col w:w="9900"/>
          </w:cols>
          <w:pgMar w:left="980" w:top="125"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current base salary. The amount of any bonus will be established annually based on objectives determined by Humacyte and Dr. Lawson, and awarded in the sole discretion of the Board. In general, except in the event that Dr. Lawson’s employment is terminated without cause or he resigns for good reason, Dr. Lawson must remain employed on the date any annual incentive bonus is paid in order to receive such bonus.</w:t>
      </w:r>
    </w:p>
    <w:p>
      <w:pPr>
        <w:spacing w:after="0" w:line="16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Under the terms of his employment agreement, Humacyte awarded Dr. Lawson an initial stock option award entitling him to purchase 4.55 million shares of Humacyte’s common stock, which award has vested in full as of the date of this prospectus. The details of this and other historical equity grants made to Dr. Lawson are outlined below in “—Outstanding Equity Awards as of December 31, 2020.”</w:t>
      </w:r>
    </w:p>
    <w:p>
      <w:pPr>
        <w:spacing w:after="0" w:line="1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the event that Dr. Lawson’s employment is terminated without cause or he resigns for good reason, including Humacyte’s material breach of Dr. Lawson’s employment agreement or an uncured material adverse change in Dr. Lawson’s compensation, as each such term is defined in his employment agreement, Humacyte will be obligated to pay him (i) an amount equal to 12 months of his then-</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current base salary (payable in substantially equal installments on the same payroll schedule applicable to him immediately prior to the termination of his employment); (ii) a pro rata portion, calculated per diem, of his bonus for the then-current fiscal year (as well as any accrued, earned and unpaid bonus from the preceding fiscal year); and (iii) reimbursement for the cost to Dr. Lawson to continue his and his family’s health insurance under COBRA, for a period of 12 months. Each of the severance payments described above is subject to Dr. Lawson’s timely execution of a general release of potential claims against Humacyte and his compliance with his non-competition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Douglas L. Blankenship</w:t>
      </w:r>
    </w:p>
    <w:p>
      <w:pPr>
        <w:spacing w:after="0" w:line="19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October 8, 2018, Humacyte entered into an employment agreement with Douglas L. Blankenship, which provided for his at-will employment as Humacyte’s Chief Financial Officer. The Humacyte Board terminated Mr. Blankenship’s employment as of May 14, 2021. Further details regarding the terms and conditions of Mr. Blankenship’s separation from Humacyte are outlined below in “— Severance and Consulting Agreements with Mr. Blankenship.” Mr. Blankenship’s employment agreement provided for an initial annual base salary of $350,000, to be reviewed by Humacyte from time to time. Mr. Blankenship was also eligible for consideration to receive an annual incentive bonus. The amount of any bonus was to be established annually based on objectives determined by Humacyte and Mr. Blankenship, and awarded in the sole discretion of the Board. In general, except in the event that Mr. Blankenship’s employment was terminated without cause or he resigns for good reason, Mr. Blankenship must have remained employed on the date any annual incentive bonus is paid in order to receive such bonus.</w:t>
      </w:r>
    </w:p>
    <w:p>
      <w:pPr>
        <w:spacing w:after="0" w:line="14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Under the terms of his employment agreement, Humacyte awarded Mr. Blankenship an initial stock option award entitling him to purchase one million shares of Humacyte’s common stock. The details of this equity grant to Mr. Blankenship are outlined below in “— Outstanding Equity Awards as of December 31, 2020.”</w:t>
      </w:r>
    </w:p>
    <w:p>
      <w:pPr>
        <w:spacing w:after="0" w:line="143"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Mr. Blankenship’s employment agreement provided that in the event that Mr. Blankenship’s employment was terminated without cause or he resigned for good reason, including Humacyte’s material breach of the employment agreement or an uncured material adverse change in Mr. Blankenship’s compensation, as each such term is defined in his employment agreement, Humacyte would have been obligated to pay him (i) an amount equal to six months of his then-current base salary (payable in substantially equal installments on the same payroll schedule applicable to him immediately prior to the termination of his employment) and (ii) a pro rata portion, calculated per diem, of his bonus for the then-current fiscal year (as well as any accrued, earned and unpaid bonus from the preceding fiscal year). Each of the severance payments described above was subject to Mr. Blankenship’s timely execution of a general release of potential claims against Humacyte and his compliance with his non-competition agreement.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Heather Prichard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September 13, 2019, Humacyte entered into an employment agreement with Heather Prichard, which provides for her at-</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will employment as Humacyte’s Chief Operating Officer. Dr. Prichard’s employment agreement provided for an initial annual base salary of $300,000, to be reviewed by Humacyte from time to time. Dr. Prichard is also eligible for consideration to receive an annual incentive bonus. The amount of any bonus will be established annually based on objectives determined by Humacyte and Dr. Prichard, and awarded in the sole discretion of the Board. In general, except in the event that Dr. Prichard’s employment is terminated without cause or she resigns for good reason, Dr. Prichard must remain employed on the date any annual incentive bonus is paid in order to receive such bonus.</w:t>
      </w:r>
    </w:p>
    <w:p>
      <w:pPr>
        <w:spacing w:after="0" w:line="153"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the event that Dr. Prichard’s employment is terminated without cause or she resigns for good reason, including Humacyte’s material breach of Dr. Prichard’s employment agreement or an uncured material adverse change in Dr. Prichard’s compensation, as each such term is defined in her employment agreement, Humacyte will be obligated to pay her (i) an amount equal to six months of</w:t>
      </w:r>
    </w:p>
    <w:p>
      <w:pPr>
        <w:sectPr>
          <w:pgSz w:w="11900" w:h="16838" w:orient="portrait"/>
          <w:cols w:equalWidth="0" w:num="1">
            <w:col w:w="9920"/>
          </w:cols>
          <w:pgMar w:left="980" w:top="125"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her then-current base salary (payable in substantially equal installments on the same payroll schedule applicable to her immediately prior to the termination of her employment) and (ii) a pro rata portion, calculated per diem, of her bonus for the then-current fiscal year (as well as any accrued, earned and unpaid bonus from the preceding fiscal year). Each of the severance payments described above is subject to Dr. Prichard’s timely execution of a general release of potential claims against Humacyte and her compliance with her non-competition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Consulting Agreements with Mr. Blankenship</w:t>
      </w:r>
    </w:p>
    <w:p>
      <w:pPr>
        <w:spacing w:after="0" w:line="18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In connection with the termination of Douglas Blankenship’s employment with Humacyte as of May 14, 2021, Humacyte entered into a severance agreement and release (the “Severance Agreement”) with Mr. Blankenship, effective May 17, 2021, which provides for the terms and conditions of Mr. Blankenship’s separation from Humacyte. In connection with his termination of employment,</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Blankenship will receive the following severance payments: (i) six months continued base salary payments; (ii) a performance bonus for 2020; and (iii) a pro rata portion of any performance bonus that Humacyte awards for 2021. The Severance Agreement further provides that all unvested stock options granted to Mr. Blankenship under the stock option agreement dated December 18, 2018 (the “2018 Stock Option Agreement”) shall become fully vested and exercisable. Any stock options granted to Mr. Blankenship under the stock option agreement dated December 14, 2020, or any other stock option agreement other than the 2018 Stock Option Agreement, that did not vest on or before the separation date are forfeited. Additionally, Mr. Blankenship received an extension of time to exercise vested options until September 1, 2022.</w:t>
      </w:r>
    </w:p>
    <w:p>
      <w:pPr>
        <w:spacing w:after="0" w:line="1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provided by the terms Severance Agreement, Humacyte and Mr. Blankenship entered into a consulting agreement (the “Consulting Agreement”), pursuant to which Mr. Blankenship will serve as a consultant and independent contractor of Humacyte during the period beginning on June 13, 2021, through December 31, 2021, unless terminated by either Mr. Blankenship or Humacyte pursuant to the terms of the Consulting Agreement.</w:t>
      </w:r>
    </w:p>
    <w:p>
      <w:pPr>
        <w:spacing w:after="0" w:line="160"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foregoing descriptions of the Severance Agreement and the Consulting Agreement are qualified in their entirety by the terms and conditions of such agreements, copies of which are attached as Exhibit 10.13.1 and Exhibit 10.13.2 to the registration statement of which this prospectus forms a part, and the terms of which are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Named Executive Officer Compensation in Connection with the Business Combination</w:t>
      </w:r>
    </w:p>
    <w:p>
      <w:pPr>
        <w:spacing w:after="0" w:line="18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Humacyte has historically granted stock options with exercise prices that are equal to the fair market value of its common stock on the date of grant as determined by the Board. The exercise price of all stock options granted after the closing of the Business Combination will be equal to the fair market value of shares of Humacyte common stock on the date of grant.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New Chief Financial Officer</w:t>
      </w:r>
    </w:p>
    <w:p>
      <w:pPr>
        <w:spacing w:after="0" w:line="19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On May 18, 2021, Dale A. Sander replaced Douglas L. Blankenship as Chief Financial Officer and Treasurer of the Company. Mr. Sander does not appear in the summary compensation table because he was not a named executive officer of the Company prior to May 18,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2020</w:t>
      </w:r>
    </w:p>
    <w:p>
      <w:pPr>
        <w:spacing w:after="0" w:line="189"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following table provides information regarding outstanding stock options held by Humacyte’s named executive officers as of December 31, 2020. All awards in the table below that were granted prior to July 2015 were granted under the 2005 Plan and awards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granted subsequent to such date were granted under the 2015 Plan, each as described in more detail under “—Equity Incentive and Other Compensation Plans”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underlying</w:t>
            </w:r>
          </w:p>
        </w:tc>
        <w:tc>
          <w:tcPr>
            <w:tcW w:w="74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unexercised</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exercise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options (#)</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89"/>
              </w:rPr>
              <w:t>options (#)</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89"/>
              </w:rPr>
              <w:t>price</w:t>
            </w:r>
          </w:p>
        </w:tc>
        <w:tc>
          <w:tcPr>
            <w:tcW w:w="98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5"/>
              </w:rPr>
              <w:t>expiration</w:t>
            </w:r>
          </w:p>
        </w:tc>
        <w:tc>
          <w:tcPr>
            <w:tcW w:w="0" w:type="dxa"/>
            <w:vAlign w:val="bottom"/>
          </w:tcPr>
          <w:p>
            <w:pPr>
              <w:spacing w:after="0"/>
              <w:rPr>
                <w:sz w:val="1"/>
                <w:szCs w:val="1"/>
                <w:color w:val="auto"/>
              </w:rPr>
            </w:pPr>
          </w:p>
        </w:tc>
      </w:tr>
      <w:tr>
        <w:trPr>
          <w:trHeight w:val="176"/>
        </w:trPr>
        <w:tc>
          <w:tcPr>
            <w:tcW w:w="5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6"/>
              </w:rPr>
              <w:t>exercisable</w:t>
            </w:r>
            <w:r>
              <w:rPr>
                <w:rFonts w:ascii="Arial" w:cs="Arial" w:eastAsia="Arial" w:hAnsi="Arial"/>
                <w:sz w:val="20"/>
                <w:szCs w:val="20"/>
                <w:b w:val="1"/>
                <w:bCs w:val="1"/>
                <w:color w:val="auto"/>
                <w:w w:val="86"/>
                <w:vertAlign w:val="superscript"/>
              </w:rPr>
              <w:t>(1)</w:t>
            </w:r>
          </w:p>
        </w:tc>
        <w:tc>
          <w:tcPr>
            <w:tcW w:w="16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unexercisable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209"/>
        </w:trPr>
        <w:tc>
          <w:tcPr>
            <w:tcW w:w="51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Laura E. Niklason</w:t>
            </w:r>
            <w:r>
              <w:rPr>
                <w:rFonts w:ascii="Arial" w:cs="Arial" w:eastAsia="Arial" w:hAnsi="Arial"/>
                <w:sz w:val="24"/>
                <w:szCs w:val="24"/>
                <w:color w:val="auto"/>
                <w:vertAlign w:val="superscript"/>
              </w:rPr>
              <w:t>(2)</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11/22/2013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11/22/2023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09/01/2015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09/01/2025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03/09/2016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03/09/2026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09/14/2016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09/14/2026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04/12/2018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04/12/2028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12/14/2020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12/14/2030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tcPr>
          <w:p>
            <w:pPr>
              <w:spacing w:after="0" w:line="201" w:lineRule="exact"/>
              <w:rPr>
                <w:sz w:val="20"/>
                <w:szCs w:val="20"/>
                <w:color w:val="auto"/>
              </w:rPr>
            </w:pPr>
            <w:r>
              <w:rPr>
                <w:rFonts w:ascii="Arial" w:cs="Arial" w:eastAsia="Arial" w:hAnsi="Arial"/>
                <w:sz w:val="18"/>
                <w:szCs w:val="18"/>
                <w:color w:val="auto"/>
              </w:rPr>
              <w:t>Jeffrey H. Lawson</w:t>
            </w:r>
          </w:p>
        </w:tc>
        <w:tc>
          <w:tcPr>
            <w:tcW w:w="14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8"/>
              </w:rPr>
              <w:t>12/11/2015</w:t>
            </w:r>
          </w:p>
        </w:tc>
        <w:tc>
          <w:tcPr>
            <w:tcW w:w="14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375,000</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0.671</w:t>
            </w:r>
          </w:p>
        </w:tc>
        <w:tc>
          <w:tcPr>
            <w:tcW w:w="16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w w:val="88"/>
              </w:rPr>
              <w:t>12/11/2025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12/15/2016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0.901</w:t>
            </w:r>
          </w:p>
        </w:tc>
        <w:tc>
          <w:tcPr>
            <w:tcW w:w="1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12/15/2026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04/12/2018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04/12/2028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06/28/2018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3,033,333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1,516,667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2.226</w:t>
            </w:r>
          </w:p>
        </w:tc>
        <w:tc>
          <w:tcPr>
            <w:tcW w:w="1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06/28/2028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12/14/2020</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2.699</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12/14/2030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Douglas L. Blankenship</w:t>
            </w:r>
          </w:p>
        </w:tc>
        <w:tc>
          <w:tcPr>
            <w:tcW w:w="980" w:type="dxa"/>
            <w:vAlign w:val="bottom"/>
            <w:gridSpan w:val="2"/>
            <w:shd w:val="clear" w:color="auto" w:fill="CCEEFF"/>
          </w:tcPr>
          <w:p>
            <w:pPr>
              <w:jc w:val="center"/>
              <w:ind w:left="30"/>
              <w:spacing w:after="0" w:line="192" w:lineRule="exact"/>
              <w:rPr>
                <w:sz w:val="20"/>
                <w:szCs w:val="20"/>
                <w:color w:val="auto"/>
              </w:rPr>
            </w:pPr>
            <w:r>
              <w:rPr>
                <w:rFonts w:ascii="Arial" w:cs="Arial" w:eastAsia="Arial" w:hAnsi="Arial"/>
                <w:sz w:val="18"/>
                <w:szCs w:val="18"/>
                <w:color w:val="auto"/>
                <w:w w:val="90"/>
              </w:rPr>
              <w:t>12/18/2018</w:t>
            </w: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line="19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spacing w:after="0" w:line="191" w:lineRule="exact"/>
              <w:rPr>
                <w:sz w:val="20"/>
                <w:szCs w:val="20"/>
                <w:color w:val="auto"/>
              </w:rPr>
            </w:pPr>
            <w:r>
              <w:rPr>
                <w:rFonts w:ascii="Arial" w:cs="Arial" w:eastAsia="Arial" w:hAnsi="Arial"/>
                <w:sz w:val="16"/>
                <w:szCs w:val="16"/>
                <w:color w:val="auto"/>
                <w:w w:val="97"/>
              </w:rPr>
              <w:t>09/01/2022</w:t>
            </w:r>
            <w:r>
              <w:rPr>
                <w:rFonts w:ascii="Arial" w:cs="Arial" w:eastAsia="Arial" w:hAnsi="Arial"/>
                <w:sz w:val="22"/>
                <w:szCs w:val="22"/>
                <w:color w:val="auto"/>
                <w:w w:val="97"/>
                <w:vertAlign w:val="superscript"/>
              </w:rPr>
              <w:t>(3)</w:t>
            </w:r>
          </w:p>
        </w:tc>
        <w:tc>
          <w:tcPr>
            <w:tcW w:w="0" w:type="dxa"/>
            <w:vAlign w:val="bottom"/>
          </w:tcPr>
          <w:p>
            <w:pPr>
              <w:spacing w:after="0"/>
              <w:rPr>
                <w:sz w:val="1"/>
                <w:szCs w:val="1"/>
                <w:color w:val="auto"/>
              </w:rPr>
            </w:pPr>
          </w:p>
        </w:tc>
      </w:tr>
      <w:tr>
        <w:trPr>
          <w:trHeight w:val="240"/>
        </w:trPr>
        <w:tc>
          <w:tcPr>
            <w:tcW w:w="5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12/14/2020</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line="240" w:lineRule="exact"/>
              <w:rPr>
                <w:sz w:val="20"/>
                <w:szCs w:val="20"/>
                <w:color w:val="auto"/>
              </w:rPr>
            </w:pPr>
            <w:r>
              <w:rPr>
                <w:rFonts w:ascii="Arial" w:cs="Arial" w:eastAsia="Arial" w:hAnsi="Arial"/>
                <w:sz w:val="18"/>
                <w:szCs w:val="18"/>
                <w:color w:val="auto"/>
                <w:w w:val="86"/>
              </w:rPr>
              <w:t>08/14/2021</w:t>
            </w:r>
            <w:r>
              <w:rPr>
                <w:rFonts w:ascii="Arial" w:cs="Arial" w:eastAsia="Arial" w:hAnsi="Arial"/>
                <w:sz w:val="26"/>
                <w:szCs w:val="26"/>
                <w:color w:val="auto"/>
                <w:w w:val="86"/>
                <w:vertAlign w:val="superscript"/>
              </w:rPr>
              <w:t>(4)</w:t>
            </w:r>
          </w:p>
        </w:tc>
        <w:tc>
          <w:tcPr>
            <w:tcW w:w="0" w:type="dxa"/>
            <w:vAlign w:val="bottom"/>
          </w:tcPr>
          <w:p>
            <w:pPr>
              <w:spacing w:after="0"/>
              <w:rPr>
                <w:sz w:val="1"/>
                <w:szCs w:val="1"/>
                <w:color w:val="auto"/>
              </w:rPr>
            </w:pPr>
          </w:p>
        </w:tc>
      </w:tr>
      <w:tr>
        <w:trPr>
          <w:trHeight w:val="202"/>
        </w:trPr>
        <w:tc>
          <w:tcPr>
            <w:tcW w:w="5100" w:type="dxa"/>
            <w:vAlign w:val="bottom"/>
          </w:tcPr>
          <w:p>
            <w:pPr>
              <w:spacing w:after="0" w:line="201" w:lineRule="exact"/>
              <w:rPr>
                <w:sz w:val="20"/>
                <w:szCs w:val="20"/>
                <w:color w:val="auto"/>
              </w:rPr>
            </w:pPr>
            <w:r>
              <w:rPr>
                <w:rFonts w:ascii="Arial" w:cs="Arial" w:eastAsia="Arial" w:hAnsi="Arial"/>
                <w:sz w:val="18"/>
                <w:szCs w:val="18"/>
                <w:color w:val="auto"/>
              </w:rPr>
              <w:t>Heather Prichard</w:t>
            </w:r>
          </w:p>
        </w:tc>
        <w:tc>
          <w:tcPr>
            <w:tcW w:w="980" w:type="dxa"/>
            <w:vAlign w:val="bottom"/>
            <w:gridSpan w:val="2"/>
          </w:tcPr>
          <w:p>
            <w:pPr>
              <w:jc w:val="center"/>
              <w:ind w:left="50"/>
              <w:spacing w:after="0" w:line="201" w:lineRule="exact"/>
              <w:rPr>
                <w:sz w:val="20"/>
                <w:szCs w:val="20"/>
                <w:color w:val="auto"/>
              </w:rPr>
            </w:pPr>
            <w:r>
              <w:rPr>
                <w:rFonts w:ascii="Arial" w:cs="Arial" w:eastAsia="Arial" w:hAnsi="Arial"/>
                <w:sz w:val="18"/>
                <w:szCs w:val="18"/>
                <w:color w:val="auto"/>
                <w:w w:val="88"/>
              </w:rPr>
              <w:t>01/21/2011</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10,000</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0.30</w:t>
            </w:r>
          </w:p>
        </w:tc>
        <w:tc>
          <w:tcPr>
            <w:tcW w:w="16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6"/>
                <w:szCs w:val="16"/>
                <w:color w:val="auto"/>
                <w:w w:val="97"/>
              </w:rPr>
              <w:t>01/21/2021</w:t>
            </w:r>
            <w:r>
              <w:rPr>
                <w:rFonts w:ascii="Arial" w:cs="Arial" w:eastAsia="Arial" w:hAnsi="Arial"/>
                <w:sz w:val="23"/>
                <w:szCs w:val="23"/>
                <w:color w:val="auto"/>
                <w:w w:val="97"/>
                <w:vertAlign w:val="superscript"/>
              </w:rPr>
              <w:t>(5)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12/14/2012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12/14/2022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11/22/2013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11/22/2023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12/11/2015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0.671</w:t>
            </w:r>
          </w:p>
        </w:tc>
        <w:tc>
          <w:tcPr>
            <w:tcW w:w="1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12/11/2025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04/12/2018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04/12/2028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12/14/2020</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2.699</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12/14/2030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86" w:lineRule="exact"/>
        <w:rPr>
          <w:sz w:val="20"/>
          <w:szCs w:val="20"/>
          <w:color w:val="auto"/>
        </w:rPr>
      </w:pPr>
    </w:p>
    <w:p>
      <w:pPr>
        <w:ind w:left="340" w:right="60" w:hanging="332"/>
        <w:spacing w:after="0" w:line="304"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All options granted to Humacyte’s named executive officers that are reported in this table vest annually in three equal installments commencing on the first anniversary of the applicable vesting commencement date, except for the options granted on December 14, 2020, which vest as follows:</w:t>
      </w:r>
    </w:p>
    <w:p>
      <w:pPr>
        <w:ind w:left="340" w:right="40"/>
        <w:spacing w:after="0" w:line="295" w:lineRule="auto"/>
        <w:rPr>
          <w:rFonts w:ascii="Arial" w:cs="Arial" w:eastAsia="Arial" w:hAnsi="Arial"/>
          <w:sz w:val="14"/>
          <w:szCs w:val="14"/>
          <w:color w:val="auto"/>
        </w:rPr>
      </w:pPr>
      <w:r>
        <w:rPr>
          <w:rFonts w:ascii="Arial" w:cs="Arial" w:eastAsia="Arial" w:hAnsi="Arial"/>
          <w:sz w:val="15"/>
          <w:szCs w:val="15"/>
          <w:color w:val="auto"/>
        </w:rPr>
        <w:t>(i) one-fifth on the first anniversary of the vesting commencement date, (ii) two-fifths in equal installments over a period of 24 months commencing on the first anniversary of the vesting commencement date, (iii) one-fifth upon the submission of a BLA and (iv) one-fifth upon FDA approval of one of Humacyte’s product candidates. The vesting of the options may be accelerated in connection with certain corporate transactions, which generally include certain change in control transactions and are more fully described in the applicable incentive plan.</w:t>
      </w:r>
    </w:p>
    <w:p>
      <w:pPr>
        <w:spacing w:after="0" w:line="133" w:lineRule="exact"/>
        <w:rPr>
          <w:rFonts w:ascii="Arial" w:cs="Arial" w:eastAsia="Arial" w:hAnsi="Arial"/>
          <w:sz w:val="14"/>
          <w:szCs w:val="14"/>
          <w:color w:val="auto"/>
        </w:rPr>
      </w:pPr>
    </w:p>
    <w:p>
      <w:pPr>
        <w:ind w:left="340" w:right="380" w:hanging="332"/>
        <w:spacing w:after="0" w:line="293"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Table does not reflect the grant of an option to purchase 5,000,000 shares of Humacyte common stock at a purchase price per share of $2.699, which was made to Dr. Niklason in January 2021.</w:t>
      </w:r>
    </w:p>
    <w:p>
      <w:pPr>
        <w:spacing w:after="0" w:line="144" w:lineRule="exact"/>
        <w:rPr>
          <w:rFonts w:ascii="Arial" w:cs="Arial" w:eastAsia="Arial" w:hAnsi="Arial"/>
          <w:sz w:val="16"/>
          <w:szCs w:val="16"/>
          <w:color w:val="auto"/>
        </w:rPr>
      </w:pPr>
    </w:p>
    <w:p>
      <w:pPr>
        <w:jc w:val="both"/>
        <w:ind w:left="340" w:right="80" w:hanging="332"/>
        <w:spacing w:after="0" w:line="278"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connection with Mr. Blankenship’s severance arrangements, the vesting of any unvested options to purchase shares of Humacyte common stock granted to Mr. Blankenship on December 18, 2018 was accelerated. Additionally, Mr. Blankenship received an extension of time to exercise these vested options until September 1, 2022.</w:t>
      </w:r>
    </w:p>
    <w:p>
      <w:pPr>
        <w:spacing w:after="0" w:line="143" w:lineRule="exact"/>
        <w:rPr>
          <w:rFonts w:ascii="Arial" w:cs="Arial" w:eastAsia="Arial" w:hAnsi="Arial"/>
          <w:sz w:val="16"/>
          <w:szCs w:val="16"/>
          <w:color w:val="auto"/>
        </w:rPr>
      </w:pP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Awards that were unvested at the time of Mr. Blankenship’s termination were forfeited.</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Option exercised in January 2021 prior to expiration.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and Other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w:t>
      </w:r>
    </w:p>
    <w:p>
      <w:pPr>
        <w:spacing w:after="0" w:line="18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Humacyte, Inc. Annual Bonus Plan (the “Bonus Plan”) became effective upon the completion of the Business Combination. The Bonus Plan is administered by the compensation committee and will remain in effect until terminated by the Board.</w:t>
      </w:r>
    </w:p>
    <w:p>
      <w:pPr>
        <w:spacing w:after="0" w:line="11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Bonus Plan allows the compensation committee to grant cash incentive awards to eligible employees, including the named executive officers. Awards may, but need not, be subject to performance goals established by the compensation committee in its sole discretion, and such performance goals may be on the basis of any factors the compensation committee determines relevant, and may be on an individual, divisional, business unit, segment or company-wide basis. The performance goals may differ from participant to participant and from award to award. The compensation committee will have sole discretion to determine the extent to which performance goals have been satisfied and the actual award payout based on such performance.</w:t>
      </w:r>
    </w:p>
    <w:p>
      <w:pPr>
        <w:sectPr>
          <w:pgSz w:w="11900" w:h="16838" w:orient="portrait"/>
          <w:cols w:equalWidth="0" w:num="1">
            <w:col w:w="9920"/>
          </w:cols>
          <w:pgMar w:left="980" w:top="125" w:right="99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compensation committee may, in its sole discretion and at any time, increase, reduce or eliminate a participant’s actual award payout. The actual award payout may be below, at or above a participant’s target award, in the compensation committee’s discretion. The compensation committee may determine the amount of any increase, reduction or elimination on the basis of such factors as it deems relevant, and is not required to establish any allocation or weighting with respect to the factors it considers.</w:t>
      </w:r>
    </w:p>
    <w:p>
      <w:pPr>
        <w:spacing w:after="0" w:line="14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Actual award payouts will be made in a cash lump sum as soon as practicable after the end of the particular performance period, but in no event later than March 15 of the calendar year immediately following the calendar year in which the applicable performance period ends. Participants will generally be required to remain continuously employed through the payment date in order to receive their actual award payout, unless otherwise determined by the compensation committee.</w:t>
      </w:r>
    </w:p>
    <w:p>
      <w:pPr>
        <w:spacing w:after="0" w:line="13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Board has the authority to amend, suspend or terminate the Bonus Plan at any time and for any reason, provided that such change may not materially and adversely affect a participant’s rights with respect to any earned bonus that has been paid. The compensation committee and the Board have the authority to amend or terminate any target award granted under the Bonus Plan at any time and for any reason.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Plan</w:t>
      </w:r>
    </w:p>
    <w:p>
      <w:pPr>
        <w:spacing w:after="0" w:line="19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2021 Plan became effective as of the consummation of the Business Combination. Humacyte is authorized to grant equity and cash incentive awards to eligible service providers under the 2021 Plan. The 2021 Plan replaced the 2015 Plan on the date the 2021 Plan became effective, except that any awards previously granted under the 2015 Plan remained in effect pursuant to their original terms (other than with respect to the adjustment required under the Business Combination Agreement to reflect the Business Combination). No additional awards may be granted under the 2015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Humacyte initially reserved a pool of shares of common stock for issuance under the 2021 Plan equal to 7,725,253 shares. Such aggregate number of shares will automatically increase on January 1 of each year commencing on January 1, 2022, in an amount equal to 5% of the total number of shares of Humacyte’s capital stock outstanding on December 31 of the preceding year, unless the Board acts prior to January 1 of a given year to provide that the increase for such year will be a lesser number. Subject to the maximum aggregate number of shares that may be issued pursuant to all awards (the “Share Reserve”), the maximum aggregate number of shares which may be issued pursuant to the exercise of ISOs is 700,000,000 shares (the “ISO Limit”). The purpose of the ISO Limit is to comply with section 422 of the Code so that the 2021 Plan does not reach the ISO Limit before the Share Reserve by reason of shares being added back to the 2021 Plan as described below.</w:t>
      </w:r>
    </w:p>
    <w:p>
      <w:pPr>
        <w:spacing w:after="0" w:line="138" w:lineRule="exact"/>
        <w:rPr>
          <w:sz w:val="20"/>
          <w:szCs w:val="20"/>
          <w:color w:val="auto"/>
        </w:rPr>
      </w:pPr>
    </w:p>
    <w:p>
      <w:pPr>
        <w:jc w:val="both"/>
        <w:ind w:right="560" w:firstLine="324"/>
        <w:spacing w:after="0" w:line="291" w:lineRule="auto"/>
        <w:rPr>
          <w:sz w:val="20"/>
          <w:szCs w:val="20"/>
          <w:color w:val="auto"/>
        </w:rPr>
      </w:pPr>
      <w:r>
        <w:rPr>
          <w:rFonts w:ascii="Arial" w:cs="Arial" w:eastAsia="Arial" w:hAnsi="Arial"/>
          <w:sz w:val="16"/>
          <w:szCs w:val="16"/>
          <w:color w:val="auto"/>
        </w:rPr>
        <w:t>Shares issued under the 2021 Plan will include authorized but unissued or reacquired shares of common stock. Any shares of common stock underlying any awards that are (i) forfeited, cancelled, or reacquired by Humacyte prior to vesting, (ii) that expire,</w:t>
      </w:r>
    </w:p>
    <w:p>
      <w:pPr>
        <w:ind w:firstLine="8"/>
        <w:spacing w:after="0" w:line="251" w:lineRule="auto"/>
        <w:tabs>
          <w:tab w:leader="none" w:pos="3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are paid out in cash rather than shares, (iv) are tendered or withheld in payment of an award exercise or purchase price, (v) are tendered or withheld in satisfaction of tax withholding obligations with respect to an award or (vi) are not issued upon net settlement of a stock appreciation, will be added back to the shares of common stock available for issuance. The shares underlying any award granted under the 2015 Plan that are forfeited, cancelled or reacquired by Humacyte prior to vesting, that expire or that are paid out in cash rather than shares will become available for grant and issuance under the 2021 Plan. Any shares that are added back to the 2021 Plan for any reason may not be issued pursuant to ISOs. Shares underlying any substitute awards that Humacyte grants to employees, directors or consultants of a business that is acquired by Humacyte will not count against the number of shares reserved for issuance under the 2021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8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Board administers the 2021 Plan and is authorized to delegate any or all of its powers under the 2021 Plan to one or more committees. The Board or the committee administering the 2021 Plan is referred to herein as the “administrator.” The Board is permitted to delegate to one or more officers the power to grant awards to its employees and officers, subject to certain limitations.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w:t>
      </w:r>
    </w:p>
    <w:p>
      <w:pPr>
        <w:spacing w:after="0" w:line="19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Under the 2021 Plan, the administrator has the authority to award nonstatutory stock options and ISOs, stock appreciation rights (“SARs”), restricted stock, restricted stock units (“RSUs”), unrestricted stock, performance awards and other forms of awards. All awards will be granted pursuant to an award agreement. Awards other than ISOs can be granted to employees, directors and consultants, but ISOs can only be granted to employees.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administrator has the authority to set the terms of all awards. In particular, the administrator is authorized to determine the service-based or performance-based vesting criteria applicable to awards granted under the 2021 Plan, as set out in the award agreement. The award agreement will also specify any circumstances under which awards may be forfeited.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all awards awarded under the 2021 Plan and all other cash compensation paid by Humacyte to any non-</w:t>
      </w:r>
    </w:p>
    <w:p>
      <w:pPr>
        <w:spacing w:after="0" w:line="2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employee director on the Board in any calendar year for service as a non-employee director shall not exceed $750,000, or $1,000,000 for the calendar year in which the applicable non-employee director is initially elected or appointed to the Board.</w:t>
      </w:r>
    </w:p>
    <w:p>
      <w:pPr>
        <w:spacing w:after="0" w:line="14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i w:val="1"/>
          <w:iCs w:val="1"/>
          <w:color w:val="auto"/>
        </w:rPr>
        <w:t xml:space="preserve">Options and SARs. </w:t>
      </w:r>
      <w:r>
        <w:rPr>
          <w:rFonts w:ascii="Arial" w:cs="Arial" w:eastAsia="Arial" w:hAnsi="Arial"/>
          <w:sz w:val="16"/>
          <w:szCs w:val="16"/>
          <w:color w:val="auto"/>
        </w:rPr>
        <w:t>With respect to options and SARs, the administrator will determine the exercise price applicable thereto within</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and conditions of the plan, provided that the exercise price per share subject to an option or SAR cannot be less than 100% of the fair market value of our common stock on the date of grant (however, an option may be granted with an exercise price lower than 100% of the fair market value on the date of grant of such award if such award is granted as a substitution for an option or SAR in accordance with the provisions and requirements of Section 409A and, if applicable, 424 of the Code). The administrator also has authority to determine the term of stock options and SARs granted under the 2021 Plan, up to a maximum of 10 years. The administrator may, but is not required to, permit a grantee to exercise any part or all of his or her stock options prior to full vesting. Except as otherwise provided in an award agreement, if an optionholder terminates employment or service for any reason other than disability, death or cause, the optionholder may generally exercise any vested options for a period of three months following the cessation of service. If an optionholder’s employment or service relationship ceases due to disability or death, or an optionholder dies within a certain period following cessation of service, the optionholder or a beneficiary may generally exercise any vested options for a period of 12 months. Options generally terminate immediately upon the termination of an optionholder’s employment or service for cause. In no event may an option be exercised beyond the expiration of its term. Payment for shares issued upon the exercise of a stock option may be made either by certified or bank check, or such other means as the administrator may accept. Subject to the approval of the administrator, options may be exercised pursuant to such cashless exercise procedures as may be approved and implemented by the administrator from time to time, including pursuant to broker-assisted exercise transactions and/or net exercise procedures. The 2021 Plan does not permit the repricing of options or SARs without shareholder approval.</w:t>
      </w:r>
    </w:p>
    <w:p>
      <w:pPr>
        <w:spacing w:after="0" w:line="3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shares of our common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ISOs that are exercisable for the first time by an optionholder during any calendar year under all stock plans maintained by Humacyte may not exceed $100,000. Options or portions thereof that exceed such limit will generally be treated as nonstatutory stock options. No ISO may be granted to any person who, at the time of the grant, owns or is deemed to own stock possessing more than 10% of Humacyte’s total combined voting power or that of any of Humacyte’s affiliates unless (1) the option exercise price is at least 110% of the fair market value of the stock subject to the option on the date of grant, and (2) the option is not exercisable after the expiration of five years from the date of grant.</w:t>
      </w:r>
    </w:p>
    <w:p>
      <w:pPr>
        <w:spacing w:after="0" w:line="16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Except as otherwise provided in an award agreement, if a grantee of restricted stock terminates employment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during the applicable restriction period, Humacyte has the right to repurchase all or part of the shares of restricted stock still subject to restriction from the grantee at the issue price or at another stated or formula price (or to require forfeiture if such shares were issued at no cost). Additionally, unless otherwise determined by the administrator, grantees of restricted stock are entitled to receive all dividends and other distributions paid with respect to their shares of restricted stock, subject to such terms and conditions as the administrator may determine.</w:t>
      </w:r>
    </w:p>
    <w:p>
      <w:pPr>
        <w:spacing w:after="0" w:line="15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An RSU may be settled in any form specified by the administrator in the restricted stock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limited to delivery of stock, cash, or a combination of cash and stock as deemed appropriate by the administrator</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administrator may, but need not, provide that grantees of RSUs will be paid or will accrue dividend equivalent payments on each date that dividends are paid with respect to Humacyte common stock prior to the settlement of their RSUs, subject to such terms and conditions as the administrator may determine. The treatment of any dividends or dividend equivalents shall be set forth in the RSU agreement at the time the award is granted.</w:t>
      </w:r>
    </w:p>
    <w:p>
      <w:pPr>
        <w:spacing w:after="0" w:line="152"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2021 Plan permits the grant of performance-based stock and cash awards that may vest or become</w:t>
      </w:r>
      <w:r>
        <w:rPr>
          <w:rFonts w:ascii="Arial" w:cs="Arial" w:eastAsia="Arial" w:hAnsi="Arial"/>
          <w:sz w:val="16"/>
          <w:szCs w:val="16"/>
          <w:i w:val="1"/>
          <w:iCs w:val="1"/>
          <w:color w:val="auto"/>
        </w:rPr>
        <w:t xml:space="preserve"> </w:t>
      </w:r>
      <w:r>
        <w:rPr>
          <w:rFonts w:ascii="Arial" w:cs="Arial" w:eastAsia="Arial" w:hAnsi="Arial"/>
          <w:sz w:val="16"/>
          <w:szCs w:val="16"/>
          <w:color w:val="auto"/>
        </w:rPr>
        <w:t>earned and paid contingent upon the attainment of performance goals during a designated performance period, as determined by the administrator and set forth in the applicable award agreement. Performance goals may be based on a company-wide basis, with respect to one or more business units, divisions, subsidiaries, or business segments, and in either absolute terms or relative to the performance of one or more comparable companies or the performance of one or more relevant indices, and may be based on financial performance, achievement of strategic objectives, or any other organizational goals, all as determined by the administrator. Unless specified otherwise</w:t>
      </w:r>
    </w:p>
    <w:p>
      <w:pPr>
        <w:spacing w:after="0" w:line="4" w:lineRule="exact"/>
        <w:rPr>
          <w:sz w:val="20"/>
          <w:szCs w:val="20"/>
          <w:color w:val="auto"/>
        </w:rPr>
      </w:pPr>
    </w:p>
    <w:p>
      <w:pPr>
        <w:ind w:right="160" w:firstLine="8"/>
        <w:spacing w:after="0" w:line="255" w:lineRule="auto"/>
        <w:tabs>
          <w:tab w:leader="none" w:pos="2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award agreement at the time the award is granted or (ii) in such other document setting forth the performance goals at the time the goals are established, the Board will appropriately make adjustments in the method of calculating the attainment of performance goals for a designated performance period as follows: (1) to exclude restructuring and/or other</w:t>
      </w:r>
    </w:p>
    <w:p>
      <w:pPr>
        <w:sectPr>
          <w:pgSz w:w="11900" w:h="16838" w:orient="portrait"/>
          <w:cols w:equalWidth="0" w:num="1">
            <w:col w:w="9920"/>
          </w:cols>
          <w:pgMar w:left="980" w:top="125"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Humacyte achieved performance objectives at targeted levels during the balance of a performance period following such divestiture; (8) to exclude the effect of any change in the outstanding shares of common stock of Humacyte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Humacyte’s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pacing w:after="0" w:line="15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i w:val="1"/>
          <w:iCs w:val="1"/>
          <w:color w:val="auto"/>
        </w:rPr>
        <w:t>Other Awards</w:t>
      </w:r>
      <w:r>
        <w:rPr>
          <w:rFonts w:ascii="Arial" w:cs="Arial" w:eastAsia="Arial" w:hAnsi="Arial"/>
          <w:sz w:val="16"/>
          <w:szCs w:val="16"/>
          <w:color w:val="auto"/>
        </w:rPr>
        <w:t>. The Board may issue other forms of awards, which may, but are not required to be, valued in whole or in part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to, or otherwise based on, Humacyte common stock, including the appreciation in value thereof (e.g., options or stock rights with an exercise price or strike price less than 100% of the fair market value at the time of grant) may also be granted. The Board will have sole and complete discretion to determine the persons to whom and the time or times at which such other awards will be granted, the number of shares of Humacyte (or the cash equivalent thereof) to be granted and all other terms and conditions of such other awards.</w:t>
      </w:r>
    </w:p>
    <w:p>
      <w:pPr>
        <w:spacing w:after="0" w:line="1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Under the 2021 Plan, awards generally are not transferable other than by will or the laws of descent and distribution, unless otherwise provided by the administrator. A grantee must satisfy all applicable federal, state, and local or other income and employment tax withholding obligations before Humacyte will deliver stock certificates (or other consideration payable pursuant to the award) or otherwise recognize ownership of shares under an award.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 and Recapitalizations</w:t>
      </w:r>
    </w:p>
    <w:p>
      <w:pPr>
        <w:spacing w:after="0" w:line="19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the event of a corporate transaction (as defined in the 2021 Plan), each outstanding award will be treated as the administrator determines. The administrator has the right to (1) accelerate the vesting of any or all outstanding stock options and SARs, in whole or in part; (2) make non-forfeitable any or all outstanding restricted stock or RSUs, in whole or in part; or (3) cancel or redeem awards in exchange for cash or another form of consideration, including substitute awards in respect of the capital stock of a successor corporation, all subject to any limitations imposed by applicable law and provided that, if the fair market value of common stock on the date of the corporate transaction does not exceed the exercise price of any option or SAR, the administrator may cancel that option or SAR without any payment of consideration. The administrator is not obligated to treat all stock awards or portions of stock awards in the same manner and is not obligated to take the same actions with respect to all participants.</w:t>
      </w:r>
    </w:p>
    <w:p>
      <w:pPr>
        <w:spacing w:after="0" w:line="13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the event a successor or acquiring corporation (if any) refuses to assume, convert, replace or substitute awards pursuant to a corporate transaction, such awards shall have their vesting accelerate as to all shares subject to such awards (and any applicable right of repurchase fully lapse) immediately prior to the corporate transaction. In addition, in the event a successor or acquiring corporation (if any) refuses to assume, convert, replace or substitute awards pursuant to a corporate transaction, the administrator will notify the grantee that such award will be exercisable for a period of time determined by the committee in its sole discretion, and such award will terminate upon the expiration of such period. Except as otherwise provided in an award agreement, in the event a successor or acquiring corporation (if any) assumes or replaces an option pursuant to a corporate transaction, and there is an involuntary termination (as defined in the award agreement) of the optionholder’s employment within the 30 days prior to the effective date of the corporate transaction or 12 months following such effective date, such option will vest in full.</w:t>
      </w:r>
    </w:p>
    <w:p>
      <w:pPr>
        <w:spacing w:after="0" w:line="14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Separately, in the event of a stock split or other change in the capital structure of Humacyte without the company’s receipt of consideration, the 2021 Plan provides for appropriate adjustments, as applicable, to the maximum number and class of shares reserved for issuance under the 2021 Plan, the ISO limit, and the class and number of shares and exercise price or purchase price of outstanding awards under the 2021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Amendment or Termination</w:t>
      </w:r>
    </w:p>
    <w:p>
      <w:pPr>
        <w:spacing w:after="0" w:line="198"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Board has the authority to amend, suspend, or terminate the 2021 Plan, although certain material amendments require the approval of the company’s stockholders, and amendments that would adversely affect the rights of any participant require the consent</w:t>
      </w:r>
    </w:p>
    <w:p>
      <w:pPr>
        <w:sectPr>
          <w:pgSz w:w="11900" w:h="16838" w:orient="portrait"/>
          <w:cols w:equalWidth="0" w:num="1">
            <w:col w:w="9920"/>
          </w:cols>
          <w:pgMar w:left="980" w:top="125"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of that participant. In no event will any amendment increase the maximum number of shares of common stock with respect to which awards may be granted under the 2021 Plan without stockholder approval. No awards are permitted to be granted after August 1, 2031, and the 2021 Plan does not permit any awards to be granted while it is suspended or after it is terminated.</w:t>
      </w:r>
    </w:p>
    <w:p>
      <w:pPr>
        <w:spacing w:after="0" w:line="13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administrator has the authority to amend, modify or terminate any outstanding award, but the grantee will be required to consent to such action unless the amendment, modification or termination would not materially and adversely affect the grantee’s rights under the 2021 Plan, the change is permitted in connection with specified corporate transactions or capitalization adjustments, or the change is required or advisable for Humacyte, the 2021 Plan or the award to satisfy applicable law or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18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ESPP became effective as of the consummation of the Business Combination. Under the ESPP, Humacyte is authorized to offer eligible employees the ability to purchase shares of Humacyte stock at a discount, subject to various limitations.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8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Subject to the terms and conditions of the ESPP, the ESPP administrator will have discretionary authority to administer and interpret the ESPP and to determine the terms and conditions of the offerings of common stock to be made under the ESPP. Subject to applicable laws and regulations, the ESPP administrator is authorized to delegate administrative tasks under the ESPP to an officer of Humacyte or other individual or group. Interpretations and constructions of the ESPP administrator of any provision of the ESPP or of any rights thereunder will be conclusive and binding on all persons. No member of the Board or individual exercising administrative authority with respect to the ESPP will be liable for any action or determination made in good faith with respect to the ESPP.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Reserve</w:t>
      </w:r>
    </w:p>
    <w:p>
      <w:pPr>
        <w:spacing w:after="0" w:line="18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initial maximum number of shares of Humacyte common stock authorized for sale under the ESPP is equal to 1,030,033 shares. Such aggregate number of shares may, subject to the approval of the Board, increase on January 1 of each year beginning January 1, 2022, but not after the 10 year anniversary of the effective date of the ESPP, in an amount equal to 1% of the total number of shares of Humacyte’s capital stock outstanding on December 31 of the preceding year, unless the Board acts prior to January 1 of a given year to provide that the increase for such year will be a lesser number. In no event will the maximum aggregate number of shares available for issuance under the ESPP exceed 13,000,000 shares.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8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Employees eligible to participate in the ESPP for a given offering generally include employees who are employed by Humacyte or one of its designated subsidiaries on the first day of the offering, subject to any other eligibility requirements that the ESPP administrator may choose to impose (within the limits permitted by the Code).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Participation</w:t>
      </w:r>
    </w:p>
    <w:p>
      <w:pPr>
        <w:spacing w:after="0" w:line="19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Employees will enroll under the ESPP by completing an enrollment form permitting the deduction from their compensation of a whole percentage of their compensation during an offering, subject to a minimum of 1% and a maximum of 15%, or, to the extent permitted by the ESPP administrator for an offering, an employee may authorize a payroll deduction expressed as a flat dollar amount, subject to such terms, conditions and limits as may be established by the ESPP administrator for such offering. Accumulated deductions will be credited to a notional account and applied to the purchase of shares on the exercise date of the offering.</w:t>
      </w:r>
    </w:p>
    <w:p>
      <w:pPr>
        <w:spacing w:after="0" w:line="12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However, an employee will not be permitted to participate in an offering if, immediately after the option to purchase stock in the offering were granted, the employee would own (or be deemed to own through attribution) 5% or more of the total combined voting power or value of all classes of stock of Humacyte, or of a subsidiary or parent company of Humacyte. In addition, a participant may not purchase more than 5,000 shares in each offering or any lesser maximum number determined by the ESPP administrator. A participant may not be granted an option that permits the participant’s rights to purchase shares of Humacyte common stock to accrue at a rate exceeding $25,000 in fair market value of such stock (determined at the time the option is granted) under the ESPP or any other employee stock purchase plan of Humacyte and its parent and subsidiary companies during any calendar year.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w:t>
      </w:r>
    </w:p>
    <w:p>
      <w:pPr>
        <w:spacing w:after="0" w:line="19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Under the ESPP, participants are offered the option to purchase shares of Humacyte common stock at a discount during offerings, the duration and timing of which will be determined by the ESPP administrator. However, in no event may an offering be longer than 27 months in length.</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option price for an offering will generally be the lower of 85% of the closing trading price per share of Humacyte common stock on the first day of the offering or 85% of the closing trading price per share on the exercise date, which will occur on the last day of each offering.</w:t>
      </w:r>
    </w:p>
    <w:p>
      <w:pPr>
        <w:spacing w:after="0" w:line="14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Unless a participant has withdrawn from participation in the ESPP before the exercise date of the applicable offering, the participant will be deemed to have exercised the participant’s option in full as of such exercise date. Upon exercise, the participant will purchase the number of whole shares that the participant’s accumulated payroll deductions will buy at the option price, subject to the participation limitations listed above.</w:t>
      </w:r>
    </w:p>
    <w:p>
      <w:pPr>
        <w:spacing w:after="0" w:line="16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 participant may cancel his or her payroll deduction authorization and withdraw from the offering at any time prior to the end of the offering. Upon withdrawal, the participant will receive a refund of the participant’s notional account balance in cash without interest. If a participant withdraws from an offering, the participant may not later re-enroll in the same offering, but the participant may (if eligible) enroll in any later offering under the ESPP. If a participant wants to increase or decrease the rate of payroll withholding, the participant may do so effective for the next offering by submitting a new enrollment form before the offering for which such change is to be effective.</w:t>
      </w:r>
    </w:p>
    <w:p>
      <w:pPr>
        <w:spacing w:after="0" w:line="1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participant may not transfer any rights under the ESPP other than by will or the laws of descent and distribution. During a participant’s lifetime, options in the ESPP shall be exercisable only by such participant. The ESPP is unfunded, and all funds received by Humacyte under the ESPP may be combined with other corporate funds and used for any corporate purpose, unless otherwise required by applicable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w:t>
      </w:r>
    </w:p>
    <w:p>
      <w:pPr>
        <w:spacing w:after="0" w:line="18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In the event of any stock split, reverse stock split, stock dividend, recapitalization, combination or exchange of shares, reclassification of shares, spin-off, or other similar change in capitalization or event, or any dividend or distribution to holders of Humacyte common stock other than an ordinary cash dividend, we will proportionately adjust the number and class of shares approved under the ESPP, the option price for an offering, and the maximum number of shares which a participant may elect to purchase in any single offering. In connection with a reorganization event (as defined in the ESPP), the ESPP administrator may take any of the following actions, or do any combination thereof: (i) determine that each outstanding option will be assumed or an equivalent option substituted by the acquiring or successor corporation (or an affiliate thereof); (ii) upon written notice to participants, provide that all outstanding options will become exercisable to the extent of accumulated payroll deductions as of a specified date that is more than 10 days before the effective date of the applicable reorganization event; (iii) upon written notice to participants, provide that all outstanding options will be cancelled and accumulated payroll deductions will be returned to participants; (iv) if the applicable transaction provides for cash payments to the holders of Humacyte common stock, provide for cash payments to participants in amounts based on the per-share amount of such cash payments to the shareholders; or (v) if Humacyte is liquidated or dissolved, provide that options to purchase stock under the ESPP will convert into the right to receive the liquidation proceeds (net of the option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8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ESPP administrator may amend, suspend or terminate the ESPP at any time. However, if the terms of the ESPP are amended to increase the number of shares approved for the ESPP or in a manner that would require stockholder approval under the rules of Nasdaq, other relevant listing authority or to qualify as an “employee stock purchase plan” under Section 423(b) of the Code, the ESPP administrator may not amend the ESPP without obtaining shareholder approval within 12 months before or after the date such amendment is adopted.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Omnibus Incentive Plan</w:t>
      </w:r>
    </w:p>
    <w:p>
      <w:pPr>
        <w:spacing w:after="0" w:line="19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Humacyte’s 2015 Plan was adopted by the Board and approved by its stockholders on July 10, 2015 and July 29, 2015, and amended on February 23, 2018 and June 6, 2018. The 2015 Plan replaced and terminated the 2005 Plan on the date the 2015 Plan was approved by Humacyte’s stockholders, except that any awards previously granted under the 2005 Plan remained in effect pursuant to their terms. The 2015 Plan allowed the Humacyte Board to make equity incentive awards to Humacyte’s employees, directors,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consultants. Humacyte has not granted and will not grant any additional awards under the 2015 Plan, as of the effective date of the 2021 Plan. Any awards previously granted under the 2015 Plan and outstanding as of the effective date of the Business Combination were adjusted to reflect the Business Combination as set forth in the Business Combination Agreement, but otherwise remain in effect pursuant to their original terms.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8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maximum aggregate number of shares of Humacyte common stock that could be issued under the 2015 Plan was 27 million shares, and the maximum aggregate number of shares which could be issued thereunder pursuant to ISOs was 27 million shares.</w:t>
      </w:r>
    </w:p>
    <w:p>
      <w:pPr>
        <w:spacing w:after="0" w:line="83"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Shares issued under the 2015 Plan included authorized but unissued or reacquired shares of Humacyte common stock. The shares of common stock underlying any awards that were forfeited, cancelled, held back upon exercise or settlement of an award to satisfy the exercise or purchase price or tax withholding, reacquired by Humacyte prior to vesting, or that expired were added back to the shares of common stock available for issuance under the 2015 Plan. Shares underlying any award issued under the 2005 Plan that remained outstanding after the termination of the 2005 Plan could be returned to the 2015 Plan.</w:t>
      </w:r>
    </w:p>
    <w:p>
      <w:pPr>
        <w:spacing w:after="0" w:line="14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Subject to certain adjustments, the following limits applied to awards granted to any individual in the same fiscal year: (i) in the case of awards that were settled in shares, the maximum aggregate number of shares with respect to which awards may be granted (other than stock options or SARs) was three million, (ii) the maximum aggregate number of shares subject to options was five million, (iii) the maximum aggregate number of shares subject to SARs was three million, (iv) in the case of awards that were settled in cash based on the fair market value of Humacyte common stock, the maximum aggregate amount of cash that could be paid was equal to the per share fair market value of the relevant vesting, payment or settlement date, multiplied by the number of shares described in the preceding clause, and (v) in the case of all awards other than those described in (iv), the maximum aggregate amount of cash and other property (valued at its fair market value) other than shares that could be paid or delivered was $5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85" w:lineRule="exact"/>
        <w:rPr>
          <w:sz w:val="20"/>
          <w:szCs w:val="20"/>
          <w:color w:val="auto"/>
        </w:rPr>
      </w:pPr>
    </w:p>
    <w:p>
      <w:pPr>
        <w:jc w:val="both"/>
        <w:ind w:right="40" w:firstLine="324"/>
        <w:spacing w:after="0" w:line="301" w:lineRule="auto"/>
        <w:rPr>
          <w:sz w:val="20"/>
          <w:szCs w:val="20"/>
          <w:color w:val="auto"/>
        </w:rPr>
      </w:pPr>
      <w:r>
        <w:rPr>
          <w:rFonts w:ascii="Arial" w:cs="Arial" w:eastAsia="Arial" w:hAnsi="Arial"/>
          <w:sz w:val="16"/>
          <w:szCs w:val="16"/>
          <w:color w:val="auto"/>
        </w:rPr>
        <w:t>The Board administers the 2015 Plan and may delegate any or all of its powers under the plan to one or more of its committees. The Humacyte Board or committee administering the plan is referred to as the administrator. The Humacyte Board could also delegate to one or more of Humacyte’s officers the power to grant awards to its employees, directors and officers, subject to certain limitations. Subject to the terms of the 2015 Plan, the Humacyte Board had the authority to set the terms of all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w:t>
      </w:r>
    </w:p>
    <w:p>
      <w:pPr>
        <w:spacing w:after="0" w:line="198"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The administrator could grant awards under the 2015 Plan of nonstatutory and ISOs, SARs, restricted stock, RSUs, unrestricted stock awards and cash incentive awards. All awards were granted pursuant to an award agreement. Awards other than ISOs could be granted to employees, directors and consultants. ISOs could only be granted to employees.</w:t>
      </w:r>
    </w:p>
    <w:p>
      <w:pPr>
        <w:spacing w:after="0" w:line="1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administrator determined the exercise price for a stock option or SAR within the terms and conditions of the 2015 Plan, provided that the exercise price per share subject to an option or SAR could not be less than 100% of the fair market value of Humacyte common stock on the date of grant. Options and SARs granted under the 2015 Plan become exercisable at the rate specified by the administrator in the award agreement. The award agreement specifies circumstances under which awards may be forfeited. The administrator determined the term of stock options and SARs granted under the 2015 Plan, up to a maximum of 10 years. An award agreement could permit a grantee to exercise any part or all of his or her stock options or SARs prior to full vesting. Any unvested shares received pursuant to such an exercise may be subject to a repurchase right in favor of Humacyte or to any other restriction the administrator determines to be appropriate.</w:t>
      </w:r>
    </w:p>
    <w:p>
      <w:pPr>
        <w:spacing w:after="0" w:line="15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Any shares of Humacyte’s common stock awarded under any restricted stock award agreement may be subject to forfeiture to Humacyte in accordance with a vesting schedule determined by the administrator and award agreements for restricted stock and RSUs will be subject to restrictions imposed by the administrator, as it deems appropriate. Generally, if a grantee of restricted stock terminates employment or service during the applicable restriction period, Humacyte has the right to repurchase all or part of the shares of restricted stock still subject to restriction from the grantee at the issue price or at another stated or formula price.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18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2015 Plan provided that in the event of specified corporate transactions (which consist of certain change in control transactions), each outstanding award would be treated as the administrator determines. The administrator could (1) accelerate the vesting of any or all outstanding stock options and SARs, in whole or in part; (2) make non-forfeitable any or all outstanding restricted</w:t>
      </w:r>
    </w:p>
    <w:p>
      <w:pPr>
        <w:sectPr>
          <w:pgSz w:w="11900" w:h="16838" w:orient="portrait"/>
          <w:cols w:equalWidth="0" w:num="1">
            <w:col w:w="9900"/>
          </w:cols>
          <w:pgMar w:left="980" w:top="125" w:right="101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stock or RSUs, in whole or in part; or (3) cancel or redeem awards in exchange for cash or another form of consideration, including substitute awards in respect of the capital stock of a successor corporation.</w:t>
      </w:r>
    </w:p>
    <w:p>
      <w:pPr>
        <w:spacing w:after="0" w:line="14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Humacyte’s stock option agreements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w:t>
      </w:r>
    </w:p>
    <w:p>
      <w:pPr>
        <w:spacing w:after="0" w:line="14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Additionally, the number and class of securities available under the 2015 Plan was, and the exercise price per share of each stock option or SAR and the repurchase price per share for each restricted stock award or RSU award are, subject to adjustment in the event of any stock split, reverse stock split, stock dividend, recapitalization, combination or exchange of shares, reclassification of shares, spin-off or other similar change in capitalization.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 Stock Plan</w:t>
      </w:r>
    </w:p>
    <w:p>
      <w:pPr>
        <w:spacing w:after="0" w:line="198"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Humacyte’s 2005 Plan was adopted by the Board and approved by its stockholders in June 2005. The 2005 Plan generally allowed the Humacyte Board to make equity-based incentive awards to Humacyte’s employees, officers, directors, and consultants. The maximum aggregate number of shares of Humacyte common stock that could be issued under the 2005 Plan was 8,372,064 shares. The 2015 Plan replaced the 2005 Plan on the date the 2015 Plan was approved by Humacyte’s stockholders, except that any awards previously granted under the 2005 Plan remained in effect pursuant to their terms.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8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2005 Plan is administered by the Board. The Board could also delegate to one or more of Humacyte’s officers the power to grant awards to other employees and officers. Subject to the terms of the 2005 Plan, the Board had the authority to fix the terms of all awards.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w:t>
      </w:r>
    </w:p>
    <w:p>
      <w:pPr>
        <w:spacing w:after="0" w:line="19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Under the 2005 Plan, Humacyte could grant awards of nonstatutory and ISOs, performance shares, restricted stock, SARs, dividend equivalent awards, and other stock-based awards to employees, directors, officers and consultants. ISOs could only be granted to employees. All awards were granted pursuant to an award agreement.</w:t>
      </w:r>
    </w:p>
    <w:p>
      <w:pPr>
        <w:spacing w:after="0" w:line="143"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Board determined the exercise price for a stock option, within the terms and conditions of the 2005 Plan, provided that the exercise price of an ISO could not be less than the fair market value of Humacyte’s common stock on the date of grant.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19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2005 Plan provided that, subject to certain accounting considerations, in the event of a change in control (as defined in the 2005 Plan), the Board could, in its sole discretion at any time upon the occurrence of a change in control, determine that all or a portion of a participant’s outstanding options would become fully exercisable, and all or a portion of the restrictions on outstanding awards would lapse. Upon the occurrence of any transaction or event not constituting a change in control but which the Board deemed to be, or to be reasonably likely to lead to, an effective change in control, the Board could, in its sole discretion, declare all outstanding options to be fully exercisable and all restrictions on all outstanding awards to have lapsed as of such date as it might, in its sole discretion, declare, which could have been on or before the consummation of the transaction or event. The Board could also, in its sole discretion at any time, determine that all or a portion of a grantee’s options would become fully or partially exercisable and that all or a part of the restrictions on all or portion of the outstanding awards would lapse as of the date that the Board might, in its sole discretion, declare.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Plans</w:t>
      </w:r>
    </w:p>
    <w:p>
      <w:pPr>
        <w:spacing w:after="0" w:line="185" w:lineRule="exact"/>
        <w:rPr>
          <w:sz w:val="20"/>
          <w:szCs w:val="20"/>
          <w:color w:val="auto"/>
        </w:rPr>
      </w:pPr>
    </w:p>
    <w:p>
      <w:pPr>
        <w:ind w:right="320" w:firstLine="324"/>
        <w:spacing w:after="0" w:line="291" w:lineRule="auto"/>
        <w:rPr>
          <w:sz w:val="20"/>
          <w:szCs w:val="20"/>
          <w:color w:val="auto"/>
        </w:rPr>
      </w:pPr>
      <w:r>
        <w:rPr>
          <w:rFonts w:ascii="Arial" w:cs="Arial" w:eastAsia="Arial" w:hAnsi="Arial"/>
          <w:sz w:val="16"/>
          <w:szCs w:val="16"/>
          <w:color w:val="auto"/>
        </w:rPr>
        <w:t>Humacyte maintains two 401(k) retirement savings plans (“the 401(k) Plans”), for its employees, including the named executive officers, who satisfy certain eligibility requirements. The 401(k) Plans are intended to qualify as tax-qualified plans under</w:t>
      </w:r>
    </w:p>
    <w:p>
      <w:pPr>
        <w:ind w:right="60"/>
        <w:spacing w:after="0" w:line="253" w:lineRule="auto"/>
        <w:rPr>
          <w:sz w:val="20"/>
          <w:szCs w:val="20"/>
          <w:color w:val="auto"/>
        </w:rPr>
      </w:pPr>
      <w:r>
        <w:rPr>
          <w:rFonts w:ascii="Arial" w:cs="Arial" w:eastAsia="Arial" w:hAnsi="Arial"/>
          <w:sz w:val="18"/>
          <w:szCs w:val="18"/>
          <w:color w:val="auto"/>
        </w:rPr>
        <w:t>Section 401(k) of the Code. The named executive officers are eligible to participate in the 401(k) Plans on the same basis as Humacyte’s other employees. The Code allows eligible employees to contribute, on a pre-tax basis, a portion of their salary, within prescribed limits, through contributions to the 401(k) Plans. Contributions are allocated to each participant’s individual account and are then invested in selected investment alternatives according to the participants’ directions. Humacyte matches employee contributions up to 4% of each employee’s compensation.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following table sets forth information regarding compensation paid to Humacyte’s non-employee directors during 2020, which included an annual cash retainer for director service. As the chairperson of Humacyte’s audit committee in 2020, Mr. Sander received an additional cash retainer of $4,290. Compensation paid to Dr. Niklason in connection with her service on the Board is outlined above in “—Summary Compensation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Fees Earned</w:t>
            </w: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Option</w:t>
            </w: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or Paid</w:t>
            </w: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in Cash</w:t>
            </w:r>
          </w:p>
        </w:tc>
        <w:tc>
          <w:tcPr>
            <w:tcW w:w="100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Awards</w:t>
            </w:r>
          </w:p>
        </w:tc>
        <w:tc>
          <w:tcPr>
            <w:tcW w:w="10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80" w:type="dxa"/>
            <w:vAlign w:val="bottom"/>
            <w:gridSpan w:val="2"/>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ind w:left="200"/>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(1)(2)</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60" w:type="dxa"/>
            <w:vAlign w:val="bottom"/>
          </w:tcPr>
          <w:p>
            <w:pPr>
              <w:jc w:val="right"/>
              <w:ind w:right="2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Brady W. Dougan</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7"/>
              </w:rPr>
              <w:t>50,000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351"/>
        </w:trPr>
        <w:tc>
          <w:tcPr>
            <w:tcW w:w="5980" w:type="dxa"/>
            <w:vAlign w:val="bottom"/>
            <w:gridSpan w:val="2"/>
          </w:tcPr>
          <w:p>
            <w:pPr>
              <w:spacing w:after="0"/>
              <w:rPr>
                <w:sz w:val="20"/>
                <w:szCs w:val="20"/>
                <w:color w:val="auto"/>
              </w:rPr>
            </w:pPr>
            <w:r>
              <w:rPr>
                <w:rFonts w:ascii="Arial" w:cs="Arial" w:eastAsia="Arial" w:hAnsi="Arial"/>
                <w:sz w:val="18"/>
                <w:szCs w:val="18"/>
                <w:color w:val="auto"/>
              </w:rPr>
              <w:t>Dale A. Sander</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w w:val="83"/>
              </w:rPr>
              <w:t>54,290</w:t>
            </w:r>
            <w:r>
              <w:rPr>
                <w:rFonts w:ascii="Arial" w:cs="Arial" w:eastAsia="Arial" w:hAnsi="Arial"/>
                <w:sz w:val="26"/>
                <w:szCs w:val="26"/>
                <w:color w:val="auto"/>
                <w:w w:val="83"/>
                <w:vertAlign w:val="superscript"/>
              </w:rPr>
              <w:t>(3)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26,990</w:t>
            </w:r>
            <w:r>
              <w:rPr>
                <w:rFonts w:ascii="Arial" w:cs="Arial" w:eastAsia="Arial" w:hAnsi="Arial"/>
                <w:sz w:val="26"/>
                <w:szCs w:val="26"/>
                <w:color w:val="auto"/>
                <w:vertAlign w:val="superscript"/>
              </w:rPr>
              <w:t>(4)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43,333</w:t>
            </w:r>
            <w:r>
              <w:rPr>
                <w:rFonts w:ascii="Arial" w:cs="Arial" w:eastAsia="Arial" w:hAnsi="Arial"/>
                <w:sz w:val="26"/>
                <w:szCs w:val="26"/>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8"/>
                <w:szCs w:val="18"/>
                <w:color w:val="auto"/>
              </w:rPr>
              <w:t>124,613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Sebelius</w:t>
            </w: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7"/>
              </w:rPr>
              <w:t>50,000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Max Wallace</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50,000</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8" w:lineRule="exact"/>
        <w:rPr>
          <w:sz w:val="20"/>
          <w:szCs w:val="20"/>
          <w:color w:val="auto"/>
        </w:rPr>
      </w:pPr>
    </w:p>
    <w:p>
      <w:pPr>
        <w:ind w:left="340" w:right="140" w:hanging="332"/>
        <w:spacing w:after="0" w:line="293" w:lineRule="auto"/>
        <w:tabs>
          <w:tab w:leader="none" w:pos="3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amount reported here does not reflect the actual economic value that may be realized by the director. In accordance with SEC rules, this amount represents the grant date fair value of the option award, calculated in accordance with Accounting Standards Update 2018-07, “Compensation — Stock Compensation (Topic 718).” For additional information regarding the assumptions used in calculating the grant date fair value of the stock options reported in this table, see “Management’s Discussion and Analysis of Financial Condition and Results of Operations— Critical Accounting Policies and Significant Judgments and Estimates—Stock-Based Compensation.”</w:t>
      </w:r>
    </w:p>
    <w:p>
      <w:pPr>
        <w:spacing w:after="0" w:line="148" w:lineRule="exact"/>
        <w:rPr>
          <w:rFonts w:ascii="Arial" w:cs="Arial" w:eastAsia="Arial" w:hAnsi="Arial"/>
          <w:sz w:val="15"/>
          <w:szCs w:val="15"/>
          <w:color w:val="auto"/>
        </w:rPr>
      </w:pPr>
    </w:p>
    <w:p>
      <w:pPr>
        <w:ind w:left="340" w:hanging="332"/>
        <w:spacing w:after="0"/>
        <w:tabs>
          <w:tab w:leader="none" w:pos="3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As of December 31, 2020, the following non-qualified stock option awards held by Humacyte’s directors were outstanding: (i) options held</w:t>
      </w:r>
    </w:p>
    <w:p>
      <w:pPr>
        <w:spacing w:after="0" w:line="33" w:lineRule="exact"/>
        <w:rPr>
          <w:rFonts w:ascii="Arial" w:cs="Arial" w:eastAsia="Arial" w:hAnsi="Arial"/>
          <w:sz w:val="15"/>
          <w:szCs w:val="15"/>
          <w:color w:val="auto"/>
        </w:rPr>
      </w:pPr>
    </w:p>
    <w:p>
      <w:pPr>
        <w:ind w:left="340" w:right="60"/>
        <w:spacing w:after="0" w:line="363" w:lineRule="auto"/>
        <w:rPr>
          <w:rFonts w:ascii="Arial" w:cs="Arial" w:eastAsia="Arial" w:hAnsi="Arial"/>
          <w:sz w:val="15"/>
          <w:szCs w:val="15"/>
          <w:color w:val="auto"/>
        </w:rPr>
      </w:pPr>
      <w:r>
        <w:rPr>
          <w:rFonts w:ascii="Arial" w:cs="Arial" w:eastAsia="Arial" w:hAnsi="Arial"/>
          <w:sz w:val="14"/>
          <w:szCs w:val="14"/>
          <w:color w:val="auto"/>
        </w:rPr>
        <w:t>Mr. Dougan to acquire 115,000 shares of common stock, (ii) options held by Mr. Sander to acquire 225,000 shares of common stock, (iii) options held by Ms. Sebelius to acquire 215,000 shares of common stock and (iv) options held by Mr. Wallace to acquire 190,000 shares of common stock.</w:t>
      </w:r>
    </w:p>
    <w:p>
      <w:pPr>
        <w:spacing w:after="0" w:line="89" w:lineRule="exact"/>
        <w:rPr>
          <w:rFonts w:ascii="Arial" w:cs="Arial" w:eastAsia="Arial" w:hAnsi="Arial"/>
          <w:sz w:val="15"/>
          <w:szCs w:val="15"/>
          <w:color w:val="auto"/>
        </w:rPr>
      </w:pPr>
    </w:p>
    <w:p>
      <w:pPr>
        <w:ind w:left="340" w:right="100" w:hanging="332"/>
        <w:spacing w:after="0" w:line="271"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Mr. Sander was appointed as Humacyte’s Chief Corporate and Commercial Development Officer in November 2020. Accordingly, his fees earned or paid in cash for service on the Humacyte Board have been prorated to reflect the portion of 2020 during which he was providing consulting services to Humacyte in that role. For additional information regarding the relationship between Mr. Sander and Humacyte related to his role as Chief Corporate and Commercial Development Officer, see “Certain Relationships and Related Party Transactions—Humacyte Related Party Transactions—Other Transactions—Consulting Agreement with Dale Sander.”</w:t>
      </w:r>
    </w:p>
    <w:p>
      <w:pPr>
        <w:spacing w:after="0" w:line="149" w:lineRule="exact"/>
        <w:rPr>
          <w:rFonts w:ascii="Arial" w:cs="Arial" w:eastAsia="Arial" w:hAnsi="Arial"/>
          <w:sz w:val="16"/>
          <w:szCs w:val="16"/>
          <w:color w:val="auto"/>
        </w:rPr>
      </w:pPr>
    </w:p>
    <w:p>
      <w:pPr>
        <w:jc w:val="both"/>
        <w:ind w:left="340" w:right="820" w:hanging="332"/>
        <w:spacing w:after="0" w:line="278"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Reflects an non-qualified stock option to purchase 10,000 shares of Humacyte common stock, which was granted in December 2020 as compensation for consulting services rendered to Humacyte by Mr. Sander in his role as Humacyte’s Chief Corporate and Commercial Development Officer during 2020.</w:t>
      </w:r>
    </w:p>
    <w:p>
      <w:pPr>
        <w:spacing w:after="0" w:line="157" w:lineRule="exact"/>
        <w:rPr>
          <w:rFonts w:ascii="Arial" w:cs="Arial" w:eastAsia="Arial" w:hAnsi="Arial"/>
          <w:sz w:val="16"/>
          <w:szCs w:val="16"/>
          <w:color w:val="auto"/>
        </w:rPr>
      </w:pPr>
    </w:p>
    <w:p>
      <w:pPr>
        <w:ind w:left="340" w:right="140" w:hanging="332"/>
        <w:spacing w:after="0" w:line="324"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Reflects $43,333 granted as compensation for consulting services rendered to Humacyte by Mr. Sander in his role as Humacyte’s Chief Corporate and Commercial Development Officer during 2020. The $43,333 in compensation earned by Mr. Sander for his services as Humacyte’s Chief Corporate and Commercial Development Officer was paid in January 2021. Additionally, the table does not reflect the grant of an option to purchase 700,000 shares of Humacyte common stock at a purchase price per share of $2.699, which was made to Mr. Sander in January 2021.</w:t>
      </w:r>
    </w:p>
    <w:p>
      <w:pPr>
        <w:spacing w:after="0" w:line="11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 director who is also a Humacyte employee receives no additional compensation for his or her service as a director. Dr. Niklason was appointed President and Chief Executive Officer of Humacyte in November 2020. Following her appointment, Dr. Niklason no longer received additional compensation for serving as a director in 2020. See “—Summary Compensation Table” for additional information regarding the compensation paid to Dr. Niklason during 2020.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w:t>
      </w:r>
    </w:p>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shares of our common stock as of August 26, 2021, after giving effect to the Business Combination:</w:t>
      </w:r>
    </w:p>
    <w:p>
      <w:pPr>
        <w:spacing w:after="0" w:line="130" w:lineRule="exact"/>
        <w:rPr>
          <w:sz w:val="20"/>
          <w:szCs w:val="20"/>
          <w:color w:val="auto"/>
        </w:rPr>
      </w:pPr>
    </w:p>
    <w:p>
      <w:pPr>
        <w:ind w:left="680" w:hanging="321"/>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common stock;</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8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4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beneficial ownership of shares of common stock is calculated based on 103,003,384 shares of Humacyte common stock outstanding immediately following consummation of the Business Combination.</w:t>
      </w:r>
    </w:p>
    <w:p>
      <w:pPr>
        <w:spacing w:after="0" w:line="130"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Unless otherwise noted in the footnotes to the following table, and subject to applicable community property laws, the persons and entities named in the table have sole voting and investment power with respect to their beneficially owned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Number of Shares</w:t>
            </w:r>
          </w:p>
        </w:tc>
        <w:tc>
          <w:tcPr>
            <w:tcW w:w="9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7120" w:type="dxa"/>
            <w:vAlign w:val="bottom"/>
            <w:gridSpan w:val="4"/>
            <w:vMerge w:val="continue"/>
          </w:tcPr>
          <w:p>
            <w:pPr>
              <w:spacing w:after="0"/>
              <w:rPr>
                <w:sz w:val="14"/>
                <w:szCs w:val="14"/>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Beneficially Owned</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 of Humacyte</w:t>
            </w:r>
          </w:p>
        </w:tc>
        <w:tc>
          <w:tcPr>
            <w:tcW w:w="1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line="216" w:lineRule="exact"/>
              <w:rPr>
                <w:sz w:val="20"/>
                <w:szCs w:val="20"/>
                <w:color w:val="auto"/>
              </w:rPr>
            </w:pPr>
            <w:r>
              <w:rPr>
                <w:rFonts w:ascii="Arial" w:cs="Arial" w:eastAsia="Arial" w:hAnsi="Arial"/>
                <w:sz w:val="17"/>
                <w:szCs w:val="17"/>
                <w:color w:val="auto"/>
              </w:rPr>
              <w:t>Laura E. Niklason</w:t>
            </w:r>
            <w:r>
              <w:rPr>
                <w:rFonts w:ascii="Arial" w:cs="Arial" w:eastAsia="Arial" w:hAnsi="Arial"/>
                <w:sz w:val="25"/>
                <w:szCs w:val="25"/>
                <w:color w:val="auto"/>
                <w:vertAlign w:val="superscript"/>
              </w:rPr>
              <w:t>(2)</w:t>
            </w:r>
          </w:p>
        </w:tc>
        <w:tc>
          <w:tcPr>
            <w:tcW w:w="1660" w:type="dxa"/>
            <w:vAlign w:val="bottom"/>
          </w:tcPr>
          <w:p>
            <w:pPr>
              <w:jc w:val="right"/>
              <w:spacing w:after="0"/>
              <w:rPr>
                <w:sz w:val="20"/>
                <w:szCs w:val="20"/>
                <w:color w:val="auto"/>
              </w:rPr>
            </w:pPr>
            <w:r>
              <w:rPr>
                <w:rFonts w:ascii="Arial" w:cs="Arial" w:eastAsia="Arial" w:hAnsi="Arial"/>
                <w:sz w:val="18"/>
                <w:szCs w:val="18"/>
                <w:color w:val="auto"/>
              </w:rPr>
              <w:t>23,268,279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Dale A. Sander</w:t>
            </w:r>
            <w:r>
              <w:rPr>
                <w:rFonts w:ascii="Arial" w:cs="Arial" w:eastAsia="Arial" w:hAnsi="Arial"/>
                <w:sz w:val="25"/>
                <w:szCs w:val="25"/>
                <w:color w:val="auto"/>
                <w:vertAlign w:val="superscript"/>
              </w:rPr>
              <w:t>(3)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line="216" w:lineRule="exact"/>
              <w:rPr>
                <w:sz w:val="20"/>
                <w:szCs w:val="20"/>
                <w:color w:val="auto"/>
              </w:rPr>
            </w:pPr>
            <w:r>
              <w:rPr>
                <w:rFonts w:ascii="Arial" w:cs="Arial" w:eastAsia="Arial" w:hAnsi="Arial"/>
                <w:sz w:val="17"/>
                <w:szCs w:val="17"/>
                <w:color w:val="auto"/>
              </w:rPr>
              <w:t>Heather Prichard</w:t>
            </w:r>
            <w:r>
              <w:rPr>
                <w:rFonts w:ascii="Arial" w:cs="Arial" w:eastAsia="Arial" w:hAnsi="Arial"/>
                <w:sz w:val="25"/>
                <w:szCs w:val="25"/>
                <w:color w:val="auto"/>
                <w:vertAlign w:val="superscript"/>
              </w:rPr>
              <w:t>(4)</w:t>
            </w:r>
          </w:p>
        </w:tc>
        <w:tc>
          <w:tcPr>
            <w:tcW w:w="1660" w:type="dxa"/>
            <w:vAlign w:val="bottom"/>
          </w:tcPr>
          <w:p>
            <w:pPr>
              <w:jc w:val="right"/>
              <w:spacing w:after="0"/>
              <w:rPr>
                <w:sz w:val="20"/>
                <w:szCs w:val="20"/>
                <w:color w:val="auto"/>
              </w:rPr>
            </w:pPr>
            <w:r>
              <w:rPr>
                <w:rFonts w:ascii="Arial" w:cs="Arial" w:eastAsia="Arial" w:hAnsi="Arial"/>
                <w:sz w:val="18"/>
                <w:szCs w:val="18"/>
                <w:color w:val="auto"/>
              </w:rPr>
              <w:t>324,305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Jeffrey H. Lawson</w:t>
            </w:r>
            <w:r>
              <w:rPr>
                <w:rFonts w:ascii="Arial" w:cs="Arial" w:eastAsia="Arial" w:hAnsi="Arial"/>
                <w:sz w:val="25"/>
                <w:szCs w:val="25"/>
                <w:color w:val="auto"/>
                <w:vertAlign w:val="superscript"/>
              </w:rPr>
              <w:t>(5)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1,477,104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line="216" w:lineRule="exact"/>
              <w:rPr>
                <w:sz w:val="20"/>
                <w:szCs w:val="20"/>
                <w:color w:val="auto"/>
              </w:rPr>
            </w:pPr>
            <w:r>
              <w:rPr>
                <w:rFonts w:ascii="Arial" w:cs="Arial" w:eastAsia="Arial" w:hAnsi="Arial"/>
                <w:sz w:val="17"/>
                <w:szCs w:val="17"/>
                <w:color w:val="auto"/>
              </w:rPr>
              <w:t>Brady W. Dougan</w:t>
            </w:r>
            <w:r>
              <w:rPr>
                <w:rFonts w:ascii="Arial" w:cs="Arial" w:eastAsia="Arial" w:hAnsi="Arial"/>
                <w:sz w:val="25"/>
                <w:szCs w:val="25"/>
                <w:color w:val="auto"/>
                <w:vertAlign w:val="superscript"/>
              </w:rPr>
              <w:t>(6)</w:t>
            </w:r>
          </w:p>
        </w:tc>
        <w:tc>
          <w:tcPr>
            <w:tcW w:w="1660" w:type="dxa"/>
            <w:vAlign w:val="bottom"/>
          </w:tcPr>
          <w:p>
            <w:pPr>
              <w:jc w:val="right"/>
              <w:spacing w:after="0"/>
              <w:rPr>
                <w:sz w:val="20"/>
                <w:szCs w:val="20"/>
                <w:color w:val="auto"/>
              </w:rPr>
            </w:pPr>
            <w:r>
              <w:rPr>
                <w:rFonts w:ascii="Arial" w:cs="Arial" w:eastAsia="Arial" w:hAnsi="Arial"/>
                <w:sz w:val="18"/>
                <w:szCs w:val="18"/>
                <w:color w:val="auto"/>
              </w:rPr>
              <w:t>23,268,279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Emery N. Brown</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line="216" w:lineRule="exact"/>
              <w:rPr>
                <w:sz w:val="20"/>
                <w:szCs w:val="20"/>
                <w:color w:val="auto"/>
              </w:rPr>
            </w:pPr>
            <w:r>
              <w:rPr>
                <w:rFonts w:ascii="Arial" w:cs="Arial" w:eastAsia="Arial" w:hAnsi="Arial"/>
                <w:sz w:val="17"/>
                <w:szCs w:val="17"/>
                <w:color w:val="auto"/>
              </w:rPr>
              <w:t>Kathleen Sebelius</w:t>
            </w:r>
            <w:r>
              <w:rPr>
                <w:rFonts w:ascii="Arial" w:cs="Arial" w:eastAsia="Arial" w:hAnsi="Arial"/>
                <w:sz w:val="25"/>
                <w:szCs w:val="25"/>
                <w:color w:val="auto"/>
                <w:vertAlign w:val="superscript"/>
              </w:rPr>
              <w:t>(7)</w:t>
            </w:r>
          </w:p>
        </w:tc>
        <w:tc>
          <w:tcPr>
            <w:tcW w:w="1660" w:type="dxa"/>
            <w:vAlign w:val="bottom"/>
          </w:tcPr>
          <w:p>
            <w:pPr>
              <w:jc w:val="right"/>
              <w:spacing w:after="0"/>
              <w:rPr>
                <w:sz w:val="20"/>
                <w:szCs w:val="20"/>
                <w:color w:val="auto"/>
              </w:rPr>
            </w:pPr>
            <w:r>
              <w:rPr>
                <w:rFonts w:ascii="Arial" w:cs="Arial" w:eastAsia="Arial" w:hAnsi="Arial"/>
                <w:sz w:val="18"/>
                <w:szCs w:val="18"/>
                <w:color w:val="auto"/>
              </w:rPr>
              <w:t>56,457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Rajiv Shukla</w:t>
            </w:r>
            <w:r>
              <w:rPr>
                <w:rFonts w:ascii="Arial" w:cs="Arial" w:eastAsia="Arial" w:hAnsi="Arial"/>
                <w:sz w:val="25"/>
                <w:szCs w:val="25"/>
                <w:color w:val="auto"/>
                <w:vertAlign w:val="superscript"/>
              </w:rPr>
              <w:t>(8)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2,857,500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line="216" w:lineRule="exact"/>
              <w:rPr>
                <w:sz w:val="20"/>
                <w:szCs w:val="20"/>
                <w:color w:val="auto"/>
              </w:rPr>
            </w:pPr>
            <w:r>
              <w:rPr>
                <w:rFonts w:ascii="Arial" w:cs="Arial" w:eastAsia="Arial" w:hAnsi="Arial"/>
                <w:sz w:val="17"/>
                <w:szCs w:val="17"/>
                <w:color w:val="auto"/>
              </w:rPr>
              <w:t>Max Wallace</w:t>
            </w:r>
            <w:r>
              <w:rPr>
                <w:rFonts w:ascii="Arial" w:cs="Arial" w:eastAsia="Arial" w:hAnsi="Arial"/>
                <w:sz w:val="25"/>
                <w:szCs w:val="25"/>
                <w:color w:val="auto"/>
                <w:vertAlign w:val="superscript"/>
              </w:rPr>
              <w:t>(9)</w:t>
            </w:r>
          </w:p>
        </w:tc>
        <w:tc>
          <w:tcPr>
            <w:tcW w:w="1660" w:type="dxa"/>
            <w:vAlign w:val="bottom"/>
          </w:tcPr>
          <w:p>
            <w:pPr>
              <w:jc w:val="right"/>
              <w:spacing w:after="0"/>
              <w:rPr>
                <w:sz w:val="20"/>
                <w:szCs w:val="20"/>
                <w:color w:val="auto"/>
              </w:rPr>
            </w:pPr>
            <w:r>
              <w:rPr>
                <w:rFonts w:ascii="Arial" w:cs="Arial" w:eastAsia="Arial" w:hAnsi="Arial"/>
                <w:sz w:val="18"/>
                <w:szCs w:val="18"/>
                <w:color w:val="auto"/>
              </w:rPr>
              <w:t>86,747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Susan Windham-Bannister</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Gordon M. Binder</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T. Constantino</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Todd M. Pope</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William Tente</w:t>
            </w:r>
            <w:r>
              <w:rPr>
                <w:rFonts w:ascii="Arial" w:cs="Arial" w:eastAsia="Arial" w:hAnsi="Arial"/>
                <w:sz w:val="25"/>
                <w:szCs w:val="25"/>
                <w:color w:val="auto"/>
                <w:vertAlign w:val="superscript"/>
              </w:rPr>
              <w:t>(10)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361,067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line="216" w:lineRule="exact"/>
              <w:rPr>
                <w:sz w:val="20"/>
                <w:szCs w:val="20"/>
                <w:color w:val="auto"/>
              </w:rPr>
            </w:pPr>
            <w:r>
              <w:rPr>
                <w:rFonts w:ascii="Arial" w:cs="Arial" w:eastAsia="Arial" w:hAnsi="Arial"/>
                <w:sz w:val="17"/>
                <w:szCs w:val="17"/>
                <w:color w:val="auto"/>
              </w:rPr>
              <w:t>Kiernan T. DeAngelis</w:t>
            </w:r>
            <w:r>
              <w:rPr>
                <w:rFonts w:ascii="Arial" w:cs="Arial" w:eastAsia="Arial" w:hAnsi="Arial"/>
                <w:sz w:val="25"/>
                <w:szCs w:val="25"/>
                <w:color w:val="auto"/>
                <w:vertAlign w:val="superscript"/>
              </w:rPr>
              <w:t>(11)</w:t>
            </w:r>
          </w:p>
        </w:tc>
        <w:tc>
          <w:tcPr>
            <w:tcW w:w="1660" w:type="dxa"/>
            <w:vAlign w:val="bottom"/>
          </w:tcPr>
          <w:p>
            <w:pPr>
              <w:jc w:val="right"/>
              <w:spacing w:after="0"/>
              <w:rPr>
                <w:sz w:val="20"/>
                <w:szCs w:val="20"/>
                <w:color w:val="auto"/>
              </w:rPr>
            </w:pPr>
            <w:r>
              <w:rPr>
                <w:rFonts w:ascii="Arial" w:cs="Arial" w:eastAsia="Arial" w:hAnsi="Arial"/>
                <w:sz w:val="18"/>
                <w:szCs w:val="18"/>
                <w:color w:val="auto"/>
              </w:rPr>
              <w:t>99,576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(B.J.) Scheessele</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All Directors and Executive Officers of Humacyte as a Group (16 Individuals)</w:t>
            </w:r>
          </w:p>
        </w:tc>
        <w:tc>
          <w:tcPr>
            <w:tcW w:w="1660" w:type="dxa"/>
            <w:vAlign w:val="bottom"/>
          </w:tcPr>
          <w:p>
            <w:pPr>
              <w:jc w:val="right"/>
              <w:spacing w:after="0"/>
              <w:rPr>
                <w:sz w:val="20"/>
                <w:szCs w:val="20"/>
                <w:color w:val="auto"/>
              </w:rPr>
            </w:pPr>
            <w:r>
              <w:rPr>
                <w:rFonts w:ascii="Arial" w:cs="Arial" w:eastAsia="Arial" w:hAnsi="Arial"/>
                <w:sz w:val="18"/>
                <w:szCs w:val="18"/>
                <w:color w:val="auto"/>
              </w:rPr>
              <w:t>28,587,492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Ayabudge LLC</w:t>
            </w:r>
            <w:r>
              <w:rPr>
                <w:rFonts w:ascii="Arial" w:cs="Arial" w:eastAsia="Arial" w:hAnsi="Arial"/>
                <w:sz w:val="25"/>
                <w:szCs w:val="25"/>
                <w:color w:val="auto"/>
                <w:vertAlign w:val="superscript"/>
              </w:rPr>
              <w:t>(12)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20,452,504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line="216" w:lineRule="exact"/>
              <w:rPr>
                <w:sz w:val="20"/>
                <w:szCs w:val="20"/>
                <w:color w:val="auto"/>
              </w:rPr>
            </w:pPr>
            <w:r>
              <w:rPr>
                <w:rFonts w:ascii="Arial" w:cs="Arial" w:eastAsia="Arial" w:hAnsi="Arial"/>
                <w:sz w:val="17"/>
                <w:szCs w:val="17"/>
                <w:color w:val="auto"/>
              </w:rPr>
              <w:t>Fresenius Medical Care Holdings, Inc.</w:t>
            </w:r>
            <w:r>
              <w:rPr>
                <w:rFonts w:ascii="Arial" w:cs="Arial" w:eastAsia="Arial" w:hAnsi="Arial"/>
                <w:sz w:val="25"/>
                <w:szCs w:val="25"/>
                <w:color w:val="auto"/>
                <w:vertAlign w:val="superscript"/>
              </w:rPr>
              <w:t>(13)</w:t>
            </w:r>
          </w:p>
        </w:tc>
        <w:tc>
          <w:tcPr>
            <w:tcW w:w="1660" w:type="dxa"/>
            <w:vAlign w:val="bottom"/>
          </w:tcPr>
          <w:p>
            <w:pPr>
              <w:jc w:val="right"/>
              <w:spacing w:after="0"/>
              <w:rPr>
                <w:sz w:val="20"/>
                <w:szCs w:val="20"/>
                <w:color w:val="auto"/>
              </w:rPr>
            </w:pPr>
            <w:r>
              <w:rPr>
                <w:rFonts w:ascii="Arial" w:cs="Arial" w:eastAsia="Arial" w:hAnsi="Arial"/>
                <w:sz w:val="18"/>
                <w:szCs w:val="18"/>
                <w:color w:val="auto"/>
              </w:rPr>
              <w:t>18,312,735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The GYF Trust</w:t>
            </w:r>
            <w:r>
              <w:rPr>
                <w:rFonts w:ascii="Arial" w:cs="Arial" w:eastAsia="Arial" w:hAnsi="Arial"/>
                <w:sz w:val="25"/>
                <w:szCs w:val="25"/>
                <w:color w:val="auto"/>
                <w:vertAlign w:val="superscript"/>
              </w:rPr>
              <w:t>(14)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8,942,078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one percent.</w:t>
      </w:r>
    </w:p>
    <w:p>
      <w:pPr>
        <w:spacing w:after="0" w:line="189" w:lineRule="exact"/>
        <w:rPr>
          <w:sz w:val="20"/>
          <w:szCs w:val="20"/>
          <w:color w:val="auto"/>
        </w:rPr>
      </w:pPr>
    </w:p>
    <w:p>
      <w:pPr>
        <w:ind w:left="420" w:right="100" w:hanging="412"/>
        <w:spacing w:after="0" w:line="293" w:lineRule="auto"/>
        <w:tabs>
          <w:tab w:leader="none" w:pos="4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following entities and individuals is 2525 East North Carolina Highway 54, Durham, North Carolina 27713.</w:t>
      </w:r>
    </w:p>
    <w:p>
      <w:pPr>
        <w:spacing w:after="0" w:line="144" w:lineRule="exact"/>
        <w:rPr>
          <w:rFonts w:ascii="Arial" w:cs="Arial" w:eastAsia="Arial" w:hAnsi="Arial"/>
          <w:sz w:val="16"/>
          <w:szCs w:val="16"/>
          <w:color w:val="auto"/>
        </w:rPr>
      </w:pPr>
    </w:p>
    <w:p>
      <w:pPr>
        <w:ind w:left="420" w:right="20" w:hanging="412"/>
        <w:spacing w:after="0" w:line="269" w:lineRule="auto"/>
        <w:tabs>
          <w:tab w:leader="none" w:pos="4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(i) 1,148,240 shares of common stock held by Dr. Niklason, (ii) 827,177 shares of common stock subject to options exercisable within 60 days of the Closing Date held by Dr. Niklason, (iii) 810,161 shares of common stock held by Mr. Dougan, (iv) 30,197 shares of common stock subject to options exercisable within 60 days of the Closing Date held by Mr. Dougan, and (v) 20,452,504 shares of common stock held by Ayabudge LLC. Dr. Niklason is married to Mr. Dougan and Mr. Dougan has sole voting and dispositive power over the shares held by Ayabudge LLC. By virtue of these relationships, Dr. Niklason may be deemed to share beneficial ownership of the securities held of record by Mr. Dougan and Ayabudge LLC.</w:t>
      </w:r>
    </w:p>
    <w:p>
      <w:pPr>
        <w:sectPr>
          <w:pgSz w:w="11900" w:h="16838" w:orient="portrait"/>
          <w:cols w:equalWidth="0" w:num="1">
            <w:col w:w="9920"/>
          </w:cols>
          <w:pgMar w:left="980" w:top="125"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ind w:left="420" w:hanging="412"/>
        <w:spacing w:after="0"/>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56,457 shares of common stock subject to options exercisable within 60 days of the Closing Date.</w:t>
      </w:r>
    </w:p>
    <w:p>
      <w:pPr>
        <w:spacing w:after="0" w:line="207" w:lineRule="exact"/>
        <w:rPr>
          <w:rFonts w:ascii="Arial" w:cs="Arial" w:eastAsia="Arial" w:hAnsi="Arial"/>
          <w:sz w:val="16"/>
          <w:szCs w:val="16"/>
          <w:color w:val="auto"/>
        </w:rPr>
      </w:pPr>
    </w:p>
    <w:p>
      <w:pPr>
        <w:ind w:left="420" w:right="500" w:hanging="412"/>
        <w:spacing w:after="0" w:line="293" w:lineRule="auto"/>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2,625 shares of common stock and (ii) 321,680 shares of common stock subject to options exercisable within 60 days of the Closing Date.</w:t>
      </w:r>
    </w:p>
    <w:p>
      <w:pPr>
        <w:spacing w:after="0" w:line="131" w:lineRule="exact"/>
        <w:rPr>
          <w:rFonts w:ascii="Arial" w:cs="Arial" w:eastAsia="Arial" w:hAnsi="Arial"/>
          <w:sz w:val="16"/>
          <w:szCs w:val="16"/>
          <w:color w:val="auto"/>
        </w:rPr>
      </w:pPr>
    </w:p>
    <w:p>
      <w:pPr>
        <w:ind w:left="420" w:right="320" w:hanging="412"/>
        <w:spacing w:after="0" w:line="293" w:lineRule="auto"/>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7,877 shares of Common Stock and (ii) 1,469,227 shares of common stock subject to options exercisable within 60 days of the Closing Date.</w:t>
      </w:r>
    </w:p>
    <w:p>
      <w:pPr>
        <w:spacing w:after="0" w:line="131" w:lineRule="exact"/>
        <w:rPr>
          <w:rFonts w:ascii="Arial" w:cs="Arial" w:eastAsia="Arial" w:hAnsi="Arial"/>
          <w:sz w:val="16"/>
          <w:szCs w:val="16"/>
          <w:color w:val="auto"/>
        </w:rPr>
      </w:pPr>
    </w:p>
    <w:p>
      <w:pPr>
        <w:ind w:left="420" w:hanging="412"/>
        <w:spacing w:after="0"/>
        <w:tabs>
          <w:tab w:leader="none" w:pos="4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Consists of (i) 810,161 shares of common stock held by Mr. Dougan, (ii) 30,197 shares of common stock subject to options exercisable within</w:t>
      </w:r>
    </w:p>
    <w:p>
      <w:pPr>
        <w:spacing w:after="0" w:line="33" w:lineRule="exact"/>
        <w:rPr>
          <w:rFonts w:ascii="Arial" w:cs="Arial" w:eastAsia="Arial" w:hAnsi="Arial"/>
          <w:sz w:val="15"/>
          <w:szCs w:val="15"/>
          <w:color w:val="auto"/>
        </w:rPr>
      </w:pPr>
    </w:p>
    <w:p>
      <w:pPr>
        <w:ind w:left="420" w:right="60"/>
        <w:spacing w:after="0" w:line="270" w:lineRule="auto"/>
        <w:rPr>
          <w:rFonts w:ascii="Arial" w:cs="Arial" w:eastAsia="Arial" w:hAnsi="Arial"/>
          <w:sz w:val="15"/>
          <w:szCs w:val="15"/>
          <w:color w:val="auto"/>
        </w:rPr>
      </w:pPr>
      <w:r>
        <w:rPr>
          <w:rFonts w:ascii="Arial" w:cs="Arial" w:eastAsia="Arial" w:hAnsi="Arial"/>
          <w:sz w:val="16"/>
          <w:szCs w:val="16"/>
          <w:color w:val="auto"/>
        </w:rPr>
        <w:t>60 days of the Closing Date held by Mr. Dougan, (iii) 1,148,240 shares of common stock held by Dr. Niklason, (iv) 827,177 shares of common stock subject to options exercisable within 60 days of the Closing Date held by Dr. Niklason, and (v) 20,452,504 shares of common stock held by Ayabudge LLC. Mr. Dougan is married to Dr. Niklason and Mr. Dougan has sole voting, and dispositive power over the shares held by Ayabudge LLC. By virtue of these relationships, Mr. Dougan may be deemed to share beneficial ownership of the securities held of record by Dr. Niklason and Ayabudge LLC.</w:t>
      </w:r>
    </w:p>
    <w:p>
      <w:pPr>
        <w:spacing w:after="0" w:line="162" w:lineRule="exact"/>
        <w:rPr>
          <w:rFonts w:ascii="Arial" w:cs="Arial" w:eastAsia="Arial" w:hAnsi="Arial"/>
          <w:sz w:val="15"/>
          <w:szCs w:val="15"/>
          <w:color w:val="auto"/>
        </w:rPr>
      </w:pPr>
    </w:p>
    <w:p>
      <w:pPr>
        <w:ind w:left="420" w:hanging="412"/>
        <w:spacing w:after="0"/>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56,457 shares of common stock subject to options exercisable within 60 days of the Closing Date.</w:t>
      </w:r>
    </w:p>
    <w:p>
      <w:pPr>
        <w:spacing w:after="0" w:line="194" w:lineRule="exact"/>
        <w:rPr>
          <w:rFonts w:ascii="Arial" w:cs="Arial" w:eastAsia="Arial" w:hAnsi="Arial"/>
          <w:sz w:val="16"/>
          <w:szCs w:val="16"/>
          <w:color w:val="auto"/>
        </w:rPr>
      </w:pPr>
    </w:p>
    <w:p>
      <w:pPr>
        <w:ind w:left="420" w:hanging="412"/>
        <w:spacing w:after="0" w:line="297" w:lineRule="auto"/>
        <w:tabs>
          <w:tab w:leader="none" w:pos="4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Consists of (i) 2,705,000 shares of common stock and (ii) Warrants to purchase 152,500 shares of common stock exercisable within 60 days of the Closing Date. AHAC Sponsor LLC is the record holder of such shares and Warrants. Mr. Shukla is the managing member of the Sponsor. By virtue of this relationship, Mr. Shukla may be deemed to share beneficial ownership of the securities held of record by the Sponsor. Mr. Shukla disclaims beneficial ownership of the shares held of record by the Sponsor except to the extent of his pecuniary interest therein.</w:t>
      </w:r>
    </w:p>
    <w:p>
      <w:pPr>
        <w:spacing w:after="0" w:line="131" w:lineRule="exact"/>
        <w:rPr>
          <w:rFonts w:ascii="Arial" w:cs="Arial" w:eastAsia="Arial" w:hAnsi="Arial"/>
          <w:sz w:val="15"/>
          <w:szCs w:val="15"/>
          <w:color w:val="auto"/>
        </w:rPr>
      </w:pPr>
    </w:p>
    <w:p>
      <w:pPr>
        <w:ind w:left="420" w:right="500" w:hanging="412"/>
        <w:spacing w:after="0" w:line="293" w:lineRule="auto"/>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49,986 shares of common stock and (ii) 36,761 shares of common stock subject to options exercisable within 60 days of the Closing Date.</w:t>
      </w:r>
    </w:p>
    <w:p>
      <w:pPr>
        <w:spacing w:after="0" w:line="131" w:lineRule="exact"/>
        <w:rPr>
          <w:rFonts w:ascii="Arial" w:cs="Arial" w:eastAsia="Arial" w:hAnsi="Arial"/>
          <w:sz w:val="16"/>
          <w:szCs w:val="16"/>
          <w:color w:val="auto"/>
        </w:rPr>
      </w:pPr>
    </w:p>
    <w:p>
      <w:pPr>
        <w:ind w:left="420" w:right="420" w:hanging="412"/>
        <w:spacing w:after="0" w:line="293" w:lineRule="auto"/>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52,519 shares of common stock and (ii) 308,548 shares of common stock subject to options exercisable within 60 days of the Closing Date.</w:t>
      </w:r>
    </w:p>
    <w:p>
      <w:pPr>
        <w:spacing w:after="0" w:line="144" w:lineRule="exact"/>
        <w:rPr>
          <w:rFonts w:ascii="Arial" w:cs="Arial" w:eastAsia="Arial" w:hAnsi="Arial"/>
          <w:sz w:val="16"/>
          <w:szCs w:val="16"/>
          <w:color w:val="auto"/>
        </w:rPr>
      </w:pPr>
    </w:p>
    <w:p>
      <w:pPr>
        <w:ind w:left="420" w:hanging="412"/>
        <w:spacing w:after="0"/>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99,576 shares of common stock subject to options exercisable within 60 days of the Closing Date</w:t>
      </w:r>
    </w:p>
    <w:p>
      <w:pPr>
        <w:spacing w:after="0" w:line="194" w:lineRule="exact"/>
        <w:rPr>
          <w:rFonts w:ascii="Arial" w:cs="Arial" w:eastAsia="Arial" w:hAnsi="Arial"/>
          <w:sz w:val="16"/>
          <w:szCs w:val="16"/>
          <w:color w:val="auto"/>
        </w:rPr>
      </w:pPr>
    </w:p>
    <w:p>
      <w:pPr>
        <w:ind w:left="420" w:right="400" w:hanging="412"/>
        <w:spacing w:after="0" w:line="293" w:lineRule="auto"/>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Mr. Dougan has sole voting and dispositive power over the shares held by Ayabudge LLC. Ayabudge LLC has pledged 18,930,004 shares to certain lenders in connection with a financing arrangement.</w:t>
      </w:r>
    </w:p>
    <w:p>
      <w:pPr>
        <w:spacing w:after="0" w:line="131" w:lineRule="exact"/>
        <w:rPr>
          <w:rFonts w:ascii="Arial" w:cs="Arial" w:eastAsia="Arial" w:hAnsi="Arial"/>
          <w:sz w:val="16"/>
          <w:szCs w:val="16"/>
          <w:color w:val="auto"/>
        </w:rPr>
      </w:pPr>
    </w:p>
    <w:p>
      <w:pPr>
        <w:ind w:left="420" w:right="100" w:hanging="412"/>
        <w:spacing w:after="0" w:line="293" w:lineRule="auto"/>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business address of Fresenius Medical Care Holdings, Inc. is 920 Winter Street, Waltham, Massachusetts 02451. For additional information, see note 28 to the table under the caption “Selling Stockholders.”</w:t>
      </w:r>
    </w:p>
    <w:p>
      <w:pPr>
        <w:spacing w:after="0" w:line="144" w:lineRule="exact"/>
        <w:rPr>
          <w:rFonts w:ascii="Arial" w:cs="Arial" w:eastAsia="Arial" w:hAnsi="Arial"/>
          <w:sz w:val="16"/>
          <w:szCs w:val="16"/>
          <w:color w:val="auto"/>
        </w:rPr>
      </w:pPr>
    </w:p>
    <w:p>
      <w:pPr>
        <w:ind w:left="420" w:right="520" w:hanging="412"/>
        <w:spacing w:after="0" w:line="369" w:lineRule="auto"/>
        <w:tabs>
          <w:tab w:leader="none" w:pos="4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Gavril Abramovich Yushvaev has sole voting and dispositive power over the shares held by PTC Trustees GY Limited. The address of the business office of PTC Trustees GY Limited as Trustee of The GYF Trust is 37 Metochiou Street, Agios Andreas, 1101 Nicosia, Cyprus.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8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Upon consummation of the Business Combination, the Board adopted a written Related Person Transactions Policy that sets forth Humacyte’s policies and procedures regarding the notification, review, approval, ratification and disclosure of “related person transactions.” For purposes of Humacyte’s policy only, a “related person transaction” is a transaction, arrangement or relationship (or any series of similar transactions, arrangements or relationships) in which Humacyte or any of its subsidiaries are participants involving an amount that exceeds $120,000, in which any “related person” has or will have a direct or indirect material interest.</w:t>
      </w:r>
    </w:p>
    <w:p>
      <w:pPr>
        <w:spacing w:after="0" w:line="13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Transactions involving compensation for services provided to Humacyte as an employee or director will not be considered related person transactions under this policy. A “related person” is any executive officer, director, nominee to become a director, a holder of more than 5% of any class of Humacyte’s voting securities, including any of their immediate family members and affiliates, including entities owned or controlled by such persons, and any entity that employs any of the foregoing persons, of which any of the foregoing persons is a general partner, officer or serves in a similar position, or in which any of the foregoing persons has a 10% percent or greater beneficial ownership interest.</w:t>
      </w:r>
    </w:p>
    <w:p>
      <w:pPr>
        <w:spacing w:after="0" w:line="16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Under the policy, the related person in question or, in the case of transactions with a holder of more than 5% of any class of Humacyte’s voting securities, any director or employee with knowledge of a proposed transaction, must present information regarding the proposed related person transaction to the audit committee of the Board for review. To identify related person transactions in advance, Humacyte will rely on information supplied by its executive officers, directors and certain significant stockholders.</w:t>
      </w:r>
    </w:p>
    <w:p>
      <w:pPr>
        <w:spacing w:after="0" w:line="11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audit committee will approve only those transactions that it determines are in Humacyte’s best interests. The transactions described below under the subheadings “Pre-Business Combination AHAC Related Party Transactions” and “Legacy Humacyte Related Party Transactions” were entered into prior to the adoption of the Related Person Transactions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Humacyte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Rights and Lock-up Agreement</w:t>
      </w:r>
    </w:p>
    <w:p>
      <w:pPr>
        <w:spacing w:after="0" w:line="198"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6"/>
          <w:szCs w:val="16"/>
          <w:color w:val="auto"/>
        </w:rPr>
        <w:t>At the Effective Time, Humacyte and certain of the stockholders of Humacyte and Legacy Humacyte entered into an Investor Rights and Lock-up Agreement, pursuant to which, among other things, such stockholders (i) agreed not to effect any sale or distribution of any shares held by any of them during the one-year lock-up period described therein, subject to certain exceptions described below, and</w:t>
      </w:r>
    </w:p>
    <w:p>
      <w:pPr>
        <w:spacing w:after="0" w:line="2" w:lineRule="exact"/>
        <w:rPr>
          <w:sz w:val="20"/>
          <w:szCs w:val="20"/>
          <w:color w:val="auto"/>
        </w:rPr>
      </w:pPr>
    </w:p>
    <w:p>
      <w:pPr>
        <w:ind w:right="40" w:firstLine="8"/>
        <w:spacing w:after="0" w:line="253" w:lineRule="auto"/>
        <w:tabs>
          <w:tab w:leader="none" w:pos="2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were granted certain registration rights with respect to certain shares of securities held by them. Pursuant to the Investor Rights and Lock-up Agreement, the Sponsor and certain directors of AHAC prior to the Business Combination have, for a period of 10 years, unless such stockholders cease to collectively own at least 5% of our common stock at an earlier date, the right to designate, and the Board will nominate, one individual for election to the Board. In connection with the closing of the Business Combination, these stockholders designated Rajiv Shukla for election to the Board.</w:t>
      </w:r>
    </w:p>
    <w:p>
      <w:pPr>
        <w:spacing w:after="0" w:line="1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the volume weighted average price (“VWAP”) of Humacyte common stock on Nasdaq, or any other national securities exchange on which the common stock is then traded, is greater than or equal to $15.00 over any 20 trading days within any 30 trading day period following the closing of the Business Combination, then, commencing at least 180 days after the closing of the Business Combination, the lock-up period shall be deemed to have expired with respect to 50% of the shares of common stock held by each party subject to the Investor Rights and Lock-up Agreement. The lock-up period shall not apply to any shares purchased in the PIPE Investment by parties to the Investor Rights and Lock-up Agreement.</w:t>
      </w:r>
    </w:p>
    <w:p>
      <w:pPr>
        <w:spacing w:after="0" w:line="15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foregoing description of the Investor Rights and Lock-up Agreement is subject to and qualified in its entirety by reference to the full text of the form of Investor Rights and Lock-up Agreement, a copy of which is attached as Exhibit 10.2 to the registration statement of which this prospectus forms a part, and the terms of which are incorporated herein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w:t>
      </w:r>
    </w:p>
    <w:p>
      <w:pPr>
        <w:spacing w:after="0" w:line="18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At the Effective Time, certain stockholders and option holders of Legacy Humacyte who did not enter into the Investor Rights and Lock-up Agreement entered into a lock-up agreement (the “Lock-up Agreement”) restricting their ability to transfer their shares of Humacyte common stock. The Lock-up Agreement has substantially the same terms as the lock-up provision contained in the Investor Rights and Lock-up Agreement, described above.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foregoing description of the Lock-up Agreement is subject to and qualified in its entirety by reference to the full text of the form of Lock-up Agreement, a copy of which is attached as Exhibit 10.1 to the registration statement of which this prospectus forms a part, and the terms of which are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8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 connection with consummating the Business Combination, Humacyte entered into customary indemnification agreements with the directors and executive officers of Humacyte following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Pre-Business Combination AHAC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8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July 20, 2020, AHAC issued 2,875,000 shares of its Class B Common Stock to the Sponsor for $25,000, or approximately $0.01 per share (the “Founder Shares”). The Founder Shares included an aggregate of up to 375,000 shares that were subject to forfeiture if the over-allotment option granted to the underwriters in connection with AHAC’s initial public offering was not exercised by the underwriters in full. The over-allotment option was not exercised by the underwriters and therefore, as of December 31, 2020, 2,500,000 Founder Shares were issued and outstanding. Each Founder Share was converted into one share of Humacyte common stock at the closing of the Business Combination.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8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July 1, 2020, AHAC issued an unsecured promissory note to the Sponsor, pursuant to which AHAC may borrow up to an aggregate principal amount of $300,000 to be used for a portion of the expenses of AHAC’s initial public offering. This loan was non-interest bearing, unsecured, and due on the earlier of (a) March 31, 2021 or (b) the date on which AHAC completed the Initial Public Offering. As of December 31, 2020, AHAC had $95,136 in borrowings outstanding under the promissory note. The note was paid in full in January 2021 out of offering proceeds not held in the Trust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8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AHAC agreed to pay an affiliate of the Sponsor a monthly fee of an aggregate of $10,000 for general and administrative services including office space, utilities and secretarial and administrative support. This arrangement terminated upon completion of the Business Combination. For the period July 1, 2020 through December 31, 2020, AHAC accrued $34,334 of administrative fees as a due to related party payable.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9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September 22, 2020, the underwriters of AHAC’s initial public offering were paid an underwriting discount of 2.0% of the gross proceeds of the offering, or $2,000,000. In addition, the underwriters were entitled to a deferred underwriting fee of 3.5% of the gross proceeds of the initial public offering upon the completion of the Business Combination. The underwriters have agreed that up to 1% of the deferred underwriting fee may be re-directed to other member firms of the Financial Industry Regulatory Authority, Inc. (“FINRA”) that have provided services in connection with the identification and consummation of a business combination, in the sole discretion of AHAC; provided, that all such payments to other FINRA member firms may only be made if permitted under applicable law.</w:t>
      </w:r>
    </w:p>
    <w:p>
      <w:pPr>
        <w:spacing w:after="0" w:line="12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AHAC was permitted to reduce the deferred underwriting fee by up to 50% based on stockholders redeeming their shares for their pro-rata amount of the proceeds in the Trust Account; provided, however, that (a) the underwriters’ maximum deferred underwriting fee reduction based on stockholder redemptions would be 50% regardless of whether stockholder redemptions exceeded 50%; and (b) any sums paid to other advisors as discussed above, would be credited against the reduction of and added back to the deferred underwriting fee payable to the underwriters; and (c) under no circumstance would the deferred underwriting fee be less than 1.75% of the gross proceeds of the initial public offering. AHAC paid to the underwriters aggregate deferred underwriting fees of $2,446,902 upon consummation of the Business Combination.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Humacyte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18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In connection with the execution of the Business Combination Agreement, AHAC entered into the Subscription Agreements with the PIPE Investors, pursuant to which the PIPE Investors agreed to purchase, and AHAC agreed to sell to the PIPE Investors, an</w:t>
      </w:r>
    </w:p>
    <w:p>
      <w:pPr>
        <w:sectPr>
          <w:pgSz w:w="11900" w:h="16838" w:orient="portrait"/>
          <w:cols w:equalWidth="0" w:num="1">
            <w:col w:w="9900"/>
          </w:cols>
          <w:pgMar w:left="980" w:top="125" w:right="101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aggregate of 17,500,000 shares of AHAC’s Class A common stock, for a purchase price of $10.00 per share and an aggregate purchase price of $175 million, in the PIPE Investment. Such shares were issued immediately prior to the Effective Time.</w:t>
      </w:r>
    </w:p>
    <w:p>
      <w:pPr>
        <w:spacing w:after="0" w:line="119"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The table below sets forth the number of shares of AHAC’s Class A common stock that were purchased by Legacy Humacyte’s related parties (which shares were converted into Humacyte common stock on a one-for-one basis at the closing of the Business Combination):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59"/>
              <w:spacing w:after="0"/>
              <w:rPr>
                <w:sz w:val="20"/>
                <w:szCs w:val="20"/>
                <w:color w:val="auto"/>
              </w:rPr>
            </w:pPr>
            <w:r>
              <w:rPr>
                <w:rFonts w:ascii="Arial" w:cs="Arial" w:eastAsia="Arial" w:hAnsi="Arial"/>
                <w:sz w:val="14"/>
                <w:szCs w:val="14"/>
                <w:b w:val="1"/>
                <w:bCs w:val="1"/>
                <w:color w:val="auto"/>
              </w:rPr>
              <w:t>Shares of</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8"/>
        </w:trPr>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Related Person</w:t>
            </w:r>
          </w:p>
        </w:tc>
        <w:tc>
          <w:tcPr>
            <w:tcW w:w="106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Class 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7440" w:type="dxa"/>
            <w:vAlign w:val="bottom"/>
            <w:gridSpan w:val="2"/>
            <w:vMerge w:val="continue"/>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5"/>
              </w:rPr>
              <w:t>Common 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7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Ayabudge LLC</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3"/>
              </w:rPr>
              <w:t>15,225,000</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Fresenius Medical Care Holdings, Inc.</w:t>
            </w:r>
          </w:p>
        </w:tc>
        <w:tc>
          <w:tcPr>
            <w:tcW w:w="1060" w:type="dxa"/>
            <w:vAlign w:val="bottom"/>
          </w:tcPr>
          <w:p>
            <w:pPr>
              <w:jc w:val="right"/>
              <w:spacing w:after="0"/>
              <w:rPr>
                <w:sz w:val="20"/>
                <w:szCs w:val="20"/>
                <w:color w:val="auto"/>
              </w:rPr>
            </w:pPr>
            <w:r>
              <w:rPr>
                <w:rFonts w:ascii="Arial" w:cs="Arial" w:eastAsia="Arial" w:hAnsi="Arial"/>
                <w:sz w:val="18"/>
                <w:szCs w:val="18"/>
                <w:color w:val="auto"/>
              </w:rPr>
              <w:t>2,500,000</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w w:val="93"/>
              </w:rPr>
              <w:t>25,000,000</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PTC Trustees GY Limited as Trustee of The GYF Trust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18,000,000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AHAC is party to an engagement letter with Exos pursuant to which Exos acted as a private placement agent to AHAC in connection with the PIPE Investment. Exos received a $5.5 million fee upon the closing of the PIPE Investment. AHAC also agreed to indemnify Exos as is customary with respect to placement agent arrangements.</w:t>
      </w:r>
    </w:p>
    <w:p>
      <w:pPr>
        <w:spacing w:after="0" w:line="143" w:lineRule="exact"/>
        <w:rPr>
          <w:sz w:val="20"/>
          <w:szCs w:val="20"/>
          <w:color w:val="auto"/>
        </w:rPr>
      </w:pPr>
    </w:p>
    <w:p>
      <w:pPr>
        <w:jc w:val="both"/>
        <w:ind w:right="220" w:firstLine="324"/>
        <w:spacing w:after="0" w:line="342" w:lineRule="auto"/>
        <w:rPr>
          <w:sz w:val="20"/>
          <w:szCs w:val="20"/>
          <w:color w:val="auto"/>
        </w:rPr>
      </w:pPr>
      <w:r>
        <w:rPr>
          <w:rFonts w:ascii="Arial" w:cs="Arial" w:eastAsia="Arial" w:hAnsi="Arial"/>
          <w:sz w:val="16"/>
          <w:szCs w:val="16"/>
          <w:color w:val="auto"/>
        </w:rPr>
        <w:t>Brady Dougan, a member of Humacyte’s Board and the prior chairman of the Legacy Humacyte board of directors, is the founder and chief executive officer of Exos. Laura Niklason, Humacyte’s chief executive officer and president, is the spouse of Brady Dougan.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Support Agreement</w:t>
      </w:r>
    </w:p>
    <w:p>
      <w:pPr>
        <w:spacing w:after="0" w:line="19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In connection with the execution of the Business Combination Agreement, certain Legacy Humacyte stockholders, who held 77.1% of Legacy Humacyte’s outstanding capital stock, entered into a support agreement pursuant to which they agreed to vote in favor of the Business Combination, among other items, at a meeting of Legacy Humacyte stockholders called to approve the Business Combination (or to act by written consent approving the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Financing</w:t>
      </w:r>
    </w:p>
    <w:p>
      <w:pPr>
        <w:spacing w:after="0" w:line="18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February and March 2018, Legacy Humacyte issued and sold an aggregate of 42,808,208 shares of its Series C convertible preferred stock, par value $0.001 per share (the “Series C Preferred”), at a purchase price of $1.752 per share, for an aggregate purchase price of $75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Preferred Financing</w:t>
      </w:r>
    </w:p>
    <w:p>
      <w:pPr>
        <w:spacing w:after="0" w:line="18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On June 25, 2018, Legacy Humacyte issued and sold to Fresenius Medical Care 60,216,780 shares of its Series D convertible preferred stock, par value $0.001 per share (the “Series D Preferred”), at a purchase price of $2.491 per share, for an aggregate purchase price of $150 million.</w:t>
      </w:r>
    </w:p>
    <w:p>
      <w:pPr>
        <w:spacing w:after="0" w:line="143"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The following table summarizes the shares of Series C Preferred and Series D Preferred acquired by Legacy Humacyte’s directors, executive officers, or holders of more than 5% of its capital stock, or any member of the immediate family of the foregoing persons, in the financing transactions described above.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Related Person</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Series C</w:t>
            </w: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rPr>
              <w:t>Series 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439"/>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71"/>
        </w:trPr>
        <w:tc>
          <w:tcPr>
            <w:tcW w:w="6440" w:type="dxa"/>
            <w:vAlign w:val="bottom"/>
            <w:gridSpan w:val="2"/>
            <w:vMerge w:val="continue"/>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Preferred</w:t>
            </w:r>
          </w:p>
        </w:tc>
        <w:tc>
          <w:tcPr>
            <w:tcW w:w="920" w:type="dxa"/>
            <w:vAlign w:val="bottom"/>
          </w:tcPr>
          <w:p>
            <w:pPr>
              <w:jc w:val="right"/>
              <w:ind w:right="79"/>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Purchase Price</w:t>
            </w:r>
          </w:p>
        </w:tc>
        <w:tc>
          <w:tcPr>
            <w:tcW w:w="0" w:type="dxa"/>
            <w:vAlign w:val="bottom"/>
          </w:tcPr>
          <w:p>
            <w:pPr>
              <w:spacing w:after="0"/>
              <w:rPr>
                <w:sz w:val="1"/>
                <w:szCs w:val="1"/>
                <w:color w:val="auto"/>
              </w:rPr>
            </w:pPr>
          </w:p>
        </w:tc>
      </w:tr>
      <w:tr>
        <w:trPr>
          <w:trHeight w:val="210"/>
        </w:trPr>
        <w:tc>
          <w:tcPr>
            <w:tcW w:w="63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Gavril Abramovich Yushvaev</w:t>
            </w:r>
            <w:r>
              <w:rPr>
                <w:rFonts w:ascii="Arial" w:cs="Arial" w:eastAsia="Arial" w:hAnsi="Arial"/>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12,246,619</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36,158,711.03</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Fresenius Medical Care Holdings, Inc.</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60,216,780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w w:val="91"/>
              </w:rPr>
              <w:t>149,999,998.98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67" w:lineRule="exact"/>
        <w:rPr>
          <w:sz w:val="20"/>
          <w:szCs w:val="20"/>
          <w:color w:val="auto"/>
        </w:rPr>
      </w:pPr>
    </w:p>
    <w:p>
      <w:pPr>
        <w:ind w:left="340" w:right="260" w:hanging="332"/>
        <w:spacing w:after="0" w:line="27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Mr. Yushvaev subsequently transferred these shares to PTC Trustees GY Limited as Trustee of The GYF Trust, of which he is the settlor for the benefit of himself and certain of his family members.</w:t>
      </w:r>
    </w:p>
    <w:p>
      <w:pPr>
        <w:spacing w:after="0" w:line="143"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At the closing of the Business Combination, each outstanding share of Series C Preferred and Series D Preferred was cancelled and converted into the right to receive a number of shares of Humacyte common stock equal to (A) the aggregate number of shares of Humacyte common stock that would be issued upon conversion of the shares of Series C Preferred or Series D Preferred, as applicable, based on the applicable conversion ratio immediately prior to the Effective Time, multiplied by (B) 0.26260.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Stockholder Agreements</w:t>
      </w:r>
    </w:p>
    <w:p>
      <w:pPr>
        <w:spacing w:after="0" w:line="19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connection with the financing transactions described above, Legacy Humacyte entered into an Amended and Restated Investors’ Rights Agreement, an Amended and Restated Right of First Refusal and Co-Sale Agreement and an Amended and Restated Voting Agreement (collectively, the “Legacy Humacyte Stockholder Agreements”) with certain of its stockholders, including the related parties described in the chart above. The Legacy Humacyte Stockholder Agreements terminated upon the closing of the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Agreement with Fresenius Medical Care</w:t>
      </w:r>
    </w:p>
    <w:p>
      <w:pPr>
        <w:spacing w:after="0" w:line="198" w:lineRule="exact"/>
        <w:rPr>
          <w:sz w:val="20"/>
          <w:szCs w:val="20"/>
          <w:color w:val="auto"/>
        </w:rPr>
      </w:pPr>
    </w:p>
    <w:p>
      <w:pPr>
        <w:ind w:right="240" w:firstLine="324"/>
        <w:spacing w:after="0" w:line="271" w:lineRule="auto"/>
        <w:rPr>
          <w:sz w:val="20"/>
          <w:szCs w:val="20"/>
          <w:color w:val="auto"/>
        </w:rPr>
      </w:pPr>
      <w:r>
        <w:rPr>
          <w:rFonts w:ascii="Arial" w:cs="Arial" w:eastAsia="Arial" w:hAnsi="Arial"/>
          <w:sz w:val="17"/>
          <w:szCs w:val="17"/>
          <w:color w:val="auto"/>
        </w:rPr>
        <w:t>In June 2018, Legacy Humacyte entered into a distribution agreement with Fresenius Medical Care, pursuant to which Fresenius Medical Care has the exclusive right to develop outside of the United States and EU and commercialize outside of the United States, among other things, our 6 millimeter x 42cm HAV and all improvements thereto, and modifications and derivatives thereof (including any changes to the length, diameter, or configuration of the foregoing), referred to as the distribution product, for use in in vascular creation, repair and, replacement or construction (including renal replacement therapy for dialysis access, the treatment of vascular trauma, and the treatment of PAD, but excluding coronary artery bypass graft, pediatric heart surgery, or adhering pancreatic islet cells onto the outer surface of the distribution product for use in diabetic patients). For additional information regarding the terms of the distribution agreement, see “Business—Distribution.”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Yale University</w:t>
      </w:r>
    </w:p>
    <w:p>
      <w:pPr>
        <w:spacing w:after="0" w:line="18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Legacy Humacyte made research gifts to Yale University of $500,000 in 2018, $422,000 in 2019 and $500,000 in 2020, for use toward research efforts in regenerative medicine. Legacy Humacyte also entered into three license agreements with Yale University and has made payments of license fees and other expenses to Yale, as described further in the section titled “Business—Intellectual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William Tente</w:t>
      </w:r>
    </w:p>
    <w:p>
      <w:pPr>
        <w:spacing w:after="0" w:line="19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On September 13, 2019, Legacy Humacyte entered into an employment agreement with William Tente, which provides for his at-will employment as our Chief Regulatory Officer. Mr. Tente’s employment agreement provided for an initial annual base salary of $319,300, to be reviewed by Humacyte from time to time. Mr. Tente is also eligible for consideration to receive an annual incentive bonus. The amount of any bonus will be established annually based on objectives determined by Humacyte and Mr. Tente, and awarded in the sole discretion of the Humacyte Board. In general, except in the event that Mr. Tente’s employment is terminated without cause or he resigns for good reason, Mr. Tente must remain employed on the date any annual incentive bonus is paid in order to receive such bonus.</w:t>
      </w:r>
    </w:p>
    <w:p>
      <w:pPr>
        <w:spacing w:after="0" w:line="15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the event that Mr. Tente’s employment is terminated without cause or he resigns for good reason, including Humacyte’s material breach of Mr. Tente’s employment agreement or an uncured material adverse change in Mr. Tente’s compensation, as each such term is defined in his employment agreement, Humacyte will be obligated to pay him (i) an amount equal to six months of his then-current base salary (payable in substantially equal installments on the same payroll schedule applicable to her immediately prior to the termination of his employment) and (ii) a pro rata portion, calculated per diem, of his bonus for the then-current fiscal year (as well as any accrued, earned and unpaid bonus from the preceding fiscal year). Each of the severance payments described above is subject to Mr. Tente’s timely execution of a general release of potential claims against Humacyte and his compliance with his non-competition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 with Dale Sander</w:t>
      </w:r>
    </w:p>
    <w:p>
      <w:pPr>
        <w:spacing w:after="0" w:line="19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January 2021, Legacy Humacyte entered into a consulting agreement with Dale Sander. Under the consulting agreement, Legacy Humacyte paid Mr. Sander a consulting fee of $25,000 per month and reimbursed his reasonable and documented expenses. In connection with the entry into this consulting agreement, the Legacy Humacyte board of directors granted to Mr. Sander an option to purchase 700,000 shares of Legacy Humacyte common stock at an exercise price per share of $2.699. This consulting agreement was terminated effective as of April 29, 2021.</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The following summary of the material terms of our common stock and preferred stock is not intended to be a complete summary of the rights and preferences of such securities, and is qualified by reference to our Charter and Bylaws, which are exhibits to the registration statement of which this prospectus forms a part. We urge you to read our Charter and Bylaws in their entirety for a complete description of the rights and preferences of our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8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Charter authorizes the issuance of 270,000,000 shares, consisting of 250,000,000 shares of common stock, $0.0001 par value per share, and 20,000,000 shares of preferred stock, $0.0001 par value. As of September 16, 2021, there were 103,003,384 shares of our common stock and no shares of preferred stock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our common stock.</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Voting Power</w:t>
      </w:r>
    </w:p>
    <w:p>
      <w:pPr>
        <w:spacing w:after="0" w:line="185"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the holders of Humacyte common stock possess all voting power for the election of the Board and all other matters requiring stockholder action. Holders of Humacyte common stock are entitled to one vote per share on matters to be voted on by stockholders.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Holders of Humacyte common stock will be entitled to receive such dividends, if any, as may be declared from time to time by the Board in its discretion out of funds legally available therefor. AHAC did not historically paid any cash dividends on its common stock and Humacyte does not intend to pay cash dividends in the foreseeable future. Any payment of cash dividends in the future will be dependent upon Humacyte’s revenues and earnings, if any, capital requirements and general financial conditions. In no event will any stock dividends or stock splits or combinations of stock be declared or made on Humacyte common stock unless the shares of Humacyte common stock at the time outstanding are treated equally and identically.</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Liquidation, Dissolution and Winding Up</w:t>
      </w:r>
    </w:p>
    <w:p>
      <w:pPr>
        <w:spacing w:after="0" w:line="19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the event of Humacyte’s voluntary or involuntary liquidation, dissolution, distribution of assets or winding-up, the holders of Humacyte common stock will be entitled to receive an equal amount per share of all of Humacyte’s assets of whatever kind available for distribution to stockholders, after the rights of the holders of the preferred stock have been satisfied.</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Preemptive or Other Rights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sinking fund provisions applicable to Humacyte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Charter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may, without stockholder approval, issue preferred stock with voting and other rights that could adversely affect the voting power and other rights of the holders of Humacyte common stock and could have anti-takeover effects. The ability of the Board to issue preferred stock without stockholder approval could have the effect of delaying, deferring or preventing a change of control of Humacyte or the removal of existing management. Humacyte has no preferred stock currently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Humacyte and certain of the stockholders of Humacyte and Legacy Humacyte are party to the Investor Rights and Lock-</w:t>
      </w:r>
    </w:p>
    <w:p>
      <w:pPr>
        <w:spacing w:after="0" w:line="35" w:lineRule="exact"/>
        <w:rPr>
          <w:sz w:val="20"/>
          <w:szCs w:val="20"/>
          <w:color w:val="auto"/>
        </w:rPr>
      </w:pPr>
    </w:p>
    <w:p>
      <w:pPr>
        <w:ind w:right="140"/>
        <w:spacing w:after="0" w:line="302" w:lineRule="auto"/>
        <w:rPr>
          <w:sz w:val="20"/>
          <w:szCs w:val="20"/>
          <w:color w:val="auto"/>
        </w:rPr>
      </w:pPr>
      <w:r>
        <w:rPr>
          <w:rFonts w:ascii="Arial" w:cs="Arial" w:eastAsia="Arial" w:hAnsi="Arial"/>
          <w:sz w:val="18"/>
          <w:szCs w:val="18"/>
          <w:color w:val="auto"/>
        </w:rPr>
        <w:t>up Agreement, pursuant to which, among other things, such stockholders were granted certain registration rights with respect to certain shares of securities held by them. See “Certain Relationships and Related Party Transactions Humacyte Related Party Transactions Investor Rights and Lock-up Agreement” for more information.</w:t>
      </w:r>
    </w:p>
    <w:p>
      <w:pPr>
        <w:sectPr>
          <w:pgSz w:w="11900" w:h="16838" w:orient="portrait"/>
          <w:cols w:equalWidth="0" w:num="1">
            <w:col w:w="9860"/>
          </w:cols>
          <w:pgMar w:left="980" w:top="125" w:right="1059" w:bottom="1440" w:gutter="0" w:footer="0" w:header="0"/>
        </w:sect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type w:val="continuous"/>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the Charter and Bylaws:</w:t>
      </w:r>
    </w:p>
    <w:p>
      <w:pPr>
        <w:spacing w:after="0" w:line="185" w:lineRule="exact"/>
        <w:rPr>
          <w:sz w:val="20"/>
          <w:szCs w:val="20"/>
          <w:color w:val="auto"/>
        </w:rPr>
      </w:pPr>
    </w:p>
    <w:p>
      <w:pPr>
        <w:ind w:left="680" w:right="260" w:hanging="321"/>
        <w:spacing w:after="0" w:line="277"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permit the Board to issue up to 20,000,000 shares of preferred stock, with any rights, preferences and privileges as they may designate, including the right to approve an acquisition or other change of control;</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the number of directors of Humacyte may be changed only by resolution of the Board;</w:t>
      </w:r>
    </w:p>
    <w:p>
      <w:pPr>
        <w:spacing w:after="0" w:line="184" w:lineRule="exact"/>
        <w:rPr>
          <w:rFonts w:ascii="Arial" w:cs="Arial" w:eastAsia="Arial" w:hAnsi="Arial"/>
          <w:sz w:val="18"/>
          <w:szCs w:val="18"/>
          <w:color w:val="auto"/>
        </w:rPr>
      </w:pPr>
    </w:p>
    <w:p>
      <w:pPr>
        <w:jc w:val="both"/>
        <w:ind w:left="680" w:right="160" w:hanging="321"/>
        <w:spacing w:after="0" w:line="263"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be removed only with cause by the holders of at least 66 ⅔% of all of Humacyte’s then-outstanding shares of capital stock entitled to vote generally at an election of directors;</w:t>
      </w:r>
    </w:p>
    <w:p>
      <w:pPr>
        <w:spacing w:after="0" w:line="143" w:lineRule="exact"/>
        <w:rPr>
          <w:rFonts w:ascii="Arial" w:cs="Arial" w:eastAsia="Arial" w:hAnsi="Arial"/>
          <w:sz w:val="18"/>
          <w:szCs w:val="18"/>
          <w:color w:val="auto"/>
        </w:rPr>
      </w:pPr>
    </w:p>
    <w:p>
      <w:pPr>
        <w:ind w:left="680" w:right="340" w:hanging="321"/>
        <w:spacing w:after="0" w:line="277"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29" w:lineRule="exact"/>
        <w:rPr>
          <w:rFonts w:ascii="Arial" w:cs="Arial" w:eastAsia="Arial" w:hAnsi="Arial"/>
          <w:sz w:val="18"/>
          <w:szCs w:val="18"/>
          <w:color w:val="auto"/>
        </w:rPr>
      </w:pPr>
    </w:p>
    <w:p>
      <w:pPr>
        <w:jc w:val="both"/>
        <w:ind w:left="680" w:right="120" w:hanging="321"/>
        <w:spacing w:after="0" w:line="263"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56"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special meetings of Humacyte’s stockholders may be called by (i) the chairperson of the Board, (ii) our chief executive officer or (iii) a majority of our Board;</w:t>
      </w:r>
    </w:p>
    <w:p>
      <w:pPr>
        <w:spacing w:after="0" w:line="129"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the Board will be divided into three classes of directors, with the classes to be as nearly equal as possible, and with the directors serving three-year terms (see the section titled “Management”), therefore making it more difficult for stockholders to change the composition of the Board; and</w:t>
      </w:r>
    </w:p>
    <w:p>
      <w:pPr>
        <w:spacing w:after="0" w:line="143" w:lineRule="exact"/>
        <w:rPr>
          <w:rFonts w:ascii="Arial" w:cs="Arial" w:eastAsia="Arial" w:hAnsi="Arial"/>
          <w:sz w:val="18"/>
          <w:szCs w:val="18"/>
          <w:color w:val="auto"/>
        </w:rPr>
      </w:pPr>
    </w:p>
    <w:p>
      <w:pPr>
        <w:ind w:left="680" w:right="260" w:hanging="321"/>
        <w:spacing w:after="0" w:line="342" w:lineRule="auto"/>
        <w:tabs>
          <w:tab w:leader="none" w:pos="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do not provide for cumulative voting rights, therefore allowing the holders of a majority of the shares of Humacyte common stock entitled to vote in any election of directors to elect all of the directors standing for election, if they should so choose.</w:t>
      </w:r>
    </w:p>
    <w:p>
      <w:pPr>
        <w:spacing w:after="0" w:line="9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combination of these provisions will make it more difficult for the existing stockholders to replace the Board as well as for another party to obtain control of Humacyte by replacing the Board. Because the Board has the power to retain and discharge its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control of Humacyte.</w:t>
      </w:r>
    </w:p>
    <w:p>
      <w:pPr>
        <w:spacing w:after="0" w:line="13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the Board and its policies and to discourage coercive takeover practices and inadequate takeover bids. These provisions are also designed to reduce Humacyte’s vulnerability to hostile takeovers and to discourage certain tactics that may be used in proxy fights. However, such provisions could have the effect of discouraging others from making tender offers for Humacyte’s shares and may have the effect of delaying changes in our control or management. As a consequence, these provisions may also inhibit fluctuations in the market price of Humacyte’s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Anti-Takeover Provisions of Delaware Law</w:t>
      </w:r>
    </w:p>
    <w:p>
      <w:pPr>
        <w:spacing w:after="0" w:line="19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Humacyte is subject to the provisions of Section 203 of the DGCL. This statute prevents certain Delaware corporations, under certain circumstances, from engaging in a “business combination” with:</w:t>
      </w:r>
    </w:p>
    <w:p>
      <w:pPr>
        <w:spacing w:after="0" w:line="130" w:lineRule="exact"/>
        <w:rPr>
          <w:sz w:val="20"/>
          <w:szCs w:val="20"/>
          <w:color w:val="auto"/>
        </w:rPr>
      </w:pPr>
    </w:p>
    <w:p>
      <w:pPr>
        <w:ind w:left="680" w:hanging="321"/>
        <w:spacing w:after="0"/>
        <w:tabs>
          <w:tab w:leader="none" w:pos="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stockholder who owns 15% or more of our outstanding voting stock (otherwise known as an “interested stockholder”);</w:t>
      </w:r>
    </w:p>
    <w:p>
      <w:pPr>
        <w:spacing w:after="0" w:line="196" w:lineRule="exact"/>
        <w:rPr>
          <w:rFonts w:ascii="Arial" w:cs="Arial" w:eastAsia="Arial" w:hAnsi="Arial"/>
          <w:sz w:val="17"/>
          <w:szCs w:val="17"/>
          <w:color w:val="auto"/>
        </w:rPr>
      </w:pPr>
    </w:p>
    <w:p>
      <w:pPr>
        <w:ind w:left="680" w:hanging="321"/>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98" w:lineRule="exact"/>
        <w:rPr>
          <w:rFonts w:ascii="Arial" w:cs="Arial" w:eastAsia="Arial" w:hAnsi="Arial"/>
          <w:sz w:val="18"/>
          <w:szCs w:val="18"/>
          <w:color w:val="auto"/>
        </w:rPr>
      </w:pPr>
    </w:p>
    <w:p>
      <w:pPr>
        <w:ind w:left="680" w:right="800" w:hanging="321"/>
        <w:spacing w:after="0" w:line="277"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“business combination” includes a merger or sale of more than 10% of a corporation’s assets. However, the above provisions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203 would not apply if:</w:t>
      </w:r>
    </w:p>
    <w:p>
      <w:pPr>
        <w:spacing w:after="0" w:line="184" w:lineRule="exact"/>
        <w:rPr>
          <w:sz w:val="20"/>
          <w:szCs w:val="20"/>
          <w:color w:val="auto"/>
        </w:rPr>
      </w:pPr>
    </w:p>
    <w:p>
      <w:pPr>
        <w:ind w:left="680" w:hanging="321"/>
        <w:spacing w:after="0" w:line="277" w:lineRule="auto"/>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relevant board of directors approves the transaction that made the stockholder an “interested stockholder,” prior to the date of the transaction;</w:t>
      </w:r>
    </w:p>
    <w:p>
      <w:pPr>
        <w:spacing w:after="0" w:line="129" w:lineRule="exact"/>
        <w:rPr>
          <w:rFonts w:ascii="Arial" w:cs="Arial" w:eastAsia="Arial" w:hAnsi="Arial"/>
          <w:sz w:val="18"/>
          <w:szCs w:val="18"/>
          <w:color w:val="auto"/>
        </w:rPr>
      </w:pPr>
    </w:p>
    <w:p>
      <w:pPr>
        <w:ind w:left="680" w:hanging="321"/>
        <w:spacing w:after="0" w:line="263" w:lineRule="auto"/>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w:t>
      </w:r>
    </w:p>
    <w:p>
      <w:pPr>
        <w:spacing w:after="0" w:line="143" w:lineRule="exact"/>
        <w:rPr>
          <w:rFonts w:ascii="Arial" w:cs="Arial" w:eastAsia="Arial" w:hAnsi="Arial"/>
          <w:sz w:val="18"/>
          <w:szCs w:val="18"/>
          <w:color w:val="auto"/>
        </w:rPr>
      </w:pPr>
    </w:p>
    <w:p>
      <w:pPr>
        <w:ind w:left="680" w:right="200" w:hanging="321"/>
        <w:spacing w:after="0" w:line="263" w:lineRule="auto"/>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the board of directors and authorized at a meeting of the corporation’s stockholders, and not by written consent, by an affirmative vote of at least two-thirds of the outstanding voting stock not owned by the interested stockholder.</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provisions may have the effect of delaying, deferring, or preventing changes in control of Humacyte.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125" w:right="11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02"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This prospectus relates to the resale by the selling stockholders from time to time of up to 90,069,340 shares of common stock, which consists of (i) up to 17,500,000 PIPE Shares issued in the PIPE Investment, (ii) up to 71,759,179 shares of common stock pursuant to the Investor Rights and Lock-up Agreement and (iii) up to 810,161 shares of common stock purchased by a selling stockholder. We will not receive any proceeds from the sale of shares of common stock by the selling stockholders pursuant to this prospectus.</w:t>
      </w:r>
    </w:p>
    <w:p>
      <w:pPr>
        <w:spacing w:after="0" w:line="117"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The selling stockholders may from time to time offer and sell any or all of the common stock set forth below pursuant to this prospectus and any accompanying prospectus supplement. As used in this prospectus, the term “selling stockholders” includes the persons listed in the table below, together with any additional selling stockholders listed in a subsequent amendment to this prospectus, and their pledgees, donees, transferees, assignees, successors, designees and others who later come to hold any of the selling stockholders’ interests in the common stock, other than through a public sale.</w:t>
      </w:r>
    </w:p>
    <w:p>
      <w:pPr>
        <w:spacing w:after="0" w:line="13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Selling stockholders holding 71,759,179 shares of common stock set forth below are subject to the terms of the Investor Rights and Lock-up Agreement, which includes restrictions on transfer until the termination of applicable lock-up periods. Under the Investor Rights and Lock-up Agreement, such selling stockholders (i) agreed not to effect any sale or distribution of any shares held by any of them during the one-year lock-up period described therein, subject to certain exceptions, and (ii) were granted certain registration rights with respect to certain shares of common stock held by them. See "Certain Relationships and Related Party Transactions — Humacyte Related Party Transactions" for further discussion.</w:t>
      </w:r>
    </w:p>
    <w:p>
      <w:pPr>
        <w:spacing w:after="0" w:line="16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Except as set forth in the footnotes below, the following table sets forth certain information as of September 17, 2021 regarding the beneficial ownership of our common stock by the selling stockholders and the shares of common stock being offered by the selling stockholders. The applicable percentage ownership of common stock is based on approximately 103,003,384 shares of common stock outstanding as of September 16, 2021. Information with respect to shares of common stock owned beneficially after the offering assumes the sale of all of the shares of common stock registered hereby. The selling stockholders may offer and sell some, all or none of their shares of common stock.</w:t>
      </w:r>
    </w:p>
    <w:p>
      <w:pPr>
        <w:spacing w:after="0" w:line="1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46"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Unless otherwise noted in the footnotes to the following table, and subject to applicable community property laws, the persons and entities named in the table have sole voting and investment power with respect to their beneficially owned common stock.</w:t>
      </w:r>
    </w:p>
    <w:p>
      <w:pPr>
        <w:spacing w:after="0" w:line="8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Please see the section titled “Plan of Distribution” in this prospectus for further information regarding the selling stockholders’ method of distributing these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Shares of Common Stock</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11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Number</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Registered</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Owned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4"/>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6"/>
              </w:rPr>
              <w:t>Owned Prior</w:t>
            </w:r>
          </w:p>
        </w:tc>
        <w:tc>
          <w:tcPr>
            <w:tcW w:w="136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3"/>
              </w:rPr>
              <w:t>for Sale</w:t>
            </w:r>
          </w:p>
        </w:tc>
        <w:tc>
          <w:tcPr>
            <w:tcW w:w="116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7"/>
              </w:rPr>
              <w:t>After</w:t>
            </w:r>
          </w:p>
        </w:tc>
        <w:tc>
          <w:tcPr>
            <w:tcW w:w="6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6"/>
        </w:trPr>
        <w:tc>
          <w:tcPr>
            <w:tcW w:w="390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to Offering</w:t>
            </w:r>
          </w:p>
        </w:tc>
        <w:tc>
          <w:tcPr>
            <w:tcW w:w="1360" w:type="dxa"/>
            <w:vAlign w:val="bottom"/>
            <w:gridSpan w:val="2"/>
          </w:tcPr>
          <w:p>
            <w:pPr>
              <w:jc w:val="center"/>
              <w:ind w:right="160"/>
              <w:spacing w:after="0" w:line="176" w:lineRule="exact"/>
              <w:rPr>
                <w:sz w:val="20"/>
                <w:szCs w:val="20"/>
                <w:color w:val="auto"/>
              </w:rPr>
            </w:pPr>
            <w:r>
              <w:rPr>
                <w:rFonts w:ascii="Arial" w:cs="Arial" w:eastAsia="Arial" w:hAnsi="Arial"/>
                <w:sz w:val="14"/>
                <w:szCs w:val="14"/>
                <w:b w:val="1"/>
                <w:bCs w:val="1"/>
                <w:color w:val="auto"/>
                <w:w w:val="88"/>
              </w:rPr>
              <w:t xml:space="preserve">Hereby </w:t>
            </w:r>
            <w:r>
              <w:rPr>
                <w:rFonts w:ascii="Arial" w:cs="Arial" w:eastAsia="Arial" w:hAnsi="Arial"/>
                <w:sz w:val="20"/>
                <w:szCs w:val="20"/>
                <w:b w:val="1"/>
                <w:bCs w:val="1"/>
                <w:color w:val="auto"/>
                <w:w w:val="88"/>
                <w:vertAlign w:val="superscript"/>
              </w:rPr>
              <w:t>(1)</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Offering</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360 Family Office Fund LLC</w:t>
            </w:r>
          </w:p>
        </w:tc>
        <w:tc>
          <w:tcPr>
            <w:tcW w:w="2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62,500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715 Management</w:t>
            </w:r>
          </w:p>
        </w:tc>
        <w:tc>
          <w:tcPr>
            <w:tcW w:w="2680" w:type="dxa"/>
            <w:vAlign w:val="bottom"/>
            <w:gridSpan w:val="3"/>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1,250</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Aaron Fencil</w:t>
            </w:r>
          </w:p>
        </w:tc>
        <w:tc>
          <w:tcPr>
            <w:tcW w:w="2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27,545</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27,545</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Adam B. Fencil</w:t>
            </w:r>
          </w:p>
        </w:tc>
        <w:tc>
          <w:tcPr>
            <w:tcW w:w="2840" w:type="dxa"/>
            <w:vAlign w:val="bottom"/>
            <w:gridSpan w:val="4"/>
          </w:tcPr>
          <w:p>
            <w:pPr>
              <w:jc w:val="right"/>
              <w:ind w:right="160"/>
              <w:spacing w:after="0"/>
              <w:rPr>
                <w:sz w:val="20"/>
                <w:szCs w:val="20"/>
                <w:color w:val="auto"/>
              </w:rPr>
            </w:pPr>
            <w:r>
              <w:rPr>
                <w:rFonts w:ascii="Arial" w:cs="Arial" w:eastAsia="Arial" w:hAnsi="Arial"/>
                <w:sz w:val="18"/>
                <w:szCs w:val="18"/>
                <w:color w:val="auto"/>
              </w:rPr>
              <w:t>38,122</w:t>
            </w:r>
          </w:p>
        </w:tc>
        <w:tc>
          <w:tcPr>
            <w:tcW w:w="1200" w:type="dxa"/>
            <w:vAlign w:val="bottom"/>
          </w:tcPr>
          <w:p>
            <w:pPr>
              <w:jc w:val="right"/>
              <w:spacing w:after="0"/>
              <w:rPr>
                <w:sz w:val="20"/>
                <w:szCs w:val="20"/>
                <w:color w:val="auto"/>
              </w:rPr>
            </w:pPr>
            <w:r>
              <w:rPr>
                <w:rFonts w:ascii="Arial" w:cs="Arial" w:eastAsia="Arial" w:hAnsi="Arial"/>
                <w:sz w:val="18"/>
                <w:szCs w:val="18"/>
                <w:color w:val="auto"/>
              </w:rPr>
              <w:t>38,122</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AI Humacyte Holdings LLC </w:t>
            </w:r>
            <w:r>
              <w:rPr>
                <w:rFonts w:ascii="Arial" w:cs="Arial" w:eastAsia="Arial" w:hAnsi="Arial"/>
                <w:sz w:val="25"/>
                <w:szCs w:val="25"/>
                <w:color w:val="auto"/>
                <w:vertAlign w:val="superscript"/>
              </w:rPr>
              <w:t>(2)</w:t>
            </w:r>
          </w:p>
        </w:tc>
        <w:tc>
          <w:tcPr>
            <w:tcW w:w="2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2,377,410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2,377,410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line="216" w:lineRule="exact"/>
              <w:rPr>
                <w:sz w:val="20"/>
                <w:szCs w:val="20"/>
                <w:color w:val="auto"/>
              </w:rPr>
            </w:pPr>
            <w:r>
              <w:rPr>
                <w:rFonts w:ascii="Arial" w:cs="Arial" w:eastAsia="Arial" w:hAnsi="Arial"/>
                <w:sz w:val="17"/>
                <w:szCs w:val="17"/>
                <w:color w:val="auto"/>
              </w:rPr>
              <w:t xml:space="preserve">Alexandria Venture Investments, LLC </w:t>
            </w:r>
            <w:r>
              <w:rPr>
                <w:rFonts w:ascii="Arial" w:cs="Arial" w:eastAsia="Arial" w:hAnsi="Arial"/>
                <w:sz w:val="25"/>
                <w:szCs w:val="25"/>
                <w:color w:val="auto"/>
                <w:vertAlign w:val="superscript"/>
              </w:rPr>
              <w:t>(3)</w:t>
            </w:r>
          </w:p>
        </w:tc>
        <w:tc>
          <w:tcPr>
            <w:tcW w:w="2840" w:type="dxa"/>
            <w:vAlign w:val="bottom"/>
            <w:gridSpan w:val="4"/>
          </w:tcPr>
          <w:p>
            <w:pPr>
              <w:jc w:val="right"/>
              <w:ind w:right="160"/>
              <w:spacing w:after="0"/>
              <w:rPr>
                <w:sz w:val="20"/>
                <w:szCs w:val="20"/>
                <w:color w:val="auto"/>
              </w:rPr>
            </w:pPr>
            <w:r>
              <w:rPr>
                <w:rFonts w:ascii="Arial" w:cs="Arial" w:eastAsia="Arial" w:hAnsi="Arial"/>
                <w:sz w:val="18"/>
                <w:szCs w:val="18"/>
                <w:color w:val="auto"/>
              </w:rPr>
              <w:t>916,791</w:t>
            </w:r>
          </w:p>
        </w:tc>
        <w:tc>
          <w:tcPr>
            <w:tcW w:w="1200" w:type="dxa"/>
            <w:vAlign w:val="bottom"/>
          </w:tcPr>
          <w:p>
            <w:pPr>
              <w:jc w:val="right"/>
              <w:spacing w:after="0"/>
              <w:rPr>
                <w:sz w:val="20"/>
                <w:szCs w:val="20"/>
                <w:color w:val="auto"/>
              </w:rPr>
            </w:pPr>
            <w:r>
              <w:rPr>
                <w:rFonts w:ascii="Arial" w:cs="Arial" w:eastAsia="Arial" w:hAnsi="Arial"/>
                <w:sz w:val="18"/>
                <w:szCs w:val="18"/>
                <w:color w:val="auto"/>
              </w:rPr>
              <w:t>916,791</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AM Global Investments (Cayman) </w:t>
            </w:r>
            <w:r>
              <w:rPr>
                <w:rFonts w:ascii="Arial" w:cs="Arial" w:eastAsia="Arial" w:hAnsi="Arial"/>
                <w:sz w:val="25"/>
                <w:szCs w:val="25"/>
                <w:color w:val="auto"/>
                <w:vertAlign w:val="superscript"/>
              </w:rPr>
              <w:t>(4)</w:t>
            </w:r>
          </w:p>
        </w:tc>
        <w:tc>
          <w:tcPr>
            <w:tcW w:w="2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1,988,795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1,988,795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Antonio Farnos</w:t>
            </w:r>
          </w:p>
        </w:tc>
        <w:tc>
          <w:tcPr>
            <w:tcW w:w="2840" w:type="dxa"/>
            <w:vAlign w:val="bottom"/>
            <w:gridSpan w:val="4"/>
          </w:tcPr>
          <w:p>
            <w:pPr>
              <w:jc w:val="right"/>
              <w:ind w:right="160"/>
              <w:spacing w:after="0"/>
              <w:rPr>
                <w:sz w:val="20"/>
                <w:szCs w:val="20"/>
                <w:color w:val="auto"/>
              </w:rPr>
            </w:pPr>
            <w:r>
              <w:rPr>
                <w:rFonts w:ascii="Arial" w:cs="Arial" w:eastAsia="Arial" w:hAnsi="Arial"/>
                <w:sz w:val="18"/>
                <w:szCs w:val="18"/>
                <w:color w:val="auto"/>
              </w:rPr>
              <w:t>50,000</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Aric Hart</w:t>
            </w:r>
          </w:p>
        </w:tc>
        <w:tc>
          <w:tcPr>
            <w:tcW w:w="2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12,500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line="216" w:lineRule="exact"/>
              <w:rPr>
                <w:sz w:val="20"/>
                <w:szCs w:val="20"/>
                <w:color w:val="auto"/>
              </w:rPr>
            </w:pPr>
            <w:r>
              <w:rPr>
                <w:rFonts w:ascii="Arial" w:cs="Arial" w:eastAsia="Arial" w:hAnsi="Arial"/>
                <w:sz w:val="17"/>
                <w:szCs w:val="17"/>
                <w:color w:val="auto"/>
              </w:rPr>
              <w:t xml:space="preserve">Ayabudge LLC </w:t>
            </w:r>
            <w:r>
              <w:rPr>
                <w:rFonts w:ascii="Arial" w:cs="Arial" w:eastAsia="Arial" w:hAnsi="Arial"/>
                <w:sz w:val="25"/>
                <w:szCs w:val="25"/>
                <w:color w:val="auto"/>
                <w:vertAlign w:val="superscript"/>
              </w:rPr>
              <w:t>(5)</w:t>
            </w:r>
          </w:p>
        </w:tc>
        <w:tc>
          <w:tcPr>
            <w:tcW w:w="2840" w:type="dxa"/>
            <w:vAlign w:val="bottom"/>
            <w:gridSpan w:val="4"/>
          </w:tcPr>
          <w:p>
            <w:pPr>
              <w:jc w:val="right"/>
              <w:ind w:right="160"/>
              <w:spacing w:after="0"/>
              <w:rPr>
                <w:sz w:val="20"/>
                <w:szCs w:val="20"/>
                <w:color w:val="auto"/>
              </w:rPr>
            </w:pPr>
            <w:r>
              <w:rPr>
                <w:rFonts w:ascii="Arial" w:cs="Arial" w:eastAsia="Arial" w:hAnsi="Arial"/>
                <w:sz w:val="18"/>
                <w:szCs w:val="18"/>
                <w:color w:val="auto"/>
              </w:rPr>
              <w:t>20,452,504</w:t>
            </w:r>
          </w:p>
        </w:tc>
        <w:tc>
          <w:tcPr>
            <w:tcW w:w="1200" w:type="dxa"/>
            <w:vAlign w:val="bottom"/>
          </w:tcPr>
          <w:p>
            <w:pPr>
              <w:jc w:val="right"/>
              <w:spacing w:after="0"/>
              <w:rPr>
                <w:sz w:val="20"/>
                <w:szCs w:val="20"/>
                <w:color w:val="auto"/>
              </w:rPr>
            </w:pPr>
            <w:r>
              <w:rPr>
                <w:rFonts w:ascii="Arial" w:cs="Arial" w:eastAsia="Arial" w:hAnsi="Arial"/>
                <w:sz w:val="18"/>
                <w:szCs w:val="18"/>
                <w:color w:val="auto"/>
              </w:rPr>
              <w:t>20,452,504</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Brady W. Dougan </w:t>
            </w:r>
            <w:r>
              <w:rPr>
                <w:rFonts w:ascii="Arial" w:cs="Arial" w:eastAsia="Arial" w:hAnsi="Arial"/>
                <w:sz w:val="25"/>
                <w:szCs w:val="25"/>
                <w:color w:val="auto"/>
                <w:vertAlign w:val="superscript"/>
              </w:rPr>
              <w:t>(6)</w:t>
            </w:r>
          </w:p>
        </w:tc>
        <w:tc>
          <w:tcPr>
            <w:tcW w:w="2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810,161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Bangkok Bank Public Company Limited</w:t>
            </w:r>
          </w:p>
        </w:tc>
        <w:tc>
          <w:tcPr>
            <w:tcW w:w="2840" w:type="dxa"/>
            <w:vAlign w:val="bottom"/>
            <w:gridSpan w:val="4"/>
          </w:tcPr>
          <w:p>
            <w:pPr>
              <w:jc w:val="right"/>
              <w:ind w:right="160"/>
              <w:spacing w:after="0"/>
              <w:rPr>
                <w:sz w:val="20"/>
                <w:szCs w:val="20"/>
                <w:color w:val="auto"/>
              </w:rPr>
            </w:pPr>
            <w:r>
              <w:rPr>
                <w:rFonts w:ascii="Arial" w:cs="Arial" w:eastAsia="Arial" w:hAnsi="Arial"/>
                <w:sz w:val="18"/>
                <w:szCs w:val="18"/>
                <w:color w:val="auto"/>
              </w:rPr>
              <w:t>2,739,208</w:t>
            </w:r>
          </w:p>
        </w:tc>
        <w:tc>
          <w:tcPr>
            <w:tcW w:w="1200" w:type="dxa"/>
            <w:vAlign w:val="bottom"/>
          </w:tcPr>
          <w:p>
            <w:pPr>
              <w:jc w:val="right"/>
              <w:spacing w:after="0"/>
              <w:rPr>
                <w:sz w:val="20"/>
                <w:szCs w:val="20"/>
                <w:color w:val="auto"/>
              </w:rPr>
            </w:pPr>
            <w:r>
              <w:rPr>
                <w:rFonts w:ascii="Arial" w:cs="Arial" w:eastAsia="Arial" w:hAnsi="Arial"/>
                <w:sz w:val="18"/>
                <w:szCs w:val="18"/>
                <w:color w:val="auto"/>
              </w:rPr>
              <w:t>2,739,208</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Behbehani Finance Company </w:t>
            </w:r>
            <w:r>
              <w:rPr>
                <w:rFonts w:ascii="Arial" w:cs="Arial" w:eastAsia="Arial" w:hAnsi="Arial"/>
                <w:sz w:val="25"/>
                <w:szCs w:val="25"/>
                <w:color w:val="auto"/>
                <w:vertAlign w:val="superscript"/>
              </w:rPr>
              <w:t>(7)</w:t>
            </w:r>
          </w:p>
        </w:tc>
        <w:tc>
          <w:tcPr>
            <w:tcW w:w="2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442,081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442,081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5" w:right="99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Shares of Common Stock</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11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Number</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Registered</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Owned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4"/>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3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6"/>
              </w:rPr>
              <w:t>Owned Prior</w:t>
            </w:r>
          </w:p>
        </w:tc>
        <w:tc>
          <w:tcPr>
            <w:tcW w:w="13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for Sale</w:t>
            </w:r>
          </w:p>
        </w:tc>
        <w:tc>
          <w:tcPr>
            <w:tcW w:w="11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7"/>
              </w:rPr>
              <w:t>After</w:t>
            </w: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5"/>
        </w:trPr>
        <w:tc>
          <w:tcPr>
            <w:tcW w:w="5400" w:type="dxa"/>
            <w:vAlign w:val="bottom"/>
            <w:gridSpan w:val="3"/>
            <w:vMerge w:val="continue"/>
          </w:tcPr>
          <w:p>
            <w:pPr>
              <w:spacing w:after="0"/>
              <w:rPr>
                <w:sz w:val="15"/>
                <w:szCs w:val="15"/>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to Offering</w:t>
            </w:r>
          </w:p>
        </w:tc>
        <w:tc>
          <w:tcPr>
            <w:tcW w:w="1360" w:type="dxa"/>
            <w:vAlign w:val="bottom"/>
            <w:gridSpan w:val="2"/>
          </w:tcPr>
          <w:p>
            <w:pPr>
              <w:jc w:val="center"/>
              <w:ind w:right="160"/>
              <w:spacing w:after="0" w:line="176" w:lineRule="exact"/>
              <w:rPr>
                <w:sz w:val="20"/>
                <w:szCs w:val="20"/>
                <w:color w:val="auto"/>
              </w:rPr>
            </w:pPr>
            <w:r>
              <w:rPr>
                <w:rFonts w:ascii="Arial" w:cs="Arial" w:eastAsia="Arial" w:hAnsi="Arial"/>
                <w:sz w:val="14"/>
                <w:szCs w:val="14"/>
                <w:b w:val="1"/>
                <w:bCs w:val="1"/>
                <w:color w:val="auto"/>
                <w:w w:val="88"/>
              </w:rPr>
              <w:t xml:space="preserve">Hereby </w:t>
            </w:r>
            <w:r>
              <w:rPr>
                <w:rFonts w:ascii="Arial" w:cs="Arial" w:eastAsia="Arial" w:hAnsi="Arial"/>
                <w:sz w:val="20"/>
                <w:szCs w:val="20"/>
                <w:b w:val="1"/>
                <w:bCs w:val="1"/>
                <w:color w:val="auto"/>
                <w:w w:val="88"/>
                <w:vertAlign w:val="superscript"/>
              </w:rPr>
              <w:t>(1)</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Offering</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tcPr>
          <w:p>
            <w:pPr>
              <w:spacing w:after="0" w:line="210" w:lineRule="exact"/>
              <w:rPr>
                <w:sz w:val="20"/>
                <w:szCs w:val="20"/>
                <w:color w:val="auto"/>
              </w:rPr>
            </w:pPr>
            <w:r>
              <w:rPr>
                <w:rFonts w:ascii="Arial" w:cs="Arial" w:eastAsia="Arial" w:hAnsi="Arial"/>
                <w:sz w:val="17"/>
                <w:szCs w:val="17"/>
                <w:color w:val="auto"/>
              </w:rPr>
              <w:t xml:space="preserve">BEMAP Master Fund Ltd </w:t>
            </w:r>
            <w:r>
              <w:rPr>
                <w:rFonts w:ascii="Arial" w:cs="Arial" w:eastAsia="Arial" w:hAnsi="Arial"/>
                <w:sz w:val="24"/>
                <w:szCs w:val="24"/>
                <w:color w:val="auto"/>
                <w:vertAlign w:val="superscript"/>
              </w:rPr>
              <w:t>(8)</w:t>
            </w:r>
          </w:p>
        </w:tc>
        <w:tc>
          <w:tcPr>
            <w:tcW w:w="1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194,189</w:t>
            </w:r>
          </w:p>
        </w:tc>
        <w:tc>
          <w:tcPr>
            <w:tcW w:w="16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194,189</w:t>
            </w:r>
          </w:p>
        </w:tc>
        <w:tc>
          <w:tcPr>
            <w:tcW w:w="160" w:type="dxa"/>
            <w:vAlign w:val="bottom"/>
          </w:tcPr>
          <w:p>
            <w:pPr>
              <w:spacing w:after="0"/>
              <w:rPr>
                <w:sz w:val="18"/>
                <w:szCs w:val="18"/>
                <w:color w:val="auto"/>
              </w:rPr>
            </w:pPr>
          </w:p>
        </w:tc>
        <w:tc>
          <w:tcPr>
            <w:tcW w:w="9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6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Kwasnick</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Bernard Heng Jin Meng</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98,012</w:t>
            </w:r>
          </w:p>
        </w:tc>
        <w:tc>
          <w:tcPr>
            <w:tcW w:w="1200" w:type="dxa"/>
            <w:vAlign w:val="bottom"/>
          </w:tcPr>
          <w:p>
            <w:pPr>
              <w:jc w:val="right"/>
              <w:spacing w:after="0"/>
              <w:rPr>
                <w:sz w:val="20"/>
                <w:szCs w:val="20"/>
                <w:color w:val="auto"/>
              </w:rPr>
            </w:pPr>
            <w:r>
              <w:rPr>
                <w:rFonts w:ascii="Arial" w:cs="Arial" w:eastAsia="Arial" w:hAnsi="Arial"/>
                <w:sz w:val="18"/>
                <w:szCs w:val="18"/>
                <w:color w:val="auto"/>
              </w:rPr>
              <w:t>98,012</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Bespoke Alpha MAC MIM LP</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25,148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Brennan C. Todd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1,250</w:t>
            </w:r>
          </w:p>
        </w:tc>
        <w:tc>
          <w:tcPr>
            <w:tcW w:w="1200" w:type="dxa"/>
            <w:vAlign w:val="bottom"/>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Brian Robertson </w:t>
            </w:r>
            <w:r>
              <w:rPr>
                <w:rFonts w:ascii="Arial" w:cs="Arial" w:eastAsia="Arial" w:hAnsi="Arial"/>
                <w:sz w:val="25"/>
                <w:szCs w:val="25"/>
                <w:color w:val="auto"/>
                <w:vertAlign w:val="superscript"/>
              </w:rPr>
              <w:t>(9)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Bruce A. Springer </w:t>
            </w:r>
            <w:r>
              <w:rPr>
                <w:rFonts w:ascii="Arial" w:cs="Arial" w:eastAsia="Arial" w:hAnsi="Arial"/>
                <w:sz w:val="25"/>
                <w:szCs w:val="25"/>
                <w:color w:val="auto"/>
                <w:vertAlign w:val="superscript"/>
              </w:rPr>
              <w:t>(10)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Busolantix Investment S.A. </w:t>
            </w:r>
            <w:r>
              <w:rPr>
                <w:rFonts w:ascii="Arial" w:cs="Arial" w:eastAsia="Arial" w:hAnsi="Arial"/>
                <w:sz w:val="25"/>
                <w:szCs w:val="25"/>
                <w:color w:val="auto"/>
                <w:vertAlign w:val="superscript"/>
              </w:rPr>
              <w:t>(11)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599,536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Carlos Phillips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62,500</w:t>
            </w:r>
          </w:p>
        </w:tc>
        <w:tc>
          <w:tcPr>
            <w:tcW w:w="1200" w:type="dxa"/>
            <w:vAlign w:val="bottom"/>
          </w:tcPr>
          <w:p>
            <w:pPr>
              <w:jc w:val="right"/>
              <w:spacing w:after="0"/>
              <w:rPr>
                <w:sz w:val="20"/>
                <w:szCs w:val="20"/>
                <w:color w:val="auto"/>
              </w:rPr>
            </w:pPr>
            <w:r>
              <w:rPr>
                <w:rFonts w:ascii="Arial" w:cs="Arial" w:eastAsia="Arial" w:hAnsi="Arial"/>
                <w:sz w:val="18"/>
                <w:szCs w:val="18"/>
                <w:color w:val="auto"/>
              </w:rPr>
              <w:t>62,500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Carolyn Specht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Carrie S. Cox</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756,848</w:t>
            </w:r>
          </w:p>
        </w:tc>
        <w:tc>
          <w:tcPr>
            <w:tcW w:w="1200" w:type="dxa"/>
            <w:vAlign w:val="bottom"/>
          </w:tcPr>
          <w:p>
            <w:pPr>
              <w:jc w:val="right"/>
              <w:spacing w:after="0"/>
              <w:rPr>
                <w:sz w:val="20"/>
                <w:szCs w:val="20"/>
                <w:color w:val="auto"/>
              </w:rPr>
            </w:pPr>
            <w:r>
              <w:rPr>
                <w:rFonts w:ascii="Arial" w:cs="Arial" w:eastAsia="Arial" w:hAnsi="Arial"/>
                <w:sz w:val="18"/>
                <w:szCs w:val="18"/>
                <w:color w:val="auto"/>
              </w:rPr>
              <w:t>756,848</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Challenger Universal Limited </w:t>
            </w:r>
            <w:r>
              <w:rPr>
                <w:rFonts w:ascii="Arial" w:cs="Arial" w:eastAsia="Arial" w:hAnsi="Arial"/>
                <w:sz w:val="25"/>
                <w:szCs w:val="25"/>
                <w:color w:val="auto"/>
                <w:vertAlign w:val="superscript"/>
              </w:rPr>
              <w:t>(12)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2,194,604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2,194,604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Christopher Metcalfe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Metcalfe Charitable Remainder Unitrust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CVI Investments, Inc. </w:t>
            </w:r>
            <w:r>
              <w:rPr>
                <w:rFonts w:ascii="Arial" w:cs="Arial" w:eastAsia="Arial" w:hAnsi="Arial"/>
                <w:sz w:val="25"/>
                <w:szCs w:val="25"/>
                <w:color w:val="auto"/>
                <w:vertAlign w:val="superscript"/>
              </w:rPr>
              <w:t>(13)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12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Wilson Ervin</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276,821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Dan Friis Alternatives Ltd. </w:t>
            </w:r>
            <w:r>
              <w:rPr>
                <w:rFonts w:ascii="Arial" w:cs="Arial" w:eastAsia="Arial" w:hAnsi="Arial"/>
                <w:sz w:val="25"/>
                <w:szCs w:val="25"/>
                <w:color w:val="auto"/>
                <w:vertAlign w:val="superscript"/>
              </w:rPr>
              <w:t>(14)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619,364</w:t>
            </w:r>
          </w:p>
        </w:tc>
        <w:tc>
          <w:tcPr>
            <w:tcW w:w="1200" w:type="dxa"/>
            <w:vAlign w:val="bottom"/>
          </w:tcPr>
          <w:p>
            <w:pPr>
              <w:jc w:val="right"/>
              <w:spacing w:after="0"/>
              <w:rPr>
                <w:sz w:val="20"/>
                <w:szCs w:val="20"/>
                <w:color w:val="auto"/>
              </w:rPr>
            </w:pPr>
            <w:r>
              <w:rPr>
                <w:rFonts w:ascii="Arial" w:cs="Arial" w:eastAsia="Arial" w:hAnsi="Arial"/>
                <w:sz w:val="18"/>
                <w:szCs w:val="18"/>
                <w:color w:val="auto"/>
              </w:rPr>
              <w:t>619,364</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Dataspring Limited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293,913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Dinan Family Foundation </w:t>
            </w:r>
            <w:r>
              <w:rPr>
                <w:rFonts w:ascii="Arial" w:cs="Arial" w:eastAsia="Arial" w:hAnsi="Arial"/>
                <w:sz w:val="25"/>
                <w:szCs w:val="25"/>
                <w:color w:val="auto"/>
                <w:vertAlign w:val="superscript"/>
              </w:rPr>
              <w:t>(15)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20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Dinan Family LP </w:t>
            </w:r>
            <w:r>
              <w:rPr>
                <w:rFonts w:ascii="Arial" w:cs="Arial" w:eastAsia="Arial" w:hAnsi="Arial"/>
                <w:sz w:val="25"/>
                <w:szCs w:val="25"/>
                <w:color w:val="auto"/>
                <w:vertAlign w:val="superscript"/>
              </w:rPr>
              <w:t>(16)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Dinan Management, L.P. </w:t>
            </w:r>
            <w:r>
              <w:rPr>
                <w:rFonts w:ascii="Arial" w:cs="Arial" w:eastAsia="Arial" w:hAnsi="Arial"/>
                <w:sz w:val="25"/>
                <w:szCs w:val="25"/>
                <w:color w:val="auto"/>
                <w:vertAlign w:val="superscript"/>
              </w:rPr>
              <w:t>(17)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246,033</w:t>
            </w:r>
          </w:p>
        </w:tc>
        <w:tc>
          <w:tcPr>
            <w:tcW w:w="1200" w:type="dxa"/>
            <w:vAlign w:val="bottom"/>
          </w:tcPr>
          <w:p>
            <w:pPr>
              <w:jc w:val="right"/>
              <w:spacing w:after="0"/>
              <w:rPr>
                <w:sz w:val="20"/>
                <w:szCs w:val="20"/>
                <w:color w:val="auto"/>
              </w:rPr>
            </w:pPr>
            <w:r>
              <w:rPr>
                <w:rFonts w:ascii="Arial" w:cs="Arial" w:eastAsia="Arial" w:hAnsi="Arial"/>
                <w:sz w:val="18"/>
                <w:szCs w:val="18"/>
                <w:color w:val="auto"/>
              </w:rPr>
              <w:t>246,033</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Dustin White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DS Liquid Div RVA MON LLC </w:t>
            </w:r>
            <w:r>
              <w:rPr>
                <w:rFonts w:ascii="Arial" w:cs="Arial" w:eastAsia="Arial" w:hAnsi="Arial"/>
                <w:sz w:val="25"/>
                <w:szCs w:val="25"/>
                <w:color w:val="auto"/>
                <w:vertAlign w:val="superscript"/>
              </w:rPr>
              <w:t>(8)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234,240</w:t>
            </w:r>
          </w:p>
        </w:tc>
        <w:tc>
          <w:tcPr>
            <w:tcW w:w="1200" w:type="dxa"/>
            <w:vAlign w:val="bottom"/>
          </w:tcPr>
          <w:p>
            <w:pPr>
              <w:jc w:val="right"/>
              <w:spacing w:after="0"/>
              <w:rPr>
                <w:sz w:val="20"/>
                <w:szCs w:val="20"/>
                <w:color w:val="auto"/>
              </w:rPr>
            </w:pPr>
            <w:r>
              <w:rPr>
                <w:rFonts w:ascii="Arial" w:cs="Arial" w:eastAsia="Arial" w:hAnsi="Arial"/>
                <w:sz w:val="18"/>
                <w:szCs w:val="18"/>
                <w:color w:val="auto"/>
              </w:rPr>
              <w:t>234,240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EQ Capital Pte. Ltd. </w:t>
            </w:r>
            <w:r>
              <w:rPr>
                <w:rFonts w:ascii="Arial" w:cs="Arial" w:eastAsia="Arial" w:hAnsi="Arial"/>
                <w:sz w:val="25"/>
                <w:szCs w:val="25"/>
                <w:color w:val="auto"/>
                <w:vertAlign w:val="superscript"/>
              </w:rPr>
              <w:t>(18)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530,498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Eric and Shauna Varvel</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321,695</w:t>
            </w:r>
          </w:p>
        </w:tc>
        <w:tc>
          <w:tcPr>
            <w:tcW w:w="1200" w:type="dxa"/>
            <w:vAlign w:val="bottom"/>
          </w:tcPr>
          <w:p>
            <w:pPr>
              <w:jc w:val="right"/>
              <w:spacing w:after="0"/>
              <w:rPr>
                <w:sz w:val="20"/>
                <w:szCs w:val="20"/>
                <w:color w:val="auto"/>
              </w:rPr>
            </w:pPr>
            <w:r>
              <w:rPr>
                <w:rFonts w:ascii="Arial" w:cs="Arial" w:eastAsia="Arial" w:hAnsi="Arial"/>
                <w:sz w:val="18"/>
                <w:szCs w:val="18"/>
                <w:color w:val="auto"/>
              </w:rPr>
              <w:t>321,695</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Erich Grasso</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Essex Bio-Investment Limited </w:t>
            </w:r>
            <w:r>
              <w:rPr>
                <w:rFonts w:ascii="Arial" w:cs="Arial" w:eastAsia="Arial" w:hAnsi="Arial"/>
                <w:sz w:val="25"/>
                <w:szCs w:val="25"/>
                <w:color w:val="auto"/>
                <w:vertAlign w:val="superscript"/>
              </w:rPr>
              <w:t>(19)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200,809</w:t>
            </w:r>
          </w:p>
        </w:tc>
        <w:tc>
          <w:tcPr>
            <w:tcW w:w="1200" w:type="dxa"/>
            <w:vAlign w:val="bottom"/>
          </w:tcPr>
          <w:p>
            <w:pPr>
              <w:jc w:val="right"/>
              <w:spacing w:after="0"/>
              <w:rPr>
                <w:sz w:val="20"/>
                <w:szCs w:val="20"/>
                <w:color w:val="auto"/>
              </w:rPr>
            </w:pPr>
            <w:r>
              <w:rPr>
                <w:rFonts w:ascii="Arial" w:cs="Arial" w:eastAsia="Arial" w:hAnsi="Arial"/>
                <w:sz w:val="18"/>
                <w:szCs w:val="18"/>
                <w:color w:val="auto"/>
              </w:rPr>
              <w:t>200,809</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Farah Financial Services Ltd.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401,618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401,618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First In Ventures LLC</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120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Fresenius Medical Care Holdings, Inc. </w:t>
            </w:r>
            <w:r>
              <w:rPr>
                <w:rFonts w:ascii="Arial" w:cs="Arial" w:eastAsia="Arial" w:hAnsi="Arial"/>
                <w:sz w:val="25"/>
                <w:szCs w:val="25"/>
                <w:color w:val="auto"/>
                <w:vertAlign w:val="superscript"/>
              </w:rPr>
              <w:t>(20)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18,312,735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18,312,735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Grazyna Kulczyk</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1,283,931</w:t>
            </w:r>
          </w:p>
        </w:tc>
        <w:tc>
          <w:tcPr>
            <w:tcW w:w="1200" w:type="dxa"/>
            <w:vAlign w:val="bottom"/>
          </w:tcPr>
          <w:p>
            <w:pPr>
              <w:jc w:val="right"/>
              <w:spacing w:after="0"/>
              <w:rPr>
                <w:sz w:val="20"/>
                <w:szCs w:val="20"/>
                <w:color w:val="auto"/>
              </w:rPr>
            </w:pPr>
            <w:r>
              <w:rPr>
                <w:rFonts w:ascii="Arial" w:cs="Arial" w:eastAsia="Arial" w:hAnsi="Arial"/>
                <w:sz w:val="18"/>
                <w:szCs w:val="18"/>
                <w:color w:val="auto"/>
              </w:rPr>
              <w:t>1,283,931</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Helman Sitohang</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176,832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Highmark Long/Short Equity 20 </w:t>
            </w:r>
            <w:r>
              <w:rPr>
                <w:rFonts w:ascii="Arial" w:cs="Arial" w:eastAsia="Arial" w:hAnsi="Arial"/>
                <w:sz w:val="25"/>
                <w:szCs w:val="25"/>
                <w:color w:val="auto"/>
                <w:vertAlign w:val="superscript"/>
              </w:rPr>
              <w:t>(21)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387,500</w:t>
            </w:r>
          </w:p>
        </w:tc>
        <w:tc>
          <w:tcPr>
            <w:tcW w:w="1200" w:type="dxa"/>
            <w:vAlign w:val="bottom"/>
          </w:tcPr>
          <w:p>
            <w:pPr>
              <w:jc w:val="right"/>
              <w:spacing w:after="0"/>
              <w:rPr>
                <w:sz w:val="20"/>
                <w:szCs w:val="20"/>
                <w:color w:val="auto"/>
              </w:rPr>
            </w:pPr>
            <w:r>
              <w:rPr>
                <w:rFonts w:ascii="Arial" w:cs="Arial" w:eastAsia="Arial" w:hAnsi="Arial"/>
                <w:sz w:val="18"/>
                <w:szCs w:val="18"/>
                <w:color w:val="auto"/>
              </w:rPr>
              <w:t>387,500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Chetalet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Joseph F. Skowron III</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67,250</w:t>
            </w:r>
          </w:p>
        </w:tc>
        <w:tc>
          <w:tcPr>
            <w:tcW w:w="1200" w:type="dxa"/>
            <w:vAlign w:val="bottom"/>
          </w:tcPr>
          <w:p>
            <w:pPr>
              <w:jc w:val="right"/>
              <w:spacing w:after="0"/>
              <w:rPr>
                <w:sz w:val="20"/>
                <w:szCs w:val="20"/>
                <w:color w:val="auto"/>
              </w:rPr>
            </w:pPr>
            <w:r>
              <w:rPr>
                <w:rFonts w:ascii="Arial" w:cs="Arial" w:eastAsia="Arial" w:hAnsi="Arial"/>
                <w:sz w:val="18"/>
                <w:szCs w:val="18"/>
                <w:color w:val="auto"/>
              </w:rPr>
              <w:t>67,250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Kareem Burke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Kenneth and Debbie Hunter Scribner</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6,250</w:t>
            </w:r>
          </w:p>
        </w:tc>
        <w:tc>
          <w:tcPr>
            <w:tcW w:w="1200" w:type="dxa"/>
            <w:vAlign w:val="bottom"/>
          </w:tcPr>
          <w:p>
            <w:pPr>
              <w:jc w:val="right"/>
              <w:spacing w:after="0"/>
              <w:rPr>
                <w:sz w:val="20"/>
                <w:szCs w:val="20"/>
                <w:color w:val="auto"/>
              </w:rPr>
            </w:pPr>
            <w:r>
              <w:rPr>
                <w:rFonts w:ascii="Arial" w:cs="Arial" w:eastAsia="Arial" w:hAnsi="Arial"/>
                <w:sz w:val="18"/>
                <w:szCs w:val="18"/>
                <w:color w:val="auto"/>
              </w:rPr>
              <w:t>6,250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Keenan</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Yili Kevin Xie </w:t>
            </w:r>
            <w:r>
              <w:rPr>
                <w:rFonts w:ascii="Arial" w:cs="Arial" w:eastAsia="Arial" w:hAnsi="Arial"/>
                <w:sz w:val="25"/>
                <w:szCs w:val="25"/>
                <w:color w:val="auto"/>
                <w:vertAlign w:val="superscript"/>
              </w:rPr>
              <w:t>(22)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Kwek Buck Chye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Lau Yuen Yee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82,435</w:t>
            </w:r>
          </w:p>
        </w:tc>
        <w:tc>
          <w:tcPr>
            <w:tcW w:w="1200" w:type="dxa"/>
            <w:vAlign w:val="bottom"/>
          </w:tcPr>
          <w:p>
            <w:pPr>
              <w:jc w:val="right"/>
              <w:spacing w:after="0"/>
              <w:rPr>
                <w:sz w:val="20"/>
                <w:szCs w:val="20"/>
                <w:color w:val="auto"/>
              </w:rPr>
            </w:pPr>
            <w:r>
              <w:rPr>
                <w:rFonts w:ascii="Arial" w:cs="Arial" w:eastAsia="Arial" w:hAnsi="Arial"/>
                <w:sz w:val="18"/>
                <w:szCs w:val="18"/>
                <w:color w:val="auto"/>
              </w:rPr>
              <w:t>82,435</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Laura E. Niklason </w:t>
            </w:r>
            <w:r>
              <w:rPr>
                <w:rFonts w:ascii="Arial" w:cs="Arial" w:eastAsia="Arial" w:hAnsi="Arial"/>
                <w:sz w:val="25"/>
                <w:szCs w:val="25"/>
                <w:color w:val="auto"/>
                <w:vertAlign w:val="superscript"/>
              </w:rPr>
              <w:t>(23)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1,148,240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Legion Method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Lilly Tam</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Loren T. Niklason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65,026</w:t>
            </w:r>
          </w:p>
        </w:tc>
        <w:tc>
          <w:tcPr>
            <w:tcW w:w="1200" w:type="dxa"/>
            <w:vAlign w:val="bottom"/>
          </w:tcPr>
          <w:p>
            <w:pPr>
              <w:jc w:val="right"/>
              <w:spacing w:after="0"/>
              <w:rPr>
                <w:sz w:val="20"/>
                <w:szCs w:val="20"/>
                <w:color w:val="auto"/>
              </w:rPr>
            </w:pPr>
            <w:r>
              <w:rPr>
                <w:rFonts w:ascii="Arial" w:cs="Arial" w:eastAsia="Arial" w:hAnsi="Arial"/>
                <w:sz w:val="18"/>
                <w:szCs w:val="18"/>
                <w:color w:val="auto"/>
              </w:rPr>
              <w:t>65,026</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J. Bishara</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Mark Negley</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Malgorzata Dobak</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41,344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Marloes Capital Pte. Limited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547,106</w:t>
            </w:r>
          </w:p>
        </w:tc>
        <w:tc>
          <w:tcPr>
            <w:tcW w:w="1200" w:type="dxa"/>
            <w:vAlign w:val="bottom"/>
          </w:tcPr>
          <w:p>
            <w:pPr>
              <w:jc w:val="right"/>
              <w:spacing w:after="0"/>
              <w:rPr>
                <w:sz w:val="20"/>
                <w:szCs w:val="20"/>
                <w:color w:val="auto"/>
              </w:rPr>
            </w:pPr>
            <w:r>
              <w:rPr>
                <w:rFonts w:ascii="Arial" w:cs="Arial" w:eastAsia="Arial" w:hAnsi="Arial"/>
                <w:sz w:val="18"/>
                <w:szCs w:val="18"/>
                <w:color w:val="auto"/>
              </w:rPr>
              <w:t>547,106</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Maven Investment Partners US Limited </w:t>
            </w:r>
            <w:r>
              <w:rPr>
                <w:rFonts w:ascii="Arial" w:cs="Arial" w:eastAsia="Arial" w:hAnsi="Arial"/>
                <w:sz w:val="25"/>
                <w:szCs w:val="25"/>
                <w:color w:val="auto"/>
                <w:vertAlign w:val="superscript"/>
              </w:rPr>
              <w:t>(24)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MI-CM LLC</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120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125" w:right="99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Shares of Common Stock</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11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Number</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Registered</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Owned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4"/>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3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6"/>
              </w:rPr>
              <w:t>Owned Prior</w:t>
            </w:r>
          </w:p>
        </w:tc>
        <w:tc>
          <w:tcPr>
            <w:tcW w:w="13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for Sale</w:t>
            </w:r>
          </w:p>
        </w:tc>
        <w:tc>
          <w:tcPr>
            <w:tcW w:w="11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7"/>
              </w:rPr>
              <w:t>After</w:t>
            </w: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5"/>
        </w:trPr>
        <w:tc>
          <w:tcPr>
            <w:tcW w:w="5400" w:type="dxa"/>
            <w:vAlign w:val="bottom"/>
            <w:gridSpan w:val="3"/>
            <w:vMerge w:val="continue"/>
          </w:tcPr>
          <w:p>
            <w:pPr>
              <w:spacing w:after="0"/>
              <w:rPr>
                <w:sz w:val="15"/>
                <w:szCs w:val="15"/>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to Offering</w:t>
            </w:r>
          </w:p>
        </w:tc>
        <w:tc>
          <w:tcPr>
            <w:tcW w:w="1360" w:type="dxa"/>
            <w:vAlign w:val="bottom"/>
            <w:gridSpan w:val="2"/>
          </w:tcPr>
          <w:p>
            <w:pPr>
              <w:jc w:val="center"/>
              <w:ind w:right="160"/>
              <w:spacing w:after="0" w:line="176" w:lineRule="exact"/>
              <w:rPr>
                <w:sz w:val="20"/>
                <w:szCs w:val="20"/>
                <w:color w:val="auto"/>
              </w:rPr>
            </w:pPr>
            <w:r>
              <w:rPr>
                <w:rFonts w:ascii="Arial" w:cs="Arial" w:eastAsia="Arial" w:hAnsi="Arial"/>
                <w:sz w:val="14"/>
                <w:szCs w:val="14"/>
                <w:b w:val="1"/>
                <w:bCs w:val="1"/>
                <w:color w:val="auto"/>
                <w:w w:val="88"/>
              </w:rPr>
              <w:t xml:space="preserve">Hereby </w:t>
            </w:r>
            <w:r>
              <w:rPr>
                <w:rFonts w:ascii="Arial" w:cs="Arial" w:eastAsia="Arial" w:hAnsi="Arial"/>
                <w:sz w:val="20"/>
                <w:szCs w:val="20"/>
                <w:b w:val="1"/>
                <w:bCs w:val="1"/>
                <w:color w:val="auto"/>
                <w:w w:val="88"/>
                <w:vertAlign w:val="superscript"/>
              </w:rPr>
              <w:t>(1)</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Offering</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10"/>
        </w:trPr>
        <w:tc>
          <w:tcPr>
            <w:tcW w:w="5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Michael and Cristina D’Angelo</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54,262</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54,262</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Monashee Pure Alpha SPV I LP </w:t>
            </w:r>
            <w:r>
              <w:rPr>
                <w:rFonts w:ascii="Arial" w:cs="Arial" w:eastAsia="Arial" w:hAnsi="Arial"/>
                <w:sz w:val="25"/>
                <w:szCs w:val="25"/>
                <w:color w:val="auto"/>
                <w:vertAlign w:val="superscript"/>
              </w:rPr>
              <w:t>(8)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115,419</w:t>
            </w:r>
          </w:p>
        </w:tc>
        <w:tc>
          <w:tcPr>
            <w:tcW w:w="1200" w:type="dxa"/>
            <w:vAlign w:val="bottom"/>
          </w:tcPr>
          <w:p>
            <w:pPr>
              <w:jc w:val="right"/>
              <w:spacing w:after="0"/>
              <w:rPr>
                <w:sz w:val="20"/>
                <w:szCs w:val="20"/>
                <w:color w:val="auto"/>
              </w:rPr>
            </w:pPr>
            <w:r>
              <w:rPr>
                <w:rFonts w:ascii="Arial" w:cs="Arial" w:eastAsia="Arial" w:hAnsi="Arial"/>
                <w:sz w:val="18"/>
                <w:szCs w:val="18"/>
                <w:color w:val="auto"/>
              </w:rPr>
              <w:t>115,419</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Monashee Solitario Fund LP </w:t>
            </w:r>
            <w:r>
              <w:rPr>
                <w:rFonts w:ascii="Arial" w:cs="Arial" w:eastAsia="Arial" w:hAnsi="Arial"/>
                <w:sz w:val="25"/>
                <w:szCs w:val="25"/>
                <w:color w:val="auto"/>
                <w:vertAlign w:val="superscript"/>
              </w:rPr>
              <w:t>(8)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148,049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148,049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Morgan Creek Private Opportunities, LLC Series I – Humacyte </w:t>
            </w:r>
            <w:r>
              <w:rPr>
                <w:rFonts w:ascii="Arial" w:cs="Arial" w:eastAsia="Arial" w:hAnsi="Arial"/>
                <w:sz w:val="25"/>
                <w:szCs w:val="25"/>
                <w:color w:val="auto"/>
                <w:vertAlign w:val="superscript"/>
              </w:rPr>
              <w:t>(25)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1200" w:type="dxa"/>
            <w:vAlign w:val="bottom"/>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 Dejun</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477,840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Mulholland Investment Group</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37,500</w:t>
            </w:r>
          </w:p>
        </w:tc>
        <w:tc>
          <w:tcPr>
            <w:tcW w:w="1200" w:type="dxa"/>
            <w:vAlign w:val="bottom"/>
          </w:tcPr>
          <w:p>
            <w:pPr>
              <w:jc w:val="right"/>
              <w:spacing w:after="0"/>
              <w:rPr>
                <w:sz w:val="20"/>
                <w:szCs w:val="20"/>
                <w:color w:val="auto"/>
              </w:rPr>
            </w:pPr>
            <w:r>
              <w:rPr>
                <w:rFonts w:ascii="Arial" w:cs="Arial" w:eastAsia="Arial" w:hAnsi="Arial"/>
                <w:sz w:val="18"/>
                <w:szCs w:val="18"/>
                <w:color w:val="auto"/>
              </w:rPr>
              <w:t>37,500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Natalon Company Limited </w:t>
            </w:r>
            <w:r>
              <w:rPr>
                <w:rFonts w:ascii="Arial" w:cs="Arial" w:eastAsia="Arial" w:hAnsi="Arial"/>
                <w:sz w:val="25"/>
                <w:szCs w:val="25"/>
                <w:color w:val="auto"/>
                <w:vertAlign w:val="superscript"/>
              </w:rPr>
              <w:t>(26)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1,768,328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1,768,328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Ngiam Mia Je Patrick</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135,657</w:t>
            </w:r>
          </w:p>
        </w:tc>
        <w:tc>
          <w:tcPr>
            <w:tcW w:w="1200" w:type="dxa"/>
            <w:vAlign w:val="bottom"/>
          </w:tcPr>
          <w:p>
            <w:pPr>
              <w:jc w:val="right"/>
              <w:spacing w:after="0"/>
              <w:rPr>
                <w:sz w:val="20"/>
                <w:szCs w:val="20"/>
                <w:color w:val="auto"/>
              </w:rPr>
            </w:pPr>
            <w:r>
              <w:rPr>
                <w:rFonts w:ascii="Arial" w:cs="Arial" w:eastAsia="Arial" w:hAnsi="Arial"/>
                <w:sz w:val="18"/>
                <w:szCs w:val="18"/>
                <w:color w:val="auto"/>
              </w:rPr>
              <w:t>135,657</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Ngiam Mia Kiat Benjamin</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119,459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Nineteen77 Global Multi-Strategy Alpha Master Limited </w:t>
            </w:r>
            <w:r>
              <w:rPr>
                <w:rFonts w:ascii="Arial" w:cs="Arial" w:eastAsia="Arial" w:hAnsi="Arial"/>
                <w:sz w:val="25"/>
                <w:szCs w:val="25"/>
                <w:color w:val="auto"/>
                <w:vertAlign w:val="superscript"/>
              </w:rPr>
              <w:t>(27)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12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Northland Securities, Inc. </w:t>
            </w:r>
            <w:r>
              <w:rPr>
                <w:rFonts w:ascii="Arial" w:cs="Arial" w:eastAsia="Arial" w:hAnsi="Arial"/>
                <w:sz w:val="25"/>
                <w:szCs w:val="25"/>
                <w:color w:val="auto"/>
                <w:vertAlign w:val="superscript"/>
              </w:rPr>
              <w:t>(28)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Oppenheimer &amp; Co., Inc.</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41,667</w:t>
            </w:r>
          </w:p>
        </w:tc>
        <w:tc>
          <w:tcPr>
            <w:tcW w:w="1200" w:type="dxa"/>
            <w:vAlign w:val="bottom"/>
          </w:tcPr>
          <w:p>
            <w:pPr>
              <w:jc w:val="right"/>
              <w:spacing w:after="0"/>
              <w:rPr>
                <w:sz w:val="20"/>
                <w:szCs w:val="20"/>
                <w:color w:val="auto"/>
              </w:rPr>
            </w:pPr>
            <w:r>
              <w:rPr>
                <w:rFonts w:ascii="Arial" w:cs="Arial" w:eastAsia="Arial" w:hAnsi="Arial"/>
                <w:sz w:val="18"/>
                <w:szCs w:val="18"/>
                <w:color w:val="auto"/>
              </w:rPr>
              <w:t>41,667</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OrbiMed Genesis Master Fund, L.P. </w:t>
            </w:r>
            <w:r>
              <w:rPr>
                <w:rFonts w:ascii="Arial" w:cs="Arial" w:eastAsia="Arial" w:hAnsi="Arial"/>
                <w:sz w:val="25"/>
                <w:szCs w:val="25"/>
                <w:color w:val="auto"/>
                <w:vertAlign w:val="superscript"/>
              </w:rPr>
              <w:t>(29)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OrbiMed Partners Master Fund Limited </w:t>
            </w:r>
            <w:r>
              <w:rPr>
                <w:rFonts w:ascii="Arial" w:cs="Arial" w:eastAsia="Arial" w:hAnsi="Arial"/>
                <w:sz w:val="25"/>
                <w:szCs w:val="25"/>
                <w:color w:val="auto"/>
                <w:vertAlign w:val="superscript"/>
              </w:rPr>
              <w:t>(30)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1,200,000</w:t>
            </w:r>
          </w:p>
        </w:tc>
        <w:tc>
          <w:tcPr>
            <w:tcW w:w="1200" w:type="dxa"/>
            <w:vAlign w:val="bottom"/>
          </w:tcPr>
          <w:p>
            <w:pPr>
              <w:jc w:val="right"/>
              <w:spacing w:after="0"/>
              <w:rPr>
                <w:sz w:val="20"/>
                <w:szCs w:val="20"/>
                <w:color w:val="auto"/>
              </w:rPr>
            </w:pPr>
            <w:r>
              <w:rPr>
                <w:rFonts w:ascii="Arial" w:cs="Arial" w:eastAsia="Arial" w:hAnsi="Arial"/>
                <w:sz w:val="18"/>
                <w:szCs w:val="18"/>
                <w:color w:val="auto"/>
              </w:rPr>
              <w:t>1,200,000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Pacific Investment Resources Limited </w:t>
            </w:r>
            <w:r>
              <w:rPr>
                <w:rFonts w:ascii="Arial" w:cs="Arial" w:eastAsia="Arial" w:hAnsi="Arial"/>
                <w:sz w:val="25"/>
                <w:szCs w:val="25"/>
                <w:color w:val="auto"/>
                <w:vertAlign w:val="superscript"/>
              </w:rPr>
              <w:t>(31)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2,802,492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Pan Class F Ventures Ltd </w:t>
            </w:r>
            <w:r>
              <w:rPr>
                <w:rFonts w:ascii="Arial" w:cs="Arial" w:eastAsia="Arial" w:hAnsi="Arial"/>
                <w:sz w:val="25"/>
                <w:szCs w:val="25"/>
                <w:color w:val="auto"/>
                <w:vertAlign w:val="superscript"/>
              </w:rPr>
              <w:t>(32)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1,600,000</w:t>
            </w:r>
          </w:p>
        </w:tc>
        <w:tc>
          <w:tcPr>
            <w:tcW w:w="1200" w:type="dxa"/>
            <w:vAlign w:val="bottom"/>
          </w:tcPr>
          <w:p>
            <w:pPr>
              <w:jc w:val="right"/>
              <w:spacing w:after="0"/>
              <w:rPr>
                <w:sz w:val="20"/>
                <w:szCs w:val="20"/>
                <w:color w:val="auto"/>
              </w:rPr>
            </w:pPr>
            <w:r>
              <w:rPr>
                <w:rFonts w:ascii="Arial" w:cs="Arial" w:eastAsia="Arial" w:hAnsi="Arial"/>
                <w:sz w:val="18"/>
                <w:szCs w:val="18"/>
                <w:color w:val="auto"/>
              </w:rPr>
              <w:t>1,600,000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Patrick Sturgeon </w:t>
            </w:r>
            <w:r>
              <w:rPr>
                <w:rFonts w:ascii="Arial" w:cs="Arial" w:eastAsia="Arial" w:hAnsi="Arial"/>
                <w:sz w:val="25"/>
                <w:szCs w:val="25"/>
                <w:color w:val="auto"/>
                <w:vertAlign w:val="superscript"/>
              </w:rPr>
              <w:t>(33)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140,211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Perch Bay Group, LLC </w:t>
            </w:r>
            <w:r>
              <w:rPr>
                <w:rFonts w:ascii="Arial" w:cs="Arial" w:eastAsia="Arial" w:hAnsi="Arial"/>
                <w:sz w:val="25"/>
                <w:szCs w:val="25"/>
                <w:color w:val="auto"/>
                <w:vertAlign w:val="superscript"/>
              </w:rPr>
              <w:t>(34)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and Janet Bernthal</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Pura Vida Master Fund, Ltd. </w:t>
            </w:r>
            <w:r>
              <w:rPr>
                <w:rFonts w:ascii="Arial" w:cs="Arial" w:eastAsia="Arial" w:hAnsi="Arial"/>
                <w:sz w:val="25"/>
                <w:szCs w:val="25"/>
                <w:color w:val="auto"/>
                <w:vertAlign w:val="superscript"/>
              </w:rPr>
              <w:t>(21)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662,500</w:t>
            </w:r>
          </w:p>
        </w:tc>
        <w:tc>
          <w:tcPr>
            <w:tcW w:w="1200" w:type="dxa"/>
            <w:vAlign w:val="bottom"/>
          </w:tcPr>
          <w:p>
            <w:pPr>
              <w:jc w:val="right"/>
              <w:spacing w:after="0"/>
              <w:rPr>
                <w:sz w:val="20"/>
                <w:szCs w:val="20"/>
                <w:color w:val="auto"/>
              </w:rPr>
            </w:pPr>
            <w:r>
              <w:rPr>
                <w:rFonts w:ascii="Arial" w:cs="Arial" w:eastAsia="Arial" w:hAnsi="Arial"/>
                <w:sz w:val="18"/>
                <w:szCs w:val="18"/>
                <w:color w:val="auto"/>
              </w:rPr>
              <w:t>662,500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Qubit PE, LLC </w:t>
            </w:r>
            <w:r>
              <w:rPr>
                <w:rFonts w:ascii="Arial" w:cs="Arial" w:eastAsia="Arial" w:hAnsi="Arial"/>
                <w:sz w:val="25"/>
                <w:szCs w:val="25"/>
                <w:color w:val="auto"/>
                <w:vertAlign w:val="superscript"/>
              </w:rPr>
              <w:t>(35)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Rajiv Shukla </w:t>
            </w:r>
            <w:r>
              <w:rPr>
                <w:rFonts w:ascii="Arial" w:cs="Arial" w:eastAsia="Arial" w:hAnsi="Arial"/>
                <w:sz w:val="25"/>
                <w:szCs w:val="25"/>
                <w:color w:val="auto"/>
                <w:vertAlign w:val="superscript"/>
              </w:rPr>
              <w:t>(36)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1,814,789</w:t>
            </w:r>
          </w:p>
        </w:tc>
        <w:tc>
          <w:tcPr>
            <w:tcW w:w="1200" w:type="dxa"/>
            <w:vAlign w:val="bottom"/>
          </w:tcPr>
          <w:p>
            <w:pPr>
              <w:jc w:val="right"/>
              <w:spacing w:after="0"/>
              <w:rPr>
                <w:sz w:val="20"/>
                <w:szCs w:val="20"/>
                <w:color w:val="auto"/>
              </w:rPr>
            </w:pPr>
            <w:r>
              <w:rPr>
                <w:rFonts w:ascii="Arial" w:cs="Arial" w:eastAsia="Arial" w:hAnsi="Arial"/>
                <w:sz w:val="18"/>
                <w:szCs w:val="18"/>
                <w:color w:val="auto"/>
              </w:rPr>
              <w:t>1,814,789</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Rebecca J. Mason </w:t>
            </w:r>
            <w:r>
              <w:rPr>
                <w:rFonts w:ascii="Arial" w:cs="Arial" w:eastAsia="Arial" w:hAnsi="Arial"/>
                <w:sz w:val="25"/>
                <w:szCs w:val="25"/>
                <w:color w:val="auto"/>
                <w:vertAlign w:val="superscript"/>
              </w:rPr>
              <w:t>(37)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26,029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Rebecca J. and Curtis Mason </w:t>
            </w:r>
            <w:r>
              <w:rPr>
                <w:rFonts w:ascii="Arial" w:cs="Arial" w:eastAsia="Arial" w:hAnsi="Arial"/>
                <w:sz w:val="25"/>
                <w:szCs w:val="25"/>
                <w:color w:val="auto"/>
                <w:vertAlign w:val="superscript"/>
              </w:rPr>
              <w:t>(38)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20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Humphrey</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Richburg Enterprises LLC </w:t>
            </w:r>
            <w:r>
              <w:rPr>
                <w:rFonts w:ascii="Arial" w:cs="Arial" w:eastAsia="Arial" w:hAnsi="Arial"/>
                <w:sz w:val="25"/>
                <w:szCs w:val="25"/>
                <w:color w:val="auto"/>
                <w:vertAlign w:val="superscript"/>
              </w:rPr>
              <w:t>(39)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12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and Nancy Blum</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124,340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Robert Duggan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125,000</w:t>
            </w:r>
          </w:p>
        </w:tc>
        <w:tc>
          <w:tcPr>
            <w:tcW w:w="1200" w:type="dxa"/>
            <w:vAlign w:val="bottom"/>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L. Basso</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236,335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Scanfert Oy</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599,767</w:t>
            </w:r>
          </w:p>
        </w:tc>
        <w:tc>
          <w:tcPr>
            <w:tcW w:w="1200" w:type="dxa"/>
            <w:vAlign w:val="bottom"/>
          </w:tcPr>
          <w:p>
            <w:pPr>
              <w:jc w:val="right"/>
              <w:spacing w:after="0"/>
              <w:rPr>
                <w:sz w:val="20"/>
                <w:szCs w:val="20"/>
                <w:color w:val="auto"/>
              </w:rPr>
            </w:pPr>
            <w:r>
              <w:rPr>
                <w:rFonts w:ascii="Arial" w:cs="Arial" w:eastAsia="Arial" w:hAnsi="Arial"/>
                <w:sz w:val="18"/>
                <w:szCs w:val="18"/>
                <w:color w:val="auto"/>
              </w:rPr>
              <w:t>599,767</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Schwartz Management, LLC </w:t>
            </w:r>
            <w:r>
              <w:rPr>
                <w:rFonts w:ascii="Arial" w:cs="Arial" w:eastAsia="Arial" w:hAnsi="Arial"/>
                <w:sz w:val="25"/>
                <w:szCs w:val="25"/>
                <w:color w:val="auto"/>
                <w:vertAlign w:val="superscript"/>
              </w:rPr>
              <w:t>(40)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SFL SPV I LLC </w:t>
            </w:r>
            <w:r>
              <w:rPr>
                <w:rFonts w:ascii="Arial" w:cs="Arial" w:eastAsia="Arial" w:hAnsi="Arial"/>
                <w:sz w:val="25"/>
                <w:szCs w:val="25"/>
                <w:color w:val="auto"/>
                <w:vertAlign w:val="superscript"/>
              </w:rPr>
              <w:t>(8)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32,955</w:t>
            </w:r>
          </w:p>
        </w:tc>
        <w:tc>
          <w:tcPr>
            <w:tcW w:w="1200" w:type="dxa"/>
            <w:vAlign w:val="bottom"/>
          </w:tcPr>
          <w:p>
            <w:pPr>
              <w:jc w:val="right"/>
              <w:spacing w:after="0"/>
              <w:rPr>
                <w:sz w:val="20"/>
                <w:szCs w:val="20"/>
                <w:color w:val="auto"/>
              </w:rPr>
            </w:pPr>
            <w:r>
              <w:rPr>
                <w:rFonts w:ascii="Arial" w:cs="Arial" w:eastAsia="Arial" w:hAnsi="Arial"/>
                <w:sz w:val="18"/>
                <w:szCs w:val="18"/>
                <w:color w:val="auto"/>
              </w:rPr>
              <w:t>32,955</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Sirocco Holdings, Ltd.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884,164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Supreme Universal Holdings Limited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1,194,604</w:t>
            </w:r>
          </w:p>
        </w:tc>
        <w:tc>
          <w:tcPr>
            <w:tcW w:w="1200" w:type="dxa"/>
            <w:vAlign w:val="bottom"/>
          </w:tcPr>
          <w:p>
            <w:pPr>
              <w:jc w:val="right"/>
              <w:spacing w:after="0"/>
              <w:rPr>
                <w:sz w:val="20"/>
                <w:szCs w:val="20"/>
                <w:color w:val="auto"/>
              </w:rPr>
            </w:pPr>
            <w:r>
              <w:rPr>
                <w:rFonts w:ascii="Arial" w:cs="Arial" w:eastAsia="Arial" w:hAnsi="Arial"/>
                <w:sz w:val="18"/>
                <w:szCs w:val="18"/>
                <w:color w:val="auto"/>
              </w:rPr>
              <w:t>1,194,604</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Terrance L. Carlson </w:t>
            </w:r>
            <w:r>
              <w:rPr>
                <w:rFonts w:ascii="Arial" w:cs="Arial" w:eastAsia="Arial" w:hAnsi="Arial"/>
                <w:sz w:val="25"/>
                <w:szCs w:val="25"/>
                <w:color w:val="auto"/>
                <w:vertAlign w:val="superscript"/>
              </w:rPr>
              <w:t>(41)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The GYF Trust </w:t>
            </w:r>
            <w:r>
              <w:rPr>
                <w:rFonts w:ascii="Arial" w:cs="Arial" w:eastAsia="Arial" w:hAnsi="Arial"/>
                <w:sz w:val="25"/>
                <w:szCs w:val="25"/>
                <w:color w:val="auto"/>
                <w:vertAlign w:val="superscript"/>
              </w:rPr>
              <w:t>(42)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8,942,078</w:t>
            </w:r>
          </w:p>
        </w:tc>
        <w:tc>
          <w:tcPr>
            <w:tcW w:w="1200" w:type="dxa"/>
            <w:vAlign w:val="bottom"/>
          </w:tcPr>
          <w:p>
            <w:pPr>
              <w:jc w:val="right"/>
              <w:spacing w:after="0"/>
              <w:rPr>
                <w:sz w:val="20"/>
                <w:szCs w:val="20"/>
                <w:color w:val="auto"/>
              </w:rPr>
            </w:pPr>
            <w:r>
              <w:rPr>
                <w:rFonts w:ascii="Arial" w:cs="Arial" w:eastAsia="Arial" w:hAnsi="Arial"/>
                <w:sz w:val="18"/>
                <w:szCs w:val="18"/>
                <w:color w:val="auto"/>
              </w:rPr>
              <w:t>8,942,078</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5400" w:type="dxa"/>
            <w:vAlign w:val="bottom"/>
            <w:gridSpan w:val="3"/>
            <w:shd w:val="clear" w:color="auto" w:fill="CCEEFF"/>
          </w:tcPr>
          <w:p>
            <w:pPr>
              <w:spacing w:after="0" w:line="192" w:lineRule="exact"/>
              <w:rPr>
                <w:sz w:val="20"/>
                <w:szCs w:val="20"/>
                <w:color w:val="auto"/>
              </w:rPr>
            </w:pPr>
            <w:r>
              <w:rPr>
                <w:rFonts w:ascii="Arial" w:cs="Arial" w:eastAsia="Arial" w:hAnsi="Arial"/>
                <w:sz w:val="18"/>
                <w:szCs w:val="18"/>
                <w:color w:val="auto"/>
                <w:w w:val="93"/>
              </w:rPr>
              <w:t>The Family Trust Created Under the Joan Fencil Revocable Trust Dated</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400" w:type="dxa"/>
            <w:vAlign w:val="bottom"/>
            <w:gridSpan w:val="3"/>
            <w:shd w:val="clear" w:color="auto" w:fill="CCEEFF"/>
          </w:tcPr>
          <w:p>
            <w:pPr>
              <w:ind w:left="140"/>
              <w:spacing w:after="0" w:line="240" w:lineRule="exact"/>
              <w:rPr>
                <w:sz w:val="20"/>
                <w:szCs w:val="20"/>
                <w:color w:val="auto"/>
              </w:rPr>
            </w:pPr>
            <w:r>
              <w:rPr>
                <w:rFonts w:ascii="Arial" w:cs="Arial" w:eastAsia="Arial" w:hAnsi="Arial"/>
                <w:sz w:val="18"/>
                <w:szCs w:val="18"/>
                <w:color w:val="auto"/>
              </w:rPr>
              <w:t xml:space="preserve">September 16, 1996 </w:t>
            </w:r>
            <w:r>
              <w:rPr>
                <w:rFonts w:ascii="Arial" w:cs="Arial" w:eastAsia="Arial" w:hAnsi="Arial"/>
                <w:sz w:val="26"/>
                <w:szCs w:val="26"/>
                <w:color w:val="auto"/>
                <w:vertAlign w:val="superscript"/>
              </w:rPr>
              <w:t>(43)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The James Fencil Family Trust Dated September 4, 2019 </w:t>
            </w:r>
            <w:r>
              <w:rPr>
                <w:rFonts w:ascii="Arial" w:cs="Arial" w:eastAsia="Arial" w:hAnsi="Arial"/>
                <w:sz w:val="25"/>
                <w:szCs w:val="25"/>
                <w:color w:val="auto"/>
                <w:vertAlign w:val="superscript"/>
              </w:rPr>
              <w:t>(44)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482,750</w:t>
            </w:r>
          </w:p>
        </w:tc>
        <w:tc>
          <w:tcPr>
            <w:tcW w:w="1200" w:type="dxa"/>
            <w:vAlign w:val="bottom"/>
          </w:tcPr>
          <w:p>
            <w:pPr>
              <w:jc w:val="right"/>
              <w:spacing w:after="0"/>
              <w:rPr>
                <w:sz w:val="20"/>
                <w:szCs w:val="20"/>
                <w:color w:val="auto"/>
              </w:rPr>
            </w:pPr>
            <w:r>
              <w:rPr>
                <w:rFonts w:ascii="Arial" w:cs="Arial" w:eastAsia="Arial" w:hAnsi="Arial"/>
                <w:sz w:val="18"/>
                <w:szCs w:val="18"/>
                <w:color w:val="auto"/>
              </w:rPr>
              <w:t>482,750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Walleye Opportunities Master Fund Ltd </w:t>
            </w:r>
            <w:r>
              <w:rPr>
                <w:rFonts w:ascii="Arial" w:cs="Arial" w:eastAsia="Arial" w:hAnsi="Arial"/>
                <w:sz w:val="25"/>
                <w:szCs w:val="25"/>
                <w:color w:val="auto"/>
                <w:vertAlign w:val="superscript"/>
              </w:rPr>
              <w:t>(21)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Walleye Manager Opportunities LLC </w:t>
            </w:r>
            <w:r>
              <w:rPr>
                <w:rFonts w:ascii="Arial" w:cs="Arial" w:eastAsia="Arial" w:hAnsi="Arial"/>
                <w:sz w:val="25"/>
                <w:szCs w:val="25"/>
                <w:color w:val="auto"/>
                <w:vertAlign w:val="superscript"/>
              </w:rPr>
              <w:t>(21)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120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Alan Jolly</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Xiao Tian Feng</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44,208</w:t>
            </w:r>
          </w:p>
        </w:tc>
        <w:tc>
          <w:tcPr>
            <w:tcW w:w="1200" w:type="dxa"/>
            <w:vAlign w:val="bottom"/>
          </w:tcPr>
          <w:p>
            <w:pPr>
              <w:jc w:val="right"/>
              <w:spacing w:after="0"/>
              <w:rPr>
                <w:sz w:val="20"/>
                <w:szCs w:val="20"/>
                <w:color w:val="auto"/>
              </w:rPr>
            </w:pPr>
            <w:r>
              <w:rPr>
                <w:rFonts w:ascii="Arial" w:cs="Arial" w:eastAsia="Arial" w:hAnsi="Arial"/>
                <w:sz w:val="18"/>
                <w:szCs w:val="18"/>
                <w:color w:val="auto"/>
              </w:rPr>
              <w:t>44,208</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York Capital Management, L.P. </w:t>
            </w:r>
            <w:r>
              <w:rPr>
                <w:rFonts w:ascii="Arial" w:cs="Arial" w:eastAsia="Arial" w:hAnsi="Arial"/>
                <w:sz w:val="25"/>
                <w:szCs w:val="25"/>
                <w:color w:val="auto"/>
                <w:vertAlign w:val="superscript"/>
              </w:rPr>
              <w:t>(17)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1,069,454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York Multi Strategy Master Fund, L.P. </w:t>
            </w:r>
            <w:r>
              <w:rPr>
                <w:rFonts w:ascii="Arial" w:cs="Arial" w:eastAsia="Arial" w:hAnsi="Arial"/>
                <w:sz w:val="25"/>
                <w:szCs w:val="25"/>
                <w:color w:val="auto"/>
                <w:vertAlign w:val="superscript"/>
              </w:rPr>
              <w:t>(17)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1,221,941</w:t>
            </w:r>
          </w:p>
        </w:tc>
        <w:tc>
          <w:tcPr>
            <w:tcW w:w="1200" w:type="dxa"/>
            <w:vAlign w:val="bottom"/>
          </w:tcPr>
          <w:p>
            <w:pPr>
              <w:jc w:val="right"/>
              <w:spacing w:after="0"/>
              <w:rPr>
                <w:sz w:val="20"/>
                <w:szCs w:val="20"/>
                <w:color w:val="auto"/>
              </w:rPr>
            </w:pPr>
            <w:r>
              <w:rPr>
                <w:rFonts w:ascii="Arial" w:cs="Arial" w:eastAsia="Arial" w:hAnsi="Arial"/>
                <w:sz w:val="18"/>
                <w:szCs w:val="18"/>
                <w:color w:val="auto"/>
              </w:rPr>
              <w:t>1,221,941</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Yue Wang</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44,208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Zhang Liping</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120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90,069,340</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90,069,340</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9"/>
        </w:trPr>
        <w:tc>
          <w:tcPr>
            <w:tcW w:w="5220" w:type="dxa"/>
            <w:vAlign w:val="bottom"/>
            <w:gridSpan w:val="2"/>
          </w:tcPr>
          <w:p>
            <w:pPr>
              <w:ind w:left="482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4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5" w:right="9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200" w:hanging="332"/>
        <w:spacing w:after="0" w:line="263"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amounts set forth in this column are the number of shares of common stock that may be offered by each selling stockholder using this prospectus. These amounts do not represent any other shares of our common stock that the selling stockholder may own beneficially or otherwise.</w:t>
      </w:r>
    </w:p>
    <w:p>
      <w:pPr>
        <w:spacing w:after="0" w:line="156" w:lineRule="exact"/>
        <w:rPr>
          <w:rFonts w:ascii="Arial" w:cs="Arial" w:eastAsia="Arial" w:hAnsi="Arial"/>
          <w:sz w:val="18"/>
          <w:szCs w:val="18"/>
          <w:color w:val="auto"/>
        </w:rPr>
      </w:pPr>
    </w:p>
    <w:p>
      <w:pPr>
        <w:ind w:left="340" w:right="80" w:hanging="332"/>
        <w:spacing w:after="0" w:line="293"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Each of Access Industries Management, LLC (“AIM”), Access Industries Holdings LLC (“AIH”) and Len Blavatnik may be deemed to beneficially own, and share investment and voting power over, the shares held directly by AI Humacyte Holdings LLC because (i) AIM is the sole manager of AI Humacyte Holdings LLC, (ii) AIH controls a majority of the outstanding voting interests in AI Humacyte Holdings LLC and (iii) Mr. Blavatnik controls AIM and a majority of the outstanding voting interests in AIH. Each of AIM, AIH and Mr. Blavatnik and each of their affiliated entities and the officers, partners, members and managers thereof, other than AI Humacyte Holdings LLC, disclaims beneficial ownership of the shares held directly by AI Humacyte Holdings LLC.</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Humacyte leases its principal executive office from an affiliate of Alexandria Venture Investments, LLC.</w:t>
      </w:r>
    </w:p>
    <w:p>
      <w:pPr>
        <w:spacing w:after="0" w:line="184"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His Excellency Sheikh Abdulrahman bin Mubarak bin Saif Al-Thani has full voting and dispositive power over the shares held by AM Global Investments (Cayman).</w:t>
      </w:r>
    </w:p>
    <w:p>
      <w:pPr>
        <w:spacing w:after="0" w:line="143" w:lineRule="exact"/>
        <w:rPr>
          <w:rFonts w:ascii="Arial" w:cs="Arial" w:eastAsia="Arial" w:hAnsi="Arial"/>
          <w:sz w:val="18"/>
          <w:szCs w:val="18"/>
          <w:color w:val="auto"/>
        </w:rPr>
      </w:pPr>
    </w:p>
    <w:p>
      <w:pPr>
        <w:ind w:left="340" w:right="40" w:hanging="332"/>
        <w:spacing w:after="0" w:line="301"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Brady Dougan has full voting and dispositive power over the shares held by Ayabudge LLC. Mr. Dougan serves a director of Humacyte and is married to Laura Niklason, who serves as President and Chief Executive Officer and as a director of Humacyte. By virtue of this relationship, Dr. Niklason may be deemed to share beneficial ownership of the securities held of record by Ayabudge LLC. Ayabudge LLC has pledged 18,930,004 shares to certain lenders in connection with a financing arrangement.</w:t>
      </w:r>
    </w:p>
    <w:p>
      <w:pPr>
        <w:spacing w:after="0" w:line="116" w:lineRule="exact"/>
        <w:rPr>
          <w:rFonts w:ascii="Arial" w:cs="Arial" w:eastAsia="Arial" w:hAnsi="Arial"/>
          <w:sz w:val="16"/>
          <w:szCs w:val="16"/>
          <w:color w:val="auto"/>
        </w:rPr>
      </w:pPr>
    </w:p>
    <w:p>
      <w:pPr>
        <w:ind w:left="340" w:right="40" w:hanging="332"/>
        <w:spacing w:after="0" w:line="263"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Brady Dougan serves a director of Humacyte and is married to Laura Niklason, who serves as President and Chief Executive Officer and as a director of Humacyte. By virtue of this relationship, Dr. Niklason may be deemed to share beneficial ownership of the securities held of record by Mr. Dougan.</w:t>
      </w:r>
    </w:p>
    <w:p>
      <w:pPr>
        <w:spacing w:after="0" w:line="143"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Ali Morad Behbehani, President, Hussein Morad Behbehani, Vice President, and Samiha Morad Behbehani, Director, have full voting and dispositive power over the shares held by Behbehani Finance Company.</w:t>
      </w:r>
    </w:p>
    <w:p>
      <w:pPr>
        <w:spacing w:after="0" w:line="129" w:lineRule="exact"/>
        <w:rPr>
          <w:rFonts w:ascii="Arial" w:cs="Arial" w:eastAsia="Arial" w:hAnsi="Arial"/>
          <w:sz w:val="18"/>
          <w:szCs w:val="18"/>
          <w:color w:val="auto"/>
        </w:rPr>
      </w:pPr>
    </w:p>
    <w:p>
      <w:pPr>
        <w:ind w:left="340" w:right="100" w:hanging="332"/>
        <w:spacing w:after="0" w:line="275" w:lineRule="auto"/>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Monashee Investment Management, LLC is the investment manager of BEMAP Master Fund Ltd, Monashee Pure Alpha SPV I LP, Monashee Solitario Fund LP, Bespoke Alpha MAC MIM LP, SFL SPV I LLC and DS Liquid Div RVA MON LLC and, therefore, has full investment and voting power over the shares held by such funds. Jeff Muller, as Chief Compliance Officer of Monashee Investment Management LLC, has the right to exercise investment and voting power on behalf of the Monashee Funds. Mr. Muller disclaims any beneficial ownership of the shares held by such funds.</w:t>
      </w:r>
    </w:p>
    <w:p>
      <w:pPr>
        <w:spacing w:after="0" w:line="149" w:lineRule="exact"/>
        <w:rPr>
          <w:rFonts w:ascii="Arial" w:cs="Arial" w:eastAsia="Arial" w:hAnsi="Arial"/>
          <w:sz w:val="17"/>
          <w:szCs w:val="17"/>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Brian Robertson served as a director of AHAC prior to the Business Combination.</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Bruce A. Springer served as a director of AHAC prior to the Business Combination.</w:t>
      </w:r>
    </w:p>
    <w:p>
      <w:pPr>
        <w:spacing w:after="0" w:line="184"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Patrick Fuchs and Alexander Ospelt are directors of Busolantix Investment S.A. and share full voting and dispositive power over the shares held thereby.</w:t>
      </w:r>
    </w:p>
    <w:p>
      <w:pPr>
        <w:spacing w:after="0" w:line="143"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His Excellency Sheikh Hamad Bin Jassim Bin Jabr Al-Thani and his family have full voting and dispositive power over the shares held by Challenger Universal Limited.</w:t>
      </w:r>
    </w:p>
    <w:p>
      <w:pPr>
        <w:spacing w:after="0" w:line="129" w:lineRule="exact"/>
        <w:rPr>
          <w:rFonts w:ascii="Arial" w:cs="Arial" w:eastAsia="Arial" w:hAnsi="Arial"/>
          <w:sz w:val="18"/>
          <w:szCs w:val="18"/>
          <w:color w:val="auto"/>
        </w:rPr>
      </w:pPr>
    </w:p>
    <w:p>
      <w:pPr>
        <w:ind w:left="340" w:hanging="332"/>
        <w:spacing w:after="0" w:line="275" w:lineRule="auto"/>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this prospectus.</w:t>
      </w:r>
    </w:p>
    <w:p>
      <w:pPr>
        <w:spacing w:after="0" w:line="135" w:lineRule="exact"/>
        <w:rPr>
          <w:rFonts w:ascii="Arial" w:cs="Arial" w:eastAsia="Arial" w:hAnsi="Arial"/>
          <w:sz w:val="17"/>
          <w:szCs w:val="17"/>
          <w:color w:val="auto"/>
        </w:rPr>
      </w:pPr>
    </w:p>
    <w:p>
      <w:pPr>
        <w:ind w:left="340" w:right="40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Dan Friis is a director of Dan Friis Alternatives Ltd. and has full voting and dispositive power over the shares held by Dan Friis Alternatives Ltd.</w:t>
      </w:r>
    </w:p>
    <w:p>
      <w:pPr>
        <w:spacing w:after="0" w:line="143"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James G. Dinan is the President and Treasurer, and a member of the board of directors, of the Dinan Family Foundation. As a result, Mr. Dinan may be deemed to be the beneficial owner of all shares of common stock directly owned by the Dinan Family Foundation. YGA (defined below) disclaims beneficial ownership of all shares of common stock directly owned by the Dinan Family Foundation.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34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James G. Dinan is a general partner of Dinan Family LP. As a result, Mr. Dinan may be deemed to be the beneficial owner of all shares of common stock directly owned by Dinan Family LP.</w:t>
      </w:r>
    </w:p>
    <w:p>
      <w:pPr>
        <w:spacing w:after="0" w:line="143" w:lineRule="exact"/>
        <w:rPr>
          <w:rFonts w:ascii="Arial" w:cs="Arial" w:eastAsia="Arial" w:hAnsi="Arial"/>
          <w:sz w:val="18"/>
          <w:szCs w:val="18"/>
          <w:color w:val="auto"/>
        </w:rPr>
      </w:pPr>
    </w:p>
    <w:p>
      <w:pPr>
        <w:ind w:left="340" w:right="20" w:hanging="332"/>
        <w:spacing w:after="0" w:line="296"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James G. Dinan is the chairman and a senior manager of York Capital Management Global Advisors, LLC (“YGA”) and makes voting and investment decisions on behalf of YGA. YGA is the sole senior managing member of Dinan Management, L.L.C., which is the general partner of each of Dinan Management L.P., York Capital Management, L.P. and York Multi Strategy Master Fund, L.P. As a result, YGA may be deemed to be the beneficial owners of the shares held by each of such funds. The directors and executive officers of YGA are James G. Dinan, Chairman and Chief Executive Officer, and John J. Fosina, Chief Financial Officer.</w:t>
      </w:r>
    </w:p>
    <w:p>
      <w:pPr>
        <w:spacing w:after="0" w:line="120" w:lineRule="exact"/>
        <w:rPr>
          <w:rFonts w:ascii="Arial" w:cs="Arial" w:eastAsia="Arial" w:hAnsi="Arial"/>
          <w:sz w:val="16"/>
          <w:szCs w:val="16"/>
          <w:color w:val="auto"/>
        </w:rPr>
      </w:pPr>
    </w:p>
    <w:p>
      <w:pPr>
        <w:ind w:left="340" w:right="16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Ron Sim Chye Hock and Teo Sway Heong, each a director of EQ Capital Pte. Ltd., have full voting and dispositive power over the shares held thereby.</w:t>
      </w:r>
    </w:p>
    <w:p>
      <w:pPr>
        <w:spacing w:after="0" w:line="129" w:lineRule="exact"/>
        <w:rPr>
          <w:rFonts w:ascii="Arial" w:cs="Arial" w:eastAsia="Arial" w:hAnsi="Arial"/>
          <w:sz w:val="18"/>
          <w:szCs w:val="18"/>
          <w:color w:val="auto"/>
        </w:rPr>
      </w:pPr>
    </w:p>
    <w:p>
      <w:pPr>
        <w:ind w:left="340" w:right="180" w:hanging="332"/>
        <w:spacing w:after="0" w:line="259"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Essex Bio-Investment Limited is a wholly-owned subsidiary of Essex Bio-Technology Limited, a Hong Kong publicly traded company. Ngiam Mia Je Patrick is the Chairman, Executive Director and single largest shareholder of Essex Bio-Technology Limited, and a director of Essex Bio-Investment Limited. Mr. Ngiam has full voting and dispositive power over the shares held by Essex Bio-Investment Limited.</w:t>
      </w:r>
    </w:p>
    <w:p>
      <w:pPr>
        <w:spacing w:after="0" w:line="159" w:lineRule="exact"/>
        <w:rPr>
          <w:rFonts w:ascii="Arial" w:cs="Arial" w:eastAsia="Arial" w:hAnsi="Arial"/>
          <w:sz w:val="18"/>
          <w:szCs w:val="18"/>
          <w:color w:val="auto"/>
        </w:rPr>
      </w:pPr>
    </w:p>
    <w:p>
      <w:pPr>
        <w:ind w:left="340" w:hanging="332"/>
        <w:spacing w:after="0" w:line="285"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solely upon a review of a Schedule 13D filed by Fresenius Medical Care Holdings, Inc. ("Fresenius Medical Care") on September 2, 2021, Fresenius Medical Care is a wholly-owned subsidiary of Fresenius Medical Care AG &amp; Co. KGaA ("FMC AG &amp; Co. KGaA") and is the holding company for the North American operations of FMC AG &amp; Co. KGaA. The outstanding share capital of FMC AG &amp; Co. KGaA consists of ordinary shares issued only in bearer form and, accordingly, FMC AG &amp; Co. KGaA faces difficulties precisely determining who its shareholders are at any specified time or how many shares any particular shareholder owns. FMC AG &amp; Co. KGaA has been informed that as of June 30, 2021 Fresenius SE &amp; Co. KGaA ("Fresenius SE") owned 32.2% of FMC AG &amp; Co. KGaA's ordinary shares. Fresenius SE is also the owner of all of the outstanding share capital of Fresenius Medical Care Management AG ("Management AG"), the general partner of FMC AG &amp; Co. KGaA and, accordingly, has the sole power to elect the Supervisory Board of Management AG. The Supervisory Board of Management AG has the sole power to appoint the Management Board of Management AG, which acts for Management AG as general partner in conducting the business of FMC AG &amp; Co. KGaA. Through its ownership of the general partner of FMC AG &amp; Co. KGaA, Fresenius SE has de facto management control of FMC AG &amp; Co. KGaA. Fresenius SE's share capital also consists solely of ordinary shares, issued only in bearer form. Fresenius SE has similar difficulties precisely determining who its shareholders are at any specified time or how many shares any particular shareholder owns. However, based on the most recent notification to Fresenius SE pursuant to the notification requirements of the German Securities Trading Act, Fresenius SE has been informed that the Else Kröner-Fresenius Stiftung (the "Foundation") owns approximately 26.7% of Fresenius SE's ordinary shares. The Foundation is also the sole shareholder of Fresenius Management SE ("FSE Management"), the general partner of Fresenius SE, and has sole power to elect the Supervisory Board of FSE Management, which appoints the Management Board of FSE Management. The Management Board of FSE Management acts for FSE Management as general partner in the management of Fresenius SE.</w:t>
      </w:r>
    </w:p>
    <w:p>
      <w:pPr>
        <w:spacing w:after="0" w:line="128" w:lineRule="exact"/>
        <w:rPr>
          <w:rFonts w:ascii="Arial" w:cs="Arial" w:eastAsia="Arial" w:hAnsi="Arial"/>
          <w:sz w:val="16"/>
          <w:szCs w:val="16"/>
          <w:color w:val="auto"/>
        </w:rPr>
      </w:pPr>
    </w:p>
    <w:p>
      <w:pPr>
        <w:ind w:left="340" w:right="60" w:hanging="332"/>
        <w:spacing w:after="0" w:line="254"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Walleye Manager Opportunities LLC and Walleye Opportunities Master Fund Ltd. are managed accounts of Highmark Limited (the “Managed Accounts”) and Highmark Long/Short Equity 20 is a segregated account of Highmark Limited (the “Segregated Acount”). Pura Vida Investments, LLC serves as the sub-advisor to the Managed Accounts and investment manager to the Segregated Account and to Pura Vida Master Fund, Ltd. Efrem Kamen serves as the managing member of Pura Vida Investments, LLC. As a result, Pura Vida Investments, LLC and Mr. Kamen may be deemed to have shared voting and dispositive power with respect to the shares held in the Segregated Account and Managed Accounts, and by Pura Vida Master Fund, Ltd. Pura Vida Investments, LLC and Mr. Kamen disclaim beneficial ownership of such shares except to the extent of each of their pecuniary interest therein.</w:t>
      </w:r>
    </w:p>
    <w:p>
      <w:pPr>
        <w:spacing w:after="0" w:line="151"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Yili Kevin Xie served as a director of AHAC prior to the Business Combination.</w:t>
      </w:r>
    </w:p>
    <w:p>
      <w:pPr>
        <w:spacing w:after="0" w:line="184" w:lineRule="exact"/>
        <w:rPr>
          <w:rFonts w:ascii="Arial" w:cs="Arial" w:eastAsia="Arial" w:hAnsi="Arial"/>
          <w:sz w:val="18"/>
          <w:szCs w:val="18"/>
          <w:color w:val="auto"/>
        </w:rPr>
      </w:pPr>
    </w:p>
    <w:p>
      <w:pPr>
        <w:ind w:left="340" w:right="60" w:hanging="332"/>
        <w:spacing w:after="0" w:line="274" w:lineRule="auto"/>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Laura Niklason serves as the President and Chief Executive Officer and as a director of Humacyte. Dr. Niklason is married to Brady Dougan, who has full voting and dispositive power over the shares held by Ayabudge LLC. By virtue of this relationship,</w:t>
      </w:r>
    </w:p>
    <w:p>
      <w:pPr>
        <w:ind w:left="340"/>
        <w:spacing w:after="0"/>
        <w:rPr>
          <w:rFonts w:ascii="Arial" w:cs="Arial" w:eastAsia="Arial" w:hAnsi="Arial"/>
          <w:sz w:val="17"/>
          <w:szCs w:val="17"/>
          <w:color w:val="auto"/>
        </w:rPr>
      </w:pPr>
      <w:r>
        <w:rPr>
          <w:rFonts w:ascii="Arial" w:cs="Arial" w:eastAsia="Arial" w:hAnsi="Arial"/>
          <w:sz w:val="18"/>
          <w:szCs w:val="18"/>
          <w:color w:val="auto"/>
        </w:rPr>
        <w:t>Dr. Niklason may be deemed to share beneficial ownership of the securities held of record by Ayabudge LLC.</w:t>
      </w:r>
    </w:p>
    <w:p>
      <w:pPr>
        <w:spacing w:after="0" w:line="183" w:lineRule="exact"/>
        <w:rPr>
          <w:rFonts w:ascii="Arial" w:cs="Arial" w:eastAsia="Arial" w:hAnsi="Arial"/>
          <w:sz w:val="17"/>
          <w:szCs w:val="17"/>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Anand Sharma has full voting and dispositive power over the shares held by Maven Investment Partners US Limited.</w:t>
      </w:r>
    </w:p>
    <w:p>
      <w:pPr>
        <w:spacing w:after="0" w:line="184" w:lineRule="exact"/>
        <w:rPr>
          <w:rFonts w:ascii="Arial" w:cs="Arial" w:eastAsia="Arial" w:hAnsi="Arial"/>
          <w:sz w:val="18"/>
          <w:szCs w:val="18"/>
          <w:color w:val="auto"/>
        </w:rPr>
      </w:pPr>
    </w:p>
    <w:p>
      <w:pPr>
        <w:ind w:left="340" w:right="440" w:hanging="332"/>
        <w:spacing w:after="0" w:line="342"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Morgan Creek Capital Management, LLC ("Morgan Creek Capital Management") is the investment manager of Morgan Creek Private Opportunities, LLC Series I - Humacyte ("Morgan Creek Private Opportunities") and Morgan Creek Capital Partners,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160"/>
        <w:spacing w:after="0" w:line="263" w:lineRule="auto"/>
        <w:rPr>
          <w:sz w:val="20"/>
          <w:szCs w:val="20"/>
          <w:color w:val="auto"/>
        </w:rPr>
      </w:pPr>
      <w:r>
        <w:rPr>
          <w:rFonts w:ascii="Arial" w:cs="Arial" w:eastAsia="Arial" w:hAnsi="Arial"/>
          <w:sz w:val="18"/>
          <w:szCs w:val="18"/>
          <w:color w:val="auto"/>
        </w:rPr>
        <w:t>LLC is the Managing Member of Morgan Creek Private Opportunities. Mark W. Yusko is the managing member of Morgan Creek Capital Management and Morgan Creek Capital Partners, LLC and holds voting and investment power over the shares held by Morgan Creek Private Opportunities.</w:t>
      </w:r>
    </w:p>
    <w:p>
      <w:pPr>
        <w:spacing w:after="0" w:line="157" w:lineRule="exact"/>
        <w:rPr>
          <w:sz w:val="20"/>
          <w:szCs w:val="20"/>
          <w:color w:val="auto"/>
        </w:rPr>
      </w:pPr>
    </w:p>
    <w:p>
      <w:pPr>
        <w:ind w:left="340" w:right="30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board of directors of Natalon Company Limited has voting and dispositive power over the shares held by Natalon Company Limited.</w:t>
      </w:r>
    </w:p>
    <w:p>
      <w:pPr>
        <w:spacing w:after="0" w:line="129"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Kevin Russell, the chief investment officer of UBS O'Connor LLC, the investment manager, has voting and/or investment control over the shares held by Nineteen77 Global Multi-Strategy Alpha Master Limited. Mr. Russell disclaims beneficial ownership of the securities reported herein for purposes of Section 16 of the Exchange Act, except as to such extent of such reporting person's pecuniary interest in the securities.</w:t>
      </w:r>
    </w:p>
    <w:p>
      <w:pPr>
        <w:spacing w:after="0" w:line="146"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Randy Nitzsche is the President and Chief Executive Officer of Northland Securities, Inc. and has full voting and dispositive power over the shares held thereby.</w:t>
      </w:r>
    </w:p>
    <w:p>
      <w:pPr>
        <w:spacing w:after="0" w:line="143" w:lineRule="exact"/>
        <w:rPr>
          <w:rFonts w:ascii="Arial" w:cs="Arial" w:eastAsia="Arial" w:hAnsi="Arial"/>
          <w:sz w:val="18"/>
          <w:szCs w:val="18"/>
          <w:color w:val="auto"/>
        </w:rPr>
      </w:pPr>
    </w:p>
    <w:p>
      <w:pPr>
        <w:ind w:left="340" w:hanging="332"/>
        <w:spacing w:after="0" w:line="273" w:lineRule="auto"/>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OrbiMed Genesis GP LLC is the general partner of OrbiMed Genesis Master Fund, L.P. OrbiMed Advisors LLC is the managing member of OrbiMed Genesis GP LLC. As a result, OrbiMed Genesis GP LLC and OrbiMed Advisors LLC may be deemed to have shared voting power and investment power over the securities held by OrbiMed Genesis Master Fund, L.P. and as a result, may be deemed to have beneficial ownership over such securities. OrbiMed Advisors LLC exercises voting and investment power through a management committee comprised of Carl L. Gordon, Sven H. Borho, and W. Carter Neild, each of whom disclaims beneficial ownership of the shares held by OrbiMed Genesis Master Fund, L.P.</w:t>
      </w:r>
    </w:p>
    <w:p>
      <w:pPr>
        <w:spacing w:after="0" w:line="137" w:lineRule="exact"/>
        <w:rPr>
          <w:rFonts w:ascii="Arial" w:cs="Arial" w:eastAsia="Arial" w:hAnsi="Arial"/>
          <w:sz w:val="17"/>
          <w:szCs w:val="17"/>
          <w:color w:val="auto"/>
        </w:rPr>
      </w:pPr>
    </w:p>
    <w:p>
      <w:pPr>
        <w:jc w:val="both"/>
        <w:ind w:left="340" w:right="440" w:hanging="332"/>
        <w:spacing w:after="0" w:line="259"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OrbiMed Capital LLC is the investment advisor to OrbiMed Partners Master Fund Limited. OrbiMed Capital LLC is a relying advisor of OrbiMed Advisors LLC. OrbiMed Advisors LLC and OrbiMed Capital LLC exercise voting and investment power through a management committee composed of Carl L. Gordon, Sven H. Borho, and W. Carter Neild, each of whom disclaims beneficial ownership of the shares held by OrbiMed Partners Master Fund Limited.</w:t>
      </w:r>
    </w:p>
    <w:p>
      <w:pPr>
        <w:spacing w:after="0" w:line="146"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Pacific Investment Resources Limited is managed by Pacific Eagle Asset Management Limited. Mr. Ong Wey Ter Kelvin, a director of Pacific Eagle Asset Management Limited and acting in such capacity is has voting and dispositive power over the shares held by Pacific Investment Resources Limited.</w:t>
      </w:r>
    </w:p>
    <w:p>
      <w:pPr>
        <w:spacing w:after="0" w:line="143"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Nichola Dunkley is a director of Pelican Point (BVI) Ltd., which has full voting and dispositive power over the shares held by Pan Class F Ventures Ltd.</w:t>
      </w:r>
    </w:p>
    <w:p>
      <w:pPr>
        <w:spacing w:after="0" w:line="143"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Patrick Sturgeon served as Chief Financial Officer and Secretary of AHAC prior to the Business Combination.</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Curtis F. Brockelman, Jr. has full voting and dispositive power over the shares held by Perch Bay Group, LLC.</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Neil Ramsey is the Managing Member of Qubit PE, LLC and has full voting and dispositive power over the shares held thereby.</w:t>
      </w:r>
    </w:p>
    <w:p>
      <w:pPr>
        <w:spacing w:after="0" w:line="221" w:lineRule="exact"/>
        <w:rPr>
          <w:rFonts w:ascii="Arial" w:cs="Arial" w:eastAsia="Arial" w:hAnsi="Arial"/>
          <w:sz w:val="16"/>
          <w:szCs w:val="16"/>
          <w:color w:val="auto"/>
        </w:rPr>
      </w:pPr>
    </w:p>
    <w:p>
      <w:pPr>
        <w:ind w:left="340" w:right="120" w:hanging="332"/>
        <w:spacing w:after="0" w:line="301"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AHAC Sponsor LLC, AHAC’s sponsor prior to the Business Combination, is the record holder of the securities reported herein. Rajiv Shukla, who served as Chief Executive Officer of AHAC prior to the Business Combination, is the managing member of the Sponsor. By virtue of this relationship, Mr. Shukla may be deemed to share beneficial ownership of the securities held of record by our sponsor. Mr. Shukla disclaims any such beneficial ownership except to the extent of his pecuniary interest.</w:t>
      </w:r>
    </w:p>
    <w:p>
      <w:pPr>
        <w:spacing w:after="0" w:line="116" w:lineRule="exact"/>
        <w:rPr>
          <w:rFonts w:ascii="Arial" w:cs="Arial" w:eastAsia="Arial" w:hAnsi="Arial"/>
          <w:sz w:val="16"/>
          <w:szCs w:val="16"/>
          <w:color w:val="auto"/>
        </w:rPr>
      </w:pPr>
    </w:p>
    <w:p>
      <w:pPr>
        <w:ind w:left="340" w:hanging="332"/>
        <w:spacing w:after="0"/>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Rebecca J. Mason has full voting and dispositive power over the shares that she holds of record. Curtis Mason is married to</w:t>
      </w:r>
    </w:p>
    <w:p>
      <w:pPr>
        <w:spacing w:after="0" w:line="34" w:lineRule="exact"/>
        <w:rPr>
          <w:rFonts w:ascii="Arial" w:cs="Arial" w:eastAsia="Arial" w:hAnsi="Arial"/>
          <w:sz w:val="17"/>
          <w:szCs w:val="17"/>
          <w:color w:val="auto"/>
        </w:rPr>
      </w:pPr>
    </w:p>
    <w:p>
      <w:pPr>
        <w:ind w:left="340" w:right="120"/>
        <w:spacing w:after="0" w:line="260" w:lineRule="auto"/>
        <w:rPr>
          <w:rFonts w:ascii="Arial" w:cs="Arial" w:eastAsia="Arial" w:hAnsi="Arial"/>
          <w:sz w:val="17"/>
          <w:szCs w:val="17"/>
          <w:color w:val="auto"/>
        </w:rPr>
      </w:pPr>
      <w:r>
        <w:rPr>
          <w:rFonts w:ascii="Arial" w:cs="Arial" w:eastAsia="Arial" w:hAnsi="Arial"/>
          <w:sz w:val="18"/>
          <w:szCs w:val="18"/>
          <w:color w:val="auto"/>
        </w:rPr>
        <w:t>Ms. Mason. By virtue of this relationship, Mr. Mason may be deemed to share beneficial ownership of the securities held of record by Ms. Mason.</w:t>
      </w:r>
    </w:p>
    <w:p>
      <w:pPr>
        <w:spacing w:after="0" w:line="144" w:lineRule="exact"/>
        <w:rPr>
          <w:rFonts w:ascii="Arial" w:cs="Arial" w:eastAsia="Arial" w:hAnsi="Arial"/>
          <w:sz w:val="17"/>
          <w:szCs w:val="17"/>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Rebecca J. Mason and Curtis Mason share voting and dispositive power over the shares that they hold jointly.</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Michelle Richburg has full voting and dispositive power over the shares held by Richburg Enterprises LLC.</w:t>
      </w:r>
    </w:p>
    <w:p>
      <w:pPr>
        <w:spacing w:after="0" w:line="184"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Daniel A. Schwartz is the senior managing member of Schwartz Management LLC. As a result, Mr. Schwartz may be deemed to be the beneficial owner of all shares of common stock directly owned by Schwartz Management LLC.</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Terrance L. Carlson served as a director of AHAC prior to the Business Combination.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hanging="332"/>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Gavril Abramovich Yushvaev has full voting and dispositive power over the shares held by PTC Trustees GY Limited, as Trustee of The GYF Trust.</w:t>
      </w:r>
    </w:p>
    <w:p>
      <w:pPr>
        <w:spacing w:after="0" w:line="143"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James R. Fencil and Rebecca J. Mason are co-trustees of the Joan Fencil Revocable Trust Dated September 16, 1996 and share voting and dispositive power over the shares held thereby.</w:t>
      </w:r>
    </w:p>
    <w:p>
      <w:pPr>
        <w:spacing w:after="0" w:line="129"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James R. Fencil and Rebecca J. Mason are co-trustees of the James Fencil Family Trust Dated September 4, 2019 and share voting and dispositive power over the shares held thereby.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0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following discussion describes material United States federal income and estate tax considerations relating to the acquisition, ownership, and disposition of shares by a a non-U.S. holder (as defined below) that acquires our shares in this offering and holds them as a capital asset. This discussion is based on the tax laws of the United States, including the Code, Treasury regulations promulgated or proposed thereunder, and administrative and judicial interpretations thereof, all as in effect on the date hereof. These tax laws are subject to change, possibly with retroactive effect, and subject to differing interpretations that could affect the tax consequences described herein. This section does not address the treatment of a non-U.S. holder under the laws of any state, local or foreign taxing jurisdiction</w:t>
      </w:r>
      <w:r>
        <w:rPr>
          <w:rFonts w:ascii="Arial" w:cs="Arial" w:eastAsia="Arial" w:hAnsi="Arial"/>
          <w:sz w:val="17"/>
          <w:szCs w:val="17"/>
          <w:color w:val="auto"/>
        </w:rPr>
        <w:t>.</w:t>
      </w:r>
    </w:p>
    <w:p>
      <w:pPr>
        <w:spacing w:after="0" w:line="11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shares that, for United States federal income tax purposes, is:</w:t>
      </w:r>
    </w:p>
    <w:p>
      <w:pPr>
        <w:spacing w:after="0" w:line="130" w:lineRule="exact"/>
        <w:rPr>
          <w:sz w:val="20"/>
          <w:szCs w:val="20"/>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foreign corporation;</w:t>
      </w:r>
    </w:p>
    <w:p>
      <w:pPr>
        <w:spacing w:after="0" w:line="182" w:lineRule="exact"/>
        <w:rPr>
          <w:rFonts w:ascii="Arial" w:cs="Arial" w:eastAsia="Arial" w:hAnsi="Arial"/>
          <w:sz w:val="18"/>
          <w:szCs w:val="18"/>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an estate the income </w:t>
      </w:r>
      <w:r>
        <w:rPr>
          <w:rFonts w:ascii="Arial" w:cs="Arial" w:eastAsia="Arial" w:hAnsi="Arial"/>
          <w:sz w:val="19"/>
          <w:szCs w:val="19"/>
          <w:color w:val="auto"/>
        </w:rPr>
        <w:t>of</w:t>
      </w:r>
      <w:r>
        <w:rPr>
          <w:rFonts w:ascii="Arial" w:cs="Arial" w:eastAsia="Arial" w:hAnsi="Arial"/>
          <w:sz w:val="18"/>
          <w:szCs w:val="18"/>
          <w:color w:val="auto"/>
        </w:rPr>
        <w:t xml:space="preserve"> which is not subject to United States federal income taxation regardless of its source; or</w:t>
      </w:r>
    </w:p>
    <w:p>
      <w:pPr>
        <w:spacing w:after="0" w:line="189" w:lineRule="exact"/>
        <w:rPr>
          <w:rFonts w:ascii="Arial" w:cs="Arial" w:eastAsia="Arial" w:hAnsi="Arial"/>
          <w:sz w:val="18"/>
          <w:szCs w:val="18"/>
          <w:color w:val="auto"/>
        </w:rPr>
      </w:pPr>
    </w:p>
    <w:p>
      <w:pPr>
        <w:ind w:left="680" w:right="320" w:hanging="321"/>
        <w:spacing w:after="0" w:line="286" w:lineRule="auto"/>
        <w:tabs>
          <w:tab w:leader="none" w:pos="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trust that does not have in effect a valid election under the Treasury regulations to be treated as a United States person and either (1) no court within the United States is able to exercise primary supervision over the trust’s administration or (2) no United States person has the authority to control all substantial decisions of that trust.</w:t>
      </w:r>
    </w:p>
    <w:p>
      <w:pPr>
        <w:spacing w:after="0" w:line="1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This discussion does not address all aspects of United States federal income taxation that may be applicable to holders in light of their particular circumstances or status (including, for example, banks and other financial institutions, insurance companies, brokers and dealers in securities or currencies, traders that have elected to mark securities to market, partnerships or other pass-through entities, corporations that accumulate earnings to avoid United States federal income tax, tax-exempt organizations, pension plans, persons that hold our shares as part of a straddle, hedge or other integrated investment, persons subject to alternative minimum tax, certain United States expatriates, and foreign governments or agencies).</w:t>
      </w:r>
    </w:p>
    <w:p>
      <w:pPr>
        <w:spacing w:after="0" w:line="15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a partnership (including any entity or arrangement treated as a partnership for United States federal income tax purposes) holds our shares, the tax treatment of a person treated as a partner in the partnership for United States federal income tax purposes generally will depend on the status of the partner and the activities of the partnership. Partnerships (and other entities or arrangements so treated for United States federal income tax purposes) and their partners should consult their own tax advisors.</w:t>
      </w:r>
    </w:p>
    <w:p>
      <w:pPr>
        <w:spacing w:after="0" w:line="131"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b w:val="1"/>
          <w:bCs w:val="1"/>
          <w:i w:val="1"/>
          <w:iCs w:val="1"/>
          <w:color w:val="auto"/>
        </w:rPr>
        <w:t>This discussion addresses only non-U.S. holders and does not discuss any tax considerations other than United States federal income tax and certain United States federal estate tax considerations. Prospective investors are urged to consult their own tax advisors regarding the United States federal, state, and local, and foreign tax consequences of the purchase, ownership, and disposition of our shares, including the effect of any applicable income or estate tax treaty.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As discussed above, we have not paid and do not currently expect to pay dividends. If we do make a distribution of cash or property with respect to our shares, any such distribution generally will constitute a dividend for United States federal income tax purposes except as described below. Subject to the discussion below under “—FATCA Withholding” and “—Information Reporting and Backup Withholding,” and except as described below, any such dividends paid to a non-U.S. holder generally will be subject to withholding tax at a 30% rate or at a lower rate under an applicable income tax treaty between the United States and the non-U.S. holder’s country of residence. In order to receive a reduced treaty withholding tax rate, a non-U.S. holder must furnish to us or our paying agent a properly executed Internal Revenue Service Form W-8BEN or Form W-8BEN-E (or other applicable form) prior to payment of the dividend, certifying under penalties of perjury that the non-U.S. holder is entitled to a reduction in withholding under an applicable income tax treaty. A non-U.S. holder that holds our shares through a financial institution or other agent will be required to provide appropriate documentation to the financial institution or other agent, which then will be required to provide certification to us or our paying agent either directly or through other intermediaries. A non-U.S. holder that is eligible for a reduced rate of withholding tax pursuant to an income tax treaty may obtain a refund of any excess amounts withheld by filing a refund claim with the Internal Revenue Service.</w:t>
      </w:r>
    </w:p>
    <w:p>
      <w:pPr>
        <w:spacing w:after="0" w:line="12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If a dividend is “effectively connected” with the conduct of a trade or business in the United States of the non-U.S. holder (and, if an applicable income tax treaty so provides, attributable to a permanent establishment or fixed base maintained by the non-U.S. holder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United States), the non-U.S. holder is exempt from the withholding tax described above provided that the holder has furnished to us or our paying agent an Internal Revenue Service Form W-8ECI (or applicable successor form), certifying under penalties of perjury that the dividend is effectively connected with the non-U.S. holder’s conduct of a trade or business in the United States (and, if an applicable income tax treaty so provides, attributable to a permanent establishment or fixed base maintained in the United States). “Effectively connected” dividends will generally be subject to United States federal income tax at the rates that also apply to U.S. persons. A corporate non-U.S. holder may, under certain circumstances, be subject to an additional branch profits tax at a 30% rate (or at a lower rate under an applicable income tax treaty) with respect to its “effectively connected” dividends.</w:t>
      </w:r>
    </w:p>
    <w:p>
      <w:pPr>
        <w:spacing w:after="0" w:line="13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To the extent a distribution with respect to our shares exceeds our current or accumulated earnings and profits, as determined under United States federal income tax principles, the distribution will be treated, first, as a tax-free return of the non-U.S. holder’s investment, up to the holder’s adjusted tax basis in its shares, and, thereafter, as capital gain, which is subject to the tax treatment described below in “—Gain on Sale, Exchange or Other Taxable Disposition.”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Subject to the discussion below under “—FATCA Withholding” and “—Information Reporting and Backup Withholding,” a non-U.S. holder generally will not be subject to United States federal income tax or withholding tax on gain realized upon a sale, exchange or other taxable disposition of shares (including a redemption, but only if the redemption would be treated as a sale or exchange rather than a distribution for United States federal income tax purposes) unless:</w:t>
      </w:r>
    </w:p>
    <w:p>
      <w:pPr>
        <w:spacing w:after="0" w:line="160" w:lineRule="exact"/>
        <w:rPr>
          <w:sz w:val="20"/>
          <w:szCs w:val="20"/>
          <w:color w:val="auto"/>
        </w:rPr>
      </w:pPr>
    </w:p>
    <w:p>
      <w:pPr>
        <w:ind w:left="680" w:hanging="321"/>
        <w:spacing w:after="0" w:line="254" w:lineRule="auto"/>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of the non-U.S. holder in the United States (and, if required by an applicable income tax treaty, the gain is attributable to a permanent establishment or fixed base maintained in the United States), in which case the non-U.S. holder generally will be subject to United States federal income tax on a net income basis with respect to such gain in the same manner as if such holder were a resident of the United States and, if the non-U.S. holder is a corporation for United States federal income tax purposes, may, under certain circumstances, be subject to an additional “branch profits tax” at a 30% rate (or at a lower rate under an applicable income tax treaty) on its “effectively connected” gains;</w:t>
      </w:r>
    </w:p>
    <w:p>
      <w:pPr>
        <w:spacing w:after="0" w:line="154" w:lineRule="exact"/>
        <w:rPr>
          <w:rFonts w:ascii="Arial" w:cs="Arial" w:eastAsia="Arial" w:hAnsi="Arial"/>
          <w:sz w:val="18"/>
          <w:szCs w:val="18"/>
          <w:color w:val="auto"/>
        </w:rPr>
      </w:pPr>
    </w:p>
    <w:p>
      <w:pPr>
        <w:ind w:left="680" w:right="300" w:hanging="321"/>
        <w:spacing w:after="0" w:line="259" w:lineRule="auto"/>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or more days in the taxable year of the disposition and meets certain other conditions, in which case the non-U.S. holder generally will be subject to United States federal income tax at a 30% rate (or at a lower rate under an applicable income tax treaty) on the gain derived from the sale, which gain may be offset by U.S.-source capital losses for the year; or</w:t>
      </w:r>
    </w:p>
    <w:p>
      <w:pPr>
        <w:spacing w:after="0" w:line="146" w:lineRule="exact"/>
        <w:rPr>
          <w:rFonts w:ascii="Arial" w:cs="Arial" w:eastAsia="Arial" w:hAnsi="Arial"/>
          <w:sz w:val="18"/>
          <w:szCs w:val="18"/>
          <w:color w:val="auto"/>
        </w:rPr>
      </w:pPr>
    </w:p>
    <w:p>
      <w:pPr>
        <w:ind w:left="680" w:right="120" w:hanging="321"/>
        <w:spacing w:after="0" w:line="272" w:lineRule="auto"/>
        <w:tabs>
          <w:tab w:leader="none" w:pos="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or USRPHC (as described below) at any time within the shorter of the five-year period preceding the disposition and the non-U.S. holder’s holding period for our shares (the “relevant period”) and the non-U.S. holder (i) disposes of our shares during a calendar year when our shares are no longer regularly traded on an established securities market or (ii) owned (directly, indirectly, and constructively) more than 5% of our shares at any time during the relevant period, in which case such a non-U.S. holder will be subject to tax on the gain on the disposition of shares generally as if the gain were effectively connected with the conduct of a trade or business in the United States, except that the “branch profits tax” will not apply.</w:t>
      </w:r>
    </w:p>
    <w:p>
      <w:pPr>
        <w:spacing w:after="0" w:line="13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believe we currently are not, and we do not anticipate becoming, a USRPHC for United States federal income tax purposes. Generally, a corporation is a USRPHC only if the fair market value of its United States real property interests (as defined in the Code) equals or exceeds 50% of the sum of the fair market value of its worldwide real property interests and its other assets used or held for use in a trade or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w:t>
      </w:r>
    </w:p>
    <w:p>
      <w:pPr>
        <w:spacing w:after="0" w:line="1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Sections 1471 through 1474 of the Code and the Treasury regulations issued thereunder (commonly referred to as the Foreign Account Tax Compliance Act, or FATCA) impose a 30% withholding tax on dividends paid on our shares to, and (subject to the proposed Treasury Regulations discussed below) the gross proceeds derived from the sale or other disposition of our shares by, a foreign entity if the foreign entity is:</w:t>
      </w:r>
    </w:p>
    <w:p>
      <w:pPr>
        <w:spacing w:after="0" w:line="146" w:lineRule="exact"/>
        <w:rPr>
          <w:sz w:val="20"/>
          <w:szCs w:val="20"/>
          <w:color w:val="auto"/>
        </w:rPr>
      </w:pPr>
    </w:p>
    <w:p>
      <w:pPr>
        <w:ind w:left="680" w:right="120" w:hanging="321"/>
        <w:spacing w:after="0" w:line="301" w:lineRule="auto"/>
        <w:tabs>
          <w:tab w:leader="none" w:pos="6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“foreign financial institution” (as defined under FATCA) that does not furnish proper documentation, typically on IRS Form W-8BEN-E, evidencing either (i) an exemption from FATCA withholding or (ii) its compliance (or deemed compliance) with specified due diligence, reporting, withholding and certification obligations under FATCA or (iii) residence in a jurisdiction that has entered into an intergovernmental agreement with the United States relating to FATCA and</w:t>
      </w:r>
    </w:p>
    <w:p>
      <w:pPr>
        <w:sectPr>
          <w:pgSz w:w="11900" w:h="16838" w:orient="portrait"/>
          <w:cols w:equalWidth="0" w:num="1">
            <w:col w:w="9900"/>
          </w:cols>
          <w:pgMar w:left="980" w:top="125" w:right="101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compliance with the diligence and reporting requirements of the intergovernmental agreement and local implementing rules; or</w:t>
      </w:r>
    </w:p>
    <w:p>
      <w:pPr>
        <w:spacing w:after="0" w:line="221" w:lineRule="exact"/>
        <w:rPr>
          <w:sz w:val="20"/>
          <w:szCs w:val="20"/>
          <w:color w:val="auto"/>
        </w:rPr>
      </w:pPr>
    </w:p>
    <w:p>
      <w:pPr>
        <w:ind w:left="680" w:right="260" w:hanging="321"/>
        <w:spacing w:after="0" w:line="263" w:lineRule="auto"/>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“non-financial foreign entity” (as defined under FATCA) that does not provide sufficient documentation, typically on IRS Form W-8BEN-E, evidencing either (i) an exemption from FATCA or (ii) adequate information regarding substantial United States beneficial owners of such entity (if any).</w:t>
      </w:r>
    </w:p>
    <w:p>
      <w:pPr>
        <w:spacing w:after="0" w:line="14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Withholding under FATCA generally applies to payments of dividends on our shares and to payments of gross proceeds from a sale or other disposition of our shares. Withholding agents may, however, rely on proposed U.S. Treasury Regulations that would no longer require FATCA withholding on payments of gross proceeds. A withholding agent such as a broker, and not Humacyte, Inc., will determine whether or not to implement gross proceeds FATCA withholding.</w:t>
      </w:r>
    </w:p>
    <w:p>
      <w:pPr>
        <w:spacing w:after="0" w:line="14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a dividend payment is subject to withholding both under FATCA and the withholding tax rules discussed above under “— Dividends,” the withholding under FATCA may be credited against, and therefore reduce, such other withholding tax. Holders of shares should consult their own tax advisors regarding these requirements and whether they may be relevant to their ownership and disposition of the shares.</w:t>
      </w:r>
    </w:p>
    <w:p>
      <w:pPr>
        <w:spacing w:after="0" w:line="16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certain circumstances, a non-U.S. holder will be eligible for refunds or credits of withholding taxes imposed under FATCA by filing a United States federal income tax return. Prospective investors should consult their tax advisors regarding the effect of FATCA on their ownership and disposition of our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8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Except as described below, a non-U.S. holder generally will be exempt from backup withholding and information reporting requirements with respect to dividend payments and the payment of the proceeds from the sale of our shares effected at a United States office of a broker, as long as the payor or broker does not have actual knowledge or reason to know that the holder is a United States person and the holder has furnished to the payor or broker:</w:t>
      </w:r>
    </w:p>
    <w:p>
      <w:pPr>
        <w:spacing w:after="0" w:line="146" w:lineRule="exact"/>
        <w:rPr>
          <w:sz w:val="20"/>
          <w:szCs w:val="20"/>
          <w:color w:val="auto"/>
        </w:rPr>
      </w:pPr>
    </w:p>
    <w:p>
      <w:pPr>
        <w:ind w:left="680" w:right="40" w:hanging="321"/>
        <w:spacing w:after="0" w:line="277" w:lineRule="auto"/>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valid Internal Revenue Service Form W-8BEN or Form W-8BEN-E on which the non-U.S. holder certifies, under penalties of perjury, that it is a non-United States person; or</w:t>
      </w:r>
    </w:p>
    <w:p>
      <w:pPr>
        <w:spacing w:after="0" w:line="143"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documentation upon which it may rely to treat the payments as made to a non-United States person in accordance with Treasury regulations,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the non-U.S. holder otherwise establishes an exemption.</w:t>
      </w:r>
    </w:p>
    <w:p>
      <w:pPr>
        <w:spacing w:after="0" w:line="185"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However, we must report annually to the Internal Revenue Service and to non-U.S. holders the amount of dividends paid to them and the tax withheld with respect to such dividends, regardless of whether withholding was required. Copies of the information returns reporting such dividends and withholding may also be made available to the tax authorities in the country in which the respective non-U.S. holder resides under the provisions of an applicable income tax treaty.</w:t>
      </w:r>
    </w:p>
    <w:p>
      <w:pPr>
        <w:spacing w:after="0" w:line="16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Payment of the proceeds from the sale of our shares effected at a foreign office of a broker generally will not be subject to information reporting or backup withholding. However, a sale of our shares by a non-U.S. holder that is effected at a foreign office of a broker will be subject to information reporting and backup withholding if:</w:t>
      </w:r>
    </w:p>
    <w:p>
      <w:pPr>
        <w:spacing w:after="0" w:line="143" w:lineRule="exact"/>
        <w:rPr>
          <w:sz w:val="20"/>
          <w:szCs w:val="20"/>
          <w:color w:val="auto"/>
        </w:rPr>
      </w:pPr>
    </w:p>
    <w:p>
      <w:pPr>
        <w:ind w:left="680" w:hanging="321"/>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proceeds are transferred to an account maintained by the non-U.S. holder in the United States;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payment of proceeds or the confirmation of the sale is mailed to the non-U.S. holder at a United States address; or</w:t>
      </w:r>
    </w:p>
    <w:p>
      <w:pPr>
        <w:spacing w:after="0" w:line="209" w:lineRule="exact"/>
        <w:rPr>
          <w:rFonts w:ascii="Arial" w:cs="Arial" w:eastAsia="Arial" w:hAnsi="Arial"/>
          <w:sz w:val="17"/>
          <w:szCs w:val="17"/>
          <w:color w:val="auto"/>
        </w:rPr>
      </w:pPr>
    </w:p>
    <w:p>
      <w:pPr>
        <w:ind w:left="680" w:hanging="321"/>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sale has some other specified connection with the United States as provided in the Treasury regulations,</w:t>
      </w:r>
    </w:p>
    <w:p>
      <w:pPr>
        <w:spacing w:after="0" w:line="18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unless the broker does not have actual knowledge or reason to know that the holder is a United States person and the documentation requirements described above are met or the non-U.S. holder otherwise establishes an exemption.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a sale of shares will be subject to information reporting if it is effected at a foreign office of a broker that is:</w:t>
      </w:r>
    </w:p>
    <w:p>
      <w:pPr>
        <w:spacing w:after="0" w:line="198" w:lineRule="exact"/>
        <w:rPr>
          <w:sz w:val="20"/>
          <w:szCs w:val="20"/>
          <w:color w:val="auto"/>
        </w:rPr>
      </w:pPr>
    </w:p>
    <w:p>
      <w:pPr>
        <w:ind w:left="680" w:hanging="321"/>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United States person;</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“controlled foreign corporation” for United States federal income tax purposes;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460" w:hanging="321"/>
        <w:spacing w:after="0" w:line="277" w:lineRule="auto"/>
        <w:tabs>
          <w:tab w:leader="none" w:pos="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is effectively connected with the conduct of a United States trade or business for a specified three-year period; or</w:t>
      </w:r>
    </w:p>
    <w:p>
      <w:pPr>
        <w:spacing w:after="0" w:line="143" w:lineRule="exact"/>
        <w:rPr>
          <w:rFonts w:ascii="Arial" w:cs="Arial" w:eastAsia="Arial" w:hAnsi="Arial"/>
          <w:sz w:val="18"/>
          <w:szCs w:val="18"/>
          <w:color w:val="auto"/>
        </w:rPr>
      </w:pPr>
    </w:p>
    <w:p>
      <w:pPr>
        <w:ind w:left="680" w:right="160" w:hanging="321"/>
        <w:spacing w:after="0" w:line="286" w:lineRule="auto"/>
        <w:tabs>
          <w:tab w:leader="none" w:pos="6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as defined in U.S. Treasury regulations, who in the aggregate hold more than 50% of the income or capital interest in the partnership, or (b) such foreign partnership is engaged in the conduct of a trade or business in the United States,</w:t>
      </w:r>
    </w:p>
    <w:p>
      <w:pPr>
        <w:spacing w:after="0" w:line="1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unless the broker does not have actual knowledge or reason to know that the holder is a United States person and the documentation requirements described above are met or an exemption is otherwise established. Backup withholding will apply if the sale is subject to information reporting and the broker has actual knowledge that the holder is a United States person.</w:t>
      </w:r>
    </w:p>
    <w:p>
      <w:pPr>
        <w:spacing w:after="0" w:line="1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Backup withholding is not an additional tax. A non-U.S. holder generally may obtain a refund of any amounts withheld under the backup withholding rules that exceed the non-U.S. holder’s income tax liability by timely filing a refund claim with the Internal Revenue Service.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estates of nonresident alien decedents generally are subject to United States federal estate tax on property with a United States situs. Because we are a United States corporation, our shares will be United States situs property and therefore will be included in the taxable estate of a nonresident alien decedent at the time of the decedent’s death, unless an applicable estate tax treaty between the United States and the decedent’s country of residence provides otherwise. An estate tax credit is available to reduce the net tax liability of a nonresident alien’s estate, but the estate tax credit for a nonresident alien is generally much smaller than the applicable credit for computing the estate tax of a United States resident. Nonresident aliens should consult their personal tax advisors regarding the United States federal estate tax consequences of owning our shares.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registering the issuance by us of up to 5,177,500 shares of our common stock, which consists of (i) up to 177,500 shares of common stock that are issuable upon the exercise of Private Placement Warrants and (ii) up to 5,000,000 shares of common stock that are issuable upon the exercise of Public Warrants. We are also registering the resale by the selling stockholders of up to 90,069,340 shares of common stock, which consists of (i) up to 17,500,000 PIPE Shares issued in the PIPE Investment, (ii) up to 71,759,179 shares of common stock pursuant to the Investor Rights and Lock-up Agreement and (iii) up to 810,161 shares of common stock purchased by a selling stockholder.</w:t>
      </w:r>
    </w:p>
    <w:p>
      <w:pPr>
        <w:spacing w:after="0" w:line="152"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are required to pay all fees and expenses incident to the registration of the securities to be offered and sold pursuant to this prospectus. The selling stockholders will bear all commissions and discounts, if any, attributable to their sale of shares of our common stock.</w:t>
      </w:r>
    </w:p>
    <w:p>
      <w:pPr>
        <w:spacing w:after="0" w:line="14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will not receive any of the proceeds from the sale of common stock by the selling stockholders. The aggregate proceeds to the selling stockholders will be the purchase price of the common stock less any discounts and commissions borne by the selling stockholders.</w:t>
      </w:r>
    </w:p>
    <w:p>
      <w:pPr>
        <w:spacing w:after="0" w:line="15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shares of common stock beneficially owned by the selling stockholders covered by this prospectus may be offered and sold from time to time by the selling stockholders.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stockholders may sell their shares of common stock by one or more of, or a combination of, the following methods:</w:t>
      </w:r>
    </w:p>
    <w:p>
      <w:pPr>
        <w:spacing w:after="0" w:line="126" w:lineRule="exact"/>
        <w:rPr>
          <w:sz w:val="20"/>
          <w:szCs w:val="20"/>
          <w:color w:val="auto"/>
        </w:rPr>
      </w:pPr>
    </w:p>
    <w:p>
      <w:pPr>
        <w:ind w:left="680" w:hanging="321"/>
        <w:spacing w:after="0"/>
        <w:tabs>
          <w:tab w:leader="none" w:pos="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such broker-dealer for its own account pursuant to this prospectus;</w:t>
      </w:r>
    </w:p>
    <w:p>
      <w:pPr>
        <w:spacing w:after="0" w:line="207" w:lineRule="exact"/>
        <w:rPr>
          <w:rFonts w:ascii="Arial" w:cs="Arial" w:eastAsia="Arial" w:hAnsi="Arial"/>
          <w:sz w:val="16"/>
          <w:szCs w:val="16"/>
          <w:color w:val="auto"/>
        </w:rPr>
      </w:pPr>
    </w:p>
    <w:p>
      <w:pPr>
        <w:ind w:left="680" w:hanging="321"/>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84"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84" w:lineRule="exact"/>
        <w:rPr>
          <w:rFonts w:ascii="Arial" w:cs="Arial" w:eastAsia="Arial" w:hAnsi="Arial"/>
          <w:sz w:val="18"/>
          <w:szCs w:val="18"/>
          <w:color w:val="auto"/>
        </w:rPr>
      </w:pPr>
    </w:p>
    <w:p>
      <w:pPr>
        <w:ind w:left="680" w:right="60" w:hanging="321"/>
        <w:spacing w:after="0" w:line="263"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through trading plans entered into by a selling stockholder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or through underwriters, agents or broker-dealers;</w:t>
      </w:r>
    </w:p>
    <w:p>
      <w:pPr>
        <w:spacing w:after="0" w:line="198" w:lineRule="exact"/>
        <w:rPr>
          <w:rFonts w:ascii="Arial" w:cs="Arial" w:eastAsia="Arial" w:hAnsi="Arial"/>
          <w:sz w:val="18"/>
          <w:szCs w:val="18"/>
          <w:color w:val="auto"/>
        </w:rPr>
      </w:pPr>
    </w:p>
    <w:p>
      <w:pPr>
        <w:jc w:val="both"/>
        <w:ind w:left="680" w:right="200" w:hanging="321"/>
        <w:spacing w:after="0" w:line="311" w:lineRule="auto"/>
        <w:tabs>
          <w:tab w:leader="none" w:pos="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08" w:lineRule="exact"/>
        <w:rPr>
          <w:rFonts w:ascii="Arial" w:cs="Arial" w:eastAsia="Arial" w:hAnsi="Arial"/>
          <w:sz w:val="16"/>
          <w:szCs w:val="16"/>
          <w:color w:val="auto"/>
        </w:rPr>
      </w:pPr>
    </w:p>
    <w:p>
      <w:pPr>
        <w:ind w:left="680" w:hanging="321"/>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options transactions;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8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In addition, any securities that qualify for sale pursuant to Rule 144 may be sold under Rule 144 rather than pursuant to this prospectus.</w:t>
      </w:r>
    </w:p>
    <w:p>
      <w:pPr>
        <w:spacing w:after="0" w:line="14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 In connection with distributions of the common stock or otherwise, the selling stockholders may enter into hedging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transactions with broker-dealers or other financial institutions. In connection with such transactions, broker-dealers or other financial institutions may engage in short sales of common stock in the course</w:t>
      </w:r>
    </w:p>
    <w:p>
      <w:pPr>
        <w:spacing w:after="0" w:line="14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of hedging the positions they assume with selling stockholders. The selling stockholders may also sell shares of common stock short and redeliver the shares to close out such short positions. The selling stockholders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may also pledge shares of common stock to a broker-dealer or other financial institution, and, upon a default, such broker-dealer or other financial institution may effect sales of the pledged shares pursuant to this prospectus (as supplemented or amended to reflect such transaction).</w:t>
      </w:r>
    </w:p>
    <w:p>
      <w:pPr>
        <w:spacing w:after="0" w:line="126"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A selling stockholder may enter into derivative transactions with third parties, or sell securities not covered by this prospectus to third parties in privately negotiated transactions. If an applicable prospectus supplement indicates, in connection with those derivatives, the third parties may sell shares of common stock covered by this prospectus and the applicable prospectus supplement, including in short sale transactions. If so, the third party may use securities pledged by any selling stockholder or borrowed from any selling stockholder or others to settle those sales or to close out any related open borrowings of stock, and may use securities received from any selling stockholder in settlement of those derivatives to close out any related open borrowings of stock. If treated as so under applicable securities laws, the third party in such sale transactions will be an underwriter and will be identified in the applicable prospectus supplement (or a post-effective amendment). In addition, any selling stockholder may otherwise loan or pledge shares of common stock to a financial institution or other third party that in turn may sell the shares short using this prospectus. Such financial institution or other third party may transfer its economic short position to investors in our securities or in connection with a concurrent offering of other securities.</w:t>
      </w:r>
    </w:p>
    <w:p>
      <w:pPr>
        <w:spacing w:after="0" w:line="141"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5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offering the shares of common stock covered by this prospectus, the selling stockholders and any broker-dealers who execute sales for them may be deemed to be “underwriters” within the meaning of the Securities Act in connection with such sales. Any profits realized by selling stockholders who are “underwriters,” and the compensation of any broker-dealer who executes sales for them, may be deemed to be underwriting discounts and commissions.</w:t>
      </w:r>
    </w:p>
    <w:p>
      <w:pPr>
        <w:spacing w:after="0" w:line="1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common stock must be sold in such jurisdictions only through registered or licensed brokers or dealers. In addition, in certain states the shares of common stock may not be sold unless they have been registered or qualified for sale in the applicable state or an exemption from the registration or qualification requirement is available and is complied with.</w:t>
      </w:r>
    </w:p>
    <w:p>
      <w:pPr>
        <w:spacing w:after="0" w:line="146"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We have advised the selling stockholders that the anti-manipulation rules of Regulation M under the Exchange Act may apply to sales of common stock in the market and to the activities of the selling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common stock against certain liabilities, including liabilities arising under the Securities Act.</w:t>
      </w:r>
    </w:p>
    <w:p>
      <w:pPr>
        <w:spacing w:after="0" w:line="13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At the time a particular offer of shares of common stock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44"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We have agreed to indemnify the selling stockholders against certain liabilities, including liabilities under the Securities Act and state securities laws, relating to the registration of the shares of common stock offered by this prospectus.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validity of the securities offered by this prospectus will be passed upon by Covington &amp; Burling LLP.</w:t>
      </w:r>
    </w:p>
    <w:p>
      <w:pPr>
        <w:spacing w:after="0" w:line="18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financial statements of Alpha Healthcare Acquisition Corp. as of December 31, 2020, and for the period from July 1, 2020 (inception) through December 31, 2020, included in this prospectus have been audited by Marcum LLP, independent registered public accounting firm, as stated in their report herein, appearing elsewhere in this prospectus, and are included in reliance upon such report given on the authority of such firm as experts in accounting and auditing.</w:t>
      </w:r>
    </w:p>
    <w:p>
      <w:pPr>
        <w:spacing w:after="0" w:line="16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financial statements of Humacyte, Inc. as of December 31, 2020 and 2019 and for the years then ended included in this prospectus have been so included in reliance on the report (which contains an explanatory paragraph relating to Humacyte, Inc.’s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THE REGISTRANT’S CERTIFYING ACCOUNTANT</w:t>
      </w:r>
    </w:p>
    <w:p>
      <w:pPr>
        <w:spacing w:after="0" w:line="18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August 24, 2021, the Board approved a resolution appointing PricewaterhouseCoopers LLP (“PwC”) as Humacyte’s independent registered public accounting firm to audit Humacyte’s consolidated financial statements for the fiscal year ending December 31, 2021. PwC served as the independent registered public accounting firm of Legacy Humacyte prior to the Business Combination. Accordingly, Marcum LLP (“Marcum”), AHAC’s independent registered public accounting firm prior to the Business Combination, was informed on August 25, 2021 that it was dismissed as Humacyte’s independent registered public accounting firm.</w:t>
      </w:r>
    </w:p>
    <w:p>
      <w:pPr>
        <w:spacing w:after="0" w:line="136"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report of Marcum on AHAC’s financial statements as of and for the most recent fiscal year ended December 31, 2020 did not contain an adverse opinion or a disclaimer of opinion, and were not qualified or modified as to uncertainties, audit scope or accounting principles, except as follows: Marcum’s report on AHAC’s financial statements as of and for the fiscal year ended December 31, 2020 contained a separate paragraph stating, “As discussed in Note 2 to the financial statements, the accompanying financial statements as of December 31, 2020 and for the period from July 1, 2020 (inception) through December 31, 2020, have been restated.”</w:t>
      </w:r>
    </w:p>
    <w:p>
      <w:pPr>
        <w:spacing w:after="0" w:line="13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During AHAC’s fiscal year ended December 31, 2020 and the subsequent interim period through August 25, 2021, there were no disagreements between AHAC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AHAC’s financial statements for such year.</w:t>
      </w:r>
    </w:p>
    <w:p>
      <w:pPr>
        <w:spacing w:after="0" w:line="13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AHAC’s fiscal year ended December 31, 2020 and the subsequent interim period through August 25, 2021, there were no “reportable events” (as defined in Item 304(a)(1)(v) of Regulation S-K (“Regulation S-K”) under the Exchange Act, except that Marcum advised AHAC of the following material weakness: internal control over financial reporting did not result in sufficient risk assessment of the underlying accounting for certain financial instruments.</w:t>
      </w:r>
    </w:p>
    <w:p>
      <w:pPr>
        <w:spacing w:after="0" w:line="14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Humacyte provided Marcum with a copy of the foregoing disclosures and has requested that Marcum furnish Humacyte with a letter addressed to the SEC stating whether it agrees with the statements made by Humacyte set forth above. A copy of Marcum’s letter, dated August 27, 2021, is filed as Exhibit 16.1 to the registration statement of which this prospectus forms a part.</w:t>
      </w:r>
    </w:p>
    <w:p>
      <w:pPr>
        <w:spacing w:after="0" w:line="13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During the fiscal year ending December 31, 2020 and the subsequent interim period through August 25, 2021, neither Humacyte, nor any party on behalf of Humacyte, consulted with PwC with respect to either (i) the application of accounting principles to a specified transaction, either completed or proposed, or the type of the audit opinion that might be rendered with respect to Humacyte’s consolidated financial statements, and no written report or oral advice was provided to Humacyte by PwC that was an important factor considered by Humacyte in reaching a decision as to any accounting, auditing or financial reporting issue, or (ii) any matter that was subject to any disagreement (as that term is defined in Item 304(a)(1)(iv) of Regulation S-K and the related instructions) or a reportable event (as that term is defined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our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www.sec.gov.</w:t>
      </w:r>
    </w:p>
    <w:p>
      <w:pPr>
        <w:spacing w:after="0" w:line="126"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www.humacyte.com, at which you may access these materials free of charge as soon as reasonably practicable after they are electronically filed with, or furnished to, the SEC. Humacyte’s website and the information contained on, or that can be accessed through, such website are not deemed to be incorporated by reference in, and are not considered part of, this prospectus.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85"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HUMACYTE, INC.</w:t>
      </w:r>
    </w:p>
    <w:p>
      <w:pPr>
        <w:spacing w:after="0" w:line="200" w:lineRule="exact"/>
        <w:rPr>
          <w:sz w:val="20"/>
          <w:szCs w:val="20"/>
          <w:color w:val="auto"/>
        </w:rPr>
      </w:pPr>
    </w:p>
    <w:p>
      <w:pPr>
        <w:spacing w:after="0" w:line="201" w:lineRule="exact"/>
        <w:rPr>
          <w:sz w:val="20"/>
          <w:szCs w:val="20"/>
          <w:color w:val="auto"/>
        </w:rPr>
      </w:pPr>
    </w:p>
    <w:p>
      <w:pPr>
        <w:ind w:left="140" w:right="340" w:hanging="129"/>
        <w:spacing w:after="0" w:line="261" w:lineRule="auto"/>
        <w:rPr>
          <w:sz w:val="20"/>
          <w:szCs w:val="20"/>
          <w:color w:val="auto"/>
        </w:rPr>
      </w:pPr>
      <w:r>
        <w:rPr>
          <w:rFonts w:ascii="Arial" w:cs="Arial" w:eastAsia="Arial" w:hAnsi="Arial"/>
          <w:sz w:val="18"/>
          <w:szCs w:val="18"/>
          <w:b w:val="1"/>
          <w:bCs w:val="1"/>
          <w:color w:val="auto"/>
        </w:rPr>
        <w:t>Audited Financial Statements as of and for the years ended December 31, 2020 and 2019 and Unaudited Financial Statements as of and for the six months ended June 30, 2021 and 2020</w:t>
      </w: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Balance Sheet December 31, 2020</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Statement of Operations for the period from July 1, 2020 to December 31, 2020</w:t>
        </w:r>
      </w:hyperlink>
    </w:p>
    <w:p>
      <w:pPr>
        <w:spacing w:after="0" w:line="9" w:lineRule="exact"/>
        <w:rPr>
          <w:sz w:val="20"/>
          <w:szCs w:val="20"/>
          <w:color w:val="auto"/>
        </w:rPr>
      </w:pPr>
    </w:p>
    <w:p>
      <w:pPr>
        <w:ind w:right="1740"/>
        <w:spacing w:after="0" w:line="255" w:lineRule="auto"/>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Statement of Changes in Stockholders’ Equity for the period from July 1, 2020 to December 31, 2020</w:t>
        </w:r>
      </w:hyperlink>
      <w:r>
        <w:rPr>
          <w:rFonts w:ascii="Arial" w:cs="Arial" w:eastAsia="Arial" w:hAnsi="Arial"/>
          <w:sz w:val="18"/>
          <w:szCs w:val="18"/>
          <w:u w:val="single" w:color="auto"/>
          <w:color w:val="0000EE"/>
        </w:rPr>
        <w:t xml:space="preserve"> </w:t>
      </w:r>
      <w:hyperlink w:anchor="page176">
        <w:r>
          <w:rPr>
            <w:rFonts w:ascii="Arial" w:cs="Arial" w:eastAsia="Arial" w:hAnsi="Arial"/>
            <w:sz w:val="18"/>
            <w:szCs w:val="18"/>
            <w:u w:val="single" w:color="auto"/>
            <w:color w:val="0000EE"/>
          </w:rPr>
          <w:t>Statement of Cash Flows for the period from July 1, 2020 to December 31, 2020</w:t>
        </w:r>
      </w:hyperlink>
      <w:r>
        <w:rPr>
          <w:rFonts w:ascii="Arial" w:cs="Arial" w:eastAsia="Arial" w:hAnsi="Arial"/>
          <w:sz w:val="18"/>
          <w:szCs w:val="18"/>
          <w:u w:val="single" w:color="auto"/>
          <w:color w:val="0000EE"/>
        </w:rPr>
        <w:t xml:space="preserve"> </w:t>
      </w:r>
      <w:hyperlink w:anchor="page177">
        <w:r>
          <w:rPr>
            <w:rFonts w:ascii="Arial" w:cs="Arial" w:eastAsia="Arial" w:hAnsi="Arial"/>
            <w:sz w:val="18"/>
            <w:szCs w:val="18"/>
            <w:u w:val="single" w:color="auto"/>
            <w:color w:val="0000EE"/>
          </w:rPr>
          <w:t>Notes to Financial Statements</w:t>
        </w:r>
      </w:hyperlink>
    </w:p>
    <w:p>
      <w:pPr>
        <w:spacing w:after="0" w:line="186" w:lineRule="exact"/>
        <w:rPr>
          <w:rFonts w:ascii="Arial" w:cs="Arial" w:eastAsia="Arial" w:hAnsi="Arial"/>
          <w:sz w:val="18"/>
          <w:szCs w:val="18"/>
          <w:u w:val="single" w:color="auto"/>
          <w:color w:val="0000EE"/>
        </w:rPr>
      </w:pPr>
    </w:p>
    <w:p>
      <w:pPr>
        <w:ind w:left="3060"/>
        <w:spacing w:after="0"/>
        <w:rPr>
          <w:sz w:val="20"/>
          <w:szCs w:val="20"/>
          <w:color w:val="auto"/>
        </w:rPr>
      </w:pPr>
      <w:r>
        <w:rPr>
          <w:rFonts w:ascii="Arial" w:cs="Arial" w:eastAsia="Arial" w:hAnsi="Arial"/>
          <w:sz w:val="18"/>
          <w:szCs w:val="18"/>
          <w:b w:val="1"/>
          <w:bCs w:val="1"/>
          <w:color w:val="auto"/>
        </w:rPr>
        <w:t>ALPHA HEALTHCARE ACQUISITION CORP.</w:t>
      </w:r>
    </w:p>
    <w:p>
      <w:pPr>
        <w:spacing w:after="0" w:line="200" w:lineRule="exact"/>
        <w:rPr>
          <w:rFonts w:ascii="Arial" w:cs="Arial" w:eastAsia="Arial" w:hAnsi="Arial"/>
          <w:sz w:val="18"/>
          <w:szCs w:val="18"/>
          <w:u w:val="single" w:color="auto"/>
          <w:color w:val="0000EE"/>
        </w:rPr>
      </w:pPr>
    </w:p>
    <w:p>
      <w:pPr>
        <w:spacing w:after="0" w:line="214" w:lineRule="exact"/>
        <w:rPr>
          <w:rFonts w:ascii="Arial" w:cs="Arial" w:eastAsia="Arial" w:hAnsi="Arial"/>
          <w:sz w:val="18"/>
          <w:szCs w:val="18"/>
          <w:u w:val="single" w:color="auto"/>
          <w:color w:val="0000EE"/>
        </w:rPr>
      </w:pPr>
    </w:p>
    <w:p>
      <w:pPr>
        <w:ind w:right="2180"/>
        <w:spacing w:after="0" w:line="257" w:lineRule="auto"/>
        <w:rPr>
          <w:rFonts w:ascii="Arial" w:cs="Arial" w:eastAsia="Arial" w:hAnsi="Arial"/>
          <w:sz w:val="18"/>
          <w:szCs w:val="18"/>
          <w:u w:val="single" w:color="auto"/>
          <w:color w:val="0000EE"/>
        </w:rPr>
      </w:pPr>
      <w:r>
        <w:rPr>
          <w:rFonts w:ascii="Arial" w:cs="Arial" w:eastAsia="Arial" w:hAnsi="Arial"/>
          <w:sz w:val="18"/>
          <w:szCs w:val="18"/>
          <w:b w:val="1"/>
          <w:bCs w:val="1"/>
          <w:color w:val="auto"/>
        </w:rPr>
        <w:t xml:space="preserve">Audited consolidated financial statements as of and for the year ended December 31, 2020 </w:t>
      </w:r>
      <w:hyperlink w:anchor="page204">
        <w:r>
          <w:rPr>
            <w:rFonts w:ascii="Arial" w:cs="Arial" w:eastAsia="Arial" w:hAnsi="Arial"/>
            <w:sz w:val="18"/>
            <w:szCs w:val="18"/>
            <w:u w:val="single" w:color="auto"/>
            <w:color w:val="0000EE"/>
          </w:rPr>
          <w:t>Report of Independent Registered Public Accounting Firm</w:t>
        </w:r>
      </w:hyperlink>
      <w:r>
        <w:rPr>
          <w:rFonts w:ascii="Arial" w:cs="Arial" w:eastAsia="Arial" w:hAnsi="Arial"/>
          <w:sz w:val="18"/>
          <w:szCs w:val="18"/>
          <w:u w:val="single" w:color="auto"/>
          <w:color w:val="0000EE"/>
        </w:rPr>
        <w:t xml:space="preserve"> </w:t>
      </w:r>
      <w:hyperlink w:anchor="page205">
        <w:r>
          <w:rPr>
            <w:rFonts w:ascii="Arial" w:cs="Arial" w:eastAsia="Arial" w:hAnsi="Arial"/>
            <w:sz w:val="18"/>
            <w:szCs w:val="18"/>
            <w:u w:val="single" w:color="auto"/>
            <w:color w:val="0000EE"/>
          </w:rPr>
          <w:t>Balance Sheet December 31, 2020 (as restated)</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Statement of Operations for the period from July 1, 2020 (inception) to December 31, 2020 (as restated)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207">
        <w:r>
          <w:rPr>
            <w:rFonts w:ascii="Arial" w:cs="Arial" w:eastAsia="Arial" w:hAnsi="Arial"/>
            <w:sz w:val="16"/>
            <w:szCs w:val="16"/>
            <w:u w:val="single" w:color="auto"/>
            <w:color w:val="0000EE"/>
          </w:rPr>
          <w:t>Statement of Changes in Stockholders’ Equity for the period from July 1, 2020 (inception) to December 31, 2020 (as restated)</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Statement of Cash Flows for the period from July 1, 2020 (inception) to December 31, 2020 (as restated)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Notes to Financial Statements (as restated)</w:t>
        </w:r>
      </w:hyperlink>
    </w:p>
    <w:p>
      <w:pPr>
        <w:spacing w:after="0" w:line="382" w:lineRule="exact"/>
        <w:rPr>
          <w:sz w:val="20"/>
          <w:szCs w:val="20"/>
          <w:color w:val="auto"/>
        </w:rPr>
      </w:pPr>
    </w:p>
    <w:p>
      <w:pPr>
        <w:ind w:left="140" w:right="240" w:hanging="129"/>
        <w:spacing w:after="0" w:line="261" w:lineRule="auto"/>
        <w:rPr>
          <w:sz w:val="20"/>
          <w:szCs w:val="20"/>
          <w:color w:val="auto"/>
        </w:rPr>
      </w:pPr>
      <w:r>
        <w:rPr>
          <w:rFonts w:ascii="Arial" w:cs="Arial" w:eastAsia="Arial" w:hAnsi="Arial"/>
          <w:sz w:val="18"/>
          <w:szCs w:val="18"/>
          <w:b w:val="1"/>
          <w:bCs w:val="1"/>
          <w:color w:val="auto"/>
        </w:rPr>
        <w:t>Unaudited condensed financial statements as of June 30, 2021 and December 31, 2020 and for the six months ended June 30, 2021 and 2020</w:t>
      </w:r>
    </w:p>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Balance Sheet June 30, 2021 (unaudited) and December 31, 2020 (as restated)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Statement of Operations for the three and six months ended June 30, 2021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Statement of Changes in Stockholders’ Equity for the three and six months ended June 30, 2021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Statement of Cash Flows for the three and six months ended June 30, 2021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Notes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6350</wp:posOffset>
            </wp:positionV>
            <wp:extent cx="4711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6350</wp:posOffset>
            </wp:positionV>
            <wp:extent cx="4711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F-35</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F-36</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F-37</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F-38</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F-39</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F-40</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6350</wp:posOffset>
            </wp:positionV>
            <wp:extent cx="4711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F-57</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F-58</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F-59</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F-60</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F-61</w:t>
      </w:r>
    </w:p>
    <w:p>
      <w:pPr>
        <w:sectPr>
          <w:pgSz w:w="11900" w:h="16838" w:orient="portrait"/>
          <w:cols w:equalWidth="0" w:num="2">
            <w:col w:w="9080" w:space="320"/>
            <w:col w:w="520"/>
          </w:cols>
          <w:pgMar w:left="980" w:top="517" w:right="99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Humacyte,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audited the accompanying balance sheets of Humacyte, Inc. (the “Company”) as of December 31, 2020 and 2019, and the related statements of operations and comprehensive loss, of changes in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discussed in Note 2 to the financial statements, the Company changed the manner in which it accounts for leases in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As discussed in Note 1 to the financial statements, the Company has generated no product revenue and has incurred net losses and negative cash flows from operations in each year since inception. This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We conducted our audits of these financial statements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4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Humacyte, Inc.</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ind w:left="18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4"/>
                <w:szCs w:val="14"/>
                <w:color w:val="auto"/>
              </w:rPr>
            </w:pPr>
          </w:p>
        </w:tc>
        <w:tc>
          <w:tcPr>
            <w:tcW w:w="74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4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6"/>
              </w:rPr>
              <w:t>2021</w:t>
            </w:r>
          </w:p>
        </w:tc>
      </w:tr>
      <w:tr>
        <w:trPr>
          <w:trHeight w:val="142"/>
        </w:trPr>
        <w:tc>
          <w:tcPr>
            <w:tcW w:w="4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r>
      <w:tr>
        <w:trPr>
          <w:trHeight w:val="148"/>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8"/>
        </w:trPr>
        <w:tc>
          <w:tcPr>
            <w:tcW w:w="46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4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93,713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39,929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28,969</w:t>
            </w:r>
          </w:p>
        </w:tc>
      </w:tr>
      <w:tr>
        <w:trPr>
          <w:trHeight w:val="148"/>
        </w:trPr>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w:t>
            </w: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689</w:t>
            </w:r>
          </w:p>
        </w:tc>
      </w:tr>
      <w:tr>
        <w:trPr>
          <w:trHeight w:val="148"/>
        </w:trPr>
        <w:tc>
          <w:tcPr>
            <w:tcW w:w="4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w:t>
            </w:r>
          </w:p>
        </w:tc>
        <w:tc>
          <w:tcPr>
            <w:tcW w:w="23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1,407</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1,482</w:t>
            </w:r>
          </w:p>
        </w:tc>
      </w:tr>
      <w:tr>
        <w:trPr>
          <w:trHeight w:val="142"/>
        </w:trPr>
        <w:tc>
          <w:tcPr>
            <w:tcW w:w="46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current assets</w:t>
            </w:r>
          </w:p>
        </w:tc>
        <w:tc>
          <w:tcPr>
            <w:tcW w:w="2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94,954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41,449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31,140</w:t>
            </w:r>
          </w:p>
        </w:tc>
      </w:tr>
      <w:tr>
        <w:trPr>
          <w:trHeight w:val="142"/>
        </w:trPr>
        <w:tc>
          <w:tcPr>
            <w:tcW w:w="46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Finance lease right-of-use assets, net</w:t>
            </w: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25,552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23,492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22,462</w:t>
            </w:r>
          </w:p>
        </w:tc>
      </w:tr>
      <w:tr>
        <w:trPr>
          <w:trHeight w:val="148"/>
        </w:trPr>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Operating lease right-of-use assets, net</w:t>
            </w: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897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748</w:t>
            </w:r>
          </w:p>
        </w:tc>
      </w:tr>
      <w:tr>
        <w:trPr>
          <w:trHeight w:val="149"/>
        </w:trPr>
        <w:tc>
          <w:tcPr>
            <w:tcW w:w="4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and equipment, .</w:t>
            </w: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47,288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40,978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37,960</w:t>
            </w:r>
          </w:p>
        </w:tc>
      </w:tr>
      <w:tr>
        <w:trPr>
          <w:trHeight w:val="148"/>
        </w:trPr>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Deferred offering costs</w:t>
            </w: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3,242</w:t>
            </w:r>
          </w:p>
        </w:tc>
      </w:tr>
      <w:tr>
        <w:trPr>
          <w:trHeight w:val="142"/>
        </w:trPr>
        <w:tc>
          <w:tcPr>
            <w:tcW w:w="46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23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168,691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106,688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95,552</w:t>
            </w:r>
          </w:p>
        </w:tc>
      </w:tr>
      <w:tr>
        <w:trPr>
          <w:trHeight w:val="20"/>
        </w:trPr>
        <w:tc>
          <w:tcPr>
            <w:tcW w:w="4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LIABILITIES, REDEEMABLE CONVERTIBLE PREFERRED STOCK AND STOCKHOLDERS’</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(DEFICIT) EQUITY</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3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4,592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8,652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PPP loan payable, current portion</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rPr>
              <w:t>SVB loan payable, current portion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payroll tax, current portion</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rPr>
              <w:t>Finance lease obligation, current portion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1,729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Operating lease obligation, current portion</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line="142"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10,842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11,233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15,953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PPP loan payable, net of current portion</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SVB loan payable, net of current portion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15,390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payroll tax, net of current portion</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Finance lease obligation, net of current portion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24,819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23,090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obligation, net of current portion</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727</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36,490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36,016</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54,325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b w:val="1"/>
                <w:bCs w:val="1"/>
                <w:color w:val="auto"/>
              </w:rPr>
              <w:t>Commitments and contingencies (Note 12)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Redeemable convertible preferred stock (Series A, B, C and D) $0.001 par value, 265,096,962 shares authorized,</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265,096,951 shares outstanding as of December 31, 2019, December 31, 2020 and June 30, 2021 (unaudited);</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4"/>
              </w:rPr>
              <w:t>liquidation preference of $435,579 as of December 31, 2019, December 31, 2020 and June 30, 2021 (unaudited).</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420,989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420,989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(deficit) equity</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80" w:type="dxa"/>
            <w:vAlign w:val="bottom"/>
          </w:tcPr>
          <w:p>
            <w:pPr>
              <w:ind w:left="100"/>
              <w:spacing w:after="0" w:line="130" w:lineRule="exact"/>
              <w:rPr>
                <w:sz w:val="20"/>
                <w:szCs w:val="20"/>
                <w:color w:val="auto"/>
              </w:rPr>
            </w:pPr>
            <w:r>
              <w:rPr>
                <w:rFonts w:ascii="Arial" w:cs="Arial" w:eastAsia="Arial" w:hAnsi="Arial"/>
                <w:sz w:val="14"/>
                <w:szCs w:val="14"/>
                <w:color w:val="auto"/>
                <w:w w:val="95"/>
              </w:rPr>
              <w:t>Common stock, $0.001 par value; 340,216,780 shares authorized as of December 31, 2019, December 31, 2020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w w:val="96"/>
              </w:rPr>
              <w:t>and June 30, 2021 (unaudited); 21,429,003, 22,172,545 and 22,634,707 shares issued and outstanding as of</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ind w:left="220"/>
              <w:spacing w:after="0"/>
              <w:rPr>
                <w:sz w:val="20"/>
                <w:szCs w:val="20"/>
                <w:color w:val="auto"/>
              </w:rPr>
            </w:pPr>
            <w:r>
              <w:rPr>
                <w:rFonts w:ascii="Arial" w:cs="Arial" w:eastAsia="Arial" w:hAnsi="Arial"/>
                <w:sz w:val="14"/>
                <w:szCs w:val="14"/>
                <w:color w:val="auto"/>
              </w:rPr>
              <w:t>December 31, 2019, December 31, 2020 and June 30, 2021 (unaudited), respectively.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32,763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(321,572)</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(388,096)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(425,595)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stockholders' (deficit) equity</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(288,788)</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(350,317)</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(379,762)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liabilities, redeemable convertible preferred stock and stockholders' (deficit) equity</w:t>
            </w: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168,691</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106,688</w:t>
            </w: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Humacyte, Inc.</w:t>
      </w:r>
    </w:p>
    <w:p>
      <w:pPr>
        <w:spacing w:after="0" w:line="185"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For the Six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1"/>
              <w:spacing w:after="0" w:line="142"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Grant revenue</w:t>
            </w: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6,187</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tcPr>
          <w:p>
            <w:pPr>
              <w:ind w:left="100"/>
              <w:spacing w:after="0"/>
              <w:rPr>
                <w:sz w:val="20"/>
                <w:szCs w:val="20"/>
                <w:color w:val="auto"/>
              </w:rPr>
            </w:pPr>
            <w:r>
              <w:rPr>
                <w:rFonts w:ascii="Arial" w:cs="Arial" w:eastAsia="Arial" w:hAnsi="Arial"/>
                <w:sz w:val="16"/>
                <w:szCs w:val="16"/>
                <w:color w:val="auto"/>
                <w:w w:val="91"/>
              </w:rPr>
              <w:t>Research and development (includes related party expenses of $571 and $620 for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20"/>
              <w:spacing w:after="0"/>
              <w:rPr>
                <w:sz w:val="20"/>
                <w:szCs w:val="20"/>
                <w:color w:val="auto"/>
              </w:rPr>
            </w:pPr>
            <w:r>
              <w:rPr>
                <w:rFonts w:ascii="Arial" w:cs="Arial" w:eastAsia="Arial" w:hAnsi="Arial"/>
                <w:sz w:val="16"/>
                <w:szCs w:val="16"/>
                <w:color w:val="auto"/>
                <w:w w:val="95"/>
              </w:rPr>
              <w:t>the years ended December 31, 2019 and 2020 and $313 and $166 for the six</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220"/>
              <w:spacing w:after="0"/>
              <w:rPr>
                <w:sz w:val="20"/>
                <w:szCs w:val="20"/>
                <w:color w:val="auto"/>
              </w:rPr>
            </w:pPr>
            <w:r>
              <w:rPr>
                <w:rFonts w:ascii="Arial" w:cs="Arial" w:eastAsia="Arial" w:hAnsi="Arial"/>
                <w:sz w:val="16"/>
                <w:szCs w:val="16"/>
                <w:color w:val="auto"/>
              </w:rPr>
              <w:t>months ended June 30, 2020 and 2021 (unaudited))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75,603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12,013</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91,878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66,091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32,168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 from operations</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(85,691)</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(64,600)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(31,715)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(expenses), net: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PPP loan forgiveness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10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(2,298)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(2,202)</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income (expenses), net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Net loss and comprehensive loss</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(85,422)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(66,524)</w:t>
            </w:r>
          </w:p>
        </w:tc>
        <w:tc>
          <w:tcPr>
            <w:tcW w:w="1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(32,552)</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gridSpan w:val="2"/>
          </w:tcPr>
          <w:p>
            <w:pPr>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(4.25)</w:t>
            </w:r>
          </w:p>
        </w:tc>
        <w:tc>
          <w:tcPr>
            <w:tcW w:w="2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6"/>
                <w:szCs w:val="16"/>
                <w:color w:val="auto"/>
              </w:rPr>
              <w:t>Weighted-average shares outstanding used in computing net loss per share</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20,120,442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21,956,162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21,854,473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22,499,516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attributable to common stockholders, basic and diluted</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Humacyte, Inc.</w:t>
      </w:r>
    </w:p>
    <w:p>
      <w:pPr>
        <w:spacing w:after="0" w:line="18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Statements of Changes in Redeemable Convertible Preferred Stock and Stockholders’ Deficit</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for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76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4"/>
              </w:rPr>
              <w:t>Redeemable Convertible</w:t>
            </w:r>
          </w:p>
        </w:tc>
        <w:tc>
          <w:tcPr>
            <w:tcW w:w="40" w:type="dxa"/>
            <w:vAlign w:val="bottom"/>
          </w:tcPr>
          <w:p>
            <w:pPr>
              <w:spacing w:after="0"/>
              <w:rPr>
                <w:sz w:val="14"/>
                <w:szCs w:val="14"/>
                <w:color w:val="auto"/>
              </w:rPr>
            </w:pPr>
          </w:p>
        </w:tc>
        <w:tc>
          <w:tcPr>
            <w:tcW w:w="116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ind w:right="3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7"/>
          </w:tcPr>
          <w:p>
            <w:pPr>
              <w:ind w:left="26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Paid-in Capital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5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2018</w:t>
            </w: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265,096,951</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$ 420,989</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19,064,776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19</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27,090</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(234,289)</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(207,180)</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2,364,227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4,457</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Cumulative effective adjustment from adoption 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40"/>
              <w:spacing w:after="0"/>
              <w:rPr>
                <w:sz w:val="20"/>
                <w:szCs w:val="20"/>
                <w:color w:val="auto"/>
              </w:rPr>
            </w:pPr>
            <w:r>
              <w:rPr>
                <w:rFonts w:ascii="Arial" w:cs="Arial" w:eastAsia="Arial" w:hAnsi="Arial"/>
                <w:sz w:val="14"/>
                <w:szCs w:val="14"/>
                <w:color w:val="auto"/>
              </w:rPr>
              <w:t>ASC 842</w:t>
            </w:r>
          </w:p>
        </w:tc>
        <w:tc>
          <w:tcPr>
            <w:tcW w:w="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(1,861)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(85,422)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(85,422)</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as of December 31, 2019</w:t>
            </w: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265,096,951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$ 420,989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21,429,003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32,763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(321,572)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(288,788)</w:t>
            </w: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Proceeds from the exercise of stock options</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609,011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Stock-based compensation (unaudited)</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2,296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2,296</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(unaudited)</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(32,552)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(32,552)</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as of June 30, 2020 (unaudited)</w:t>
            </w: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265,096,951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$ 420,989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22,038,014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35,281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(354,124)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(318,821)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7"/>
          </w:tcPr>
          <w:p>
            <w:pPr>
              <w:jc w:val="right"/>
              <w:ind w:right="200"/>
              <w:spacing w:after="0"/>
              <w:rPr>
                <w:sz w:val="20"/>
                <w:szCs w:val="20"/>
                <w:color w:val="auto"/>
              </w:rPr>
            </w:pPr>
            <w:r>
              <w:rPr>
                <w:rFonts w:ascii="Arial" w:cs="Arial" w:eastAsia="Arial" w:hAnsi="Arial"/>
                <w:sz w:val="13"/>
                <w:szCs w:val="13"/>
                <w:b w:val="1"/>
                <w:bCs w:val="1"/>
                <w:color w:val="auto"/>
                <w:w w:val="97"/>
              </w:rPr>
              <w:t>Redeemable Convertible</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7"/>
          </w:tcPr>
          <w:p>
            <w:pPr>
              <w:ind w:left="340"/>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4"/>
                <w:szCs w:val="14"/>
                <w:color w:val="auto"/>
              </w:rPr>
            </w:pPr>
          </w:p>
        </w:tc>
        <w:tc>
          <w:tcPr>
            <w:tcW w:w="1160" w:type="dxa"/>
            <w:vAlign w:val="bottom"/>
            <w:gridSpan w:val="5"/>
          </w:tcPr>
          <w:p>
            <w:pPr>
              <w:ind w:left="240"/>
              <w:spacing w:after="0"/>
              <w:rPr>
                <w:sz w:val="20"/>
                <w:szCs w:val="20"/>
                <w:color w:val="auto"/>
              </w:rPr>
            </w:pPr>
            <w:r>
              <w:rPr>
                <w:rFonts w:ascii="Arial" w:cs="Arial" w:eastAsia="Arial" w:hAnsi="Arial"/>
                <w:sz w:val="13"/>
                <w:szCs w:val="13"/>
                <w:b w:val="1"/>
                <w:bCs w:val="1"/>
                <w:color w:val="auto"/>
                <w:w w:val="94"/>
              </w:rPr>
              <w:t>Common Stock</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w w:val="94"/>
              </w:rPr>
              <w:t>Total Stockholders'</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2"/>
                <w:szCs w:val="12"/>
                <w:color w:val="auto"/>
              </w:rPr>
            </w:pPr>
          </w:p>
        </w:tc>
        <w:tc>
          <w:tcPr>
            <w:tcW w:w="94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7"/>
              </w:rPr>
              <w:t>Paid-in Capital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90"/>
              <w:spacing w:after="0" w:line="142"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as of December 31, 2019</w:t>
            </w: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b w:val="1"/>
                <w:bCs w:val="1"/>
                <w:color w:val="auto"/>
              </w:rPr>
              <w:t>265,096,951</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9"/>
              </w:rPr>
              <w:t>$ 420,989</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21,429,003</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6"/>
              </w:rPr>
              <w:t>21</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32,763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(321,572)</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jc w:val="right"/>
              <w:ind w:right="161"/>
              <w:spacing w:after="0"/>
              <w:rPr>
                <w:sz w:val="20"/>
                <w:szCs w:val="20"/>
                <w:color w:val="auto"/>
              </w:rPr>
            </w:pPr>
            <w:r>
              <w:rPr>
                <w:rFonts w:ascii="Arial" w:cs="Arial" w:eastAsia="Arial" w:hAnsi="Arial"/>
                <w:sz w:val="4"/>
                <w:szCs w:val="4"/>
                <w:b w:val="1"/>
                <w:bCs w:val="1"/>
                <w:color w:val="auto"/>
                <w:w w:val="87"/>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(288,788)</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Proceeds from the exercise of stock options</w:t>
            </w:r>
          </w:p>
        </w:tc>
        <w:tc>
          <w:tcPr>
            <w:tcW w:w="6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743,542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4,694</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Net loss</w:t>
            </w:r>
          </w:p>
        </w:tc>
        <w:tc>
          <w:tcPr>
            <w:tcW w:w="6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(66,524)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(66,524)</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as of December 31, 2020</w:t>
            </w: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b w:val="1"/>
                <w:bCs w:val="1"/>
                <w:color w:val="auto"/>
              </w:rPr>
              <w:t>265,096,951</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9"/>
              </w:rPr>
              <w:t>$ 420,989</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22,172,545</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6"/>
              </w:rPr>
              <w:t>22</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37,757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(388,096)</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jc w:val="right"/>
              <w:ind w:right="161"/>
              <w:spacing w:after="0"/>
              <w:rPr>
                <w:sz w:val="20"/>
                <w:szCs w:val="20"/>
                <w:color w:val="auto"/>
              </w:rPr>
            </w:pPr>
            <w:r>
              <w:rPr>
                <w:rFonts w:ascii="Arial" w:cs="Arial" w:eastAsia="Arial" w:hAnsi="Arial"/>
                <w:sz w:val="4"/>
                <w:szCs w:val="4"/>
                <w:b w:val="1"/>
                <w:bCs w:val="1"/>
                <w:color w:val="auto"/>
                <w:w w:val="87"/>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(350,317)</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Proceeds from the exercise of stock options (unaudited)</w:t>
            </w:r>
          </w:p>
        </w:tc>
        <w:tc>
          <w:tcPr>
            <w:tcW w:w="6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462,162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(unaudited)</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5,458</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w w:val="99"/>
              </w:rPr>
              <w:t>Issuance of warrants in conjunction with debt (unaudited)</w:t>
            </w:r>
          </w:p>
        </w:tc>
        <w:tc>
          <w:tcPr>
            <w:tcW w:w="6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2,360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2,360</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Net loss (unaudited)</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(37,499)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(37,499)</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as of June 30, 2021 (unaudited)</w:t>
            </w:r>
          </w:p>
        </w:tc>
        <w:tc>
          <w:tcPr>
            <w:tcW w:w="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3"/>
                <w:szCs w:val="13"/>
                <w:b w:val="1"/>
                <w:bCs w:val="1"/>
                <w:color w:val="auto"/>
              </w:rPr>
              <w:t>265,096,951</w:t>
            </w:r>
          </w:p>
        </w:tc>
        <w:tc>
          <w:tcPr>
            <w:tcW w:w="140" w:type="dxa"/>
            <w:vAlign w:val="bottom"/>
            <w:gridSpan w:val="2"/>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9"/>
              </w:rPr>
              <w:t>$ 420,989</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3"/>
                <w:szCs w:val="13"/>
                <w:b w:val="1"/>
                <w:bCs w:val="1"/>
                <w:color w:val="auto"/>
              </w:rPr>
              <w:t>22,634,707</w:t>
            </w:r>
          </w:p>
        </w:tc>
        <w:tc>
          <w:tcPr>
            <w:tcW w:w="120" w:type="dxa"/>
            <w:vAlign w:val="bottom"/>
            <w:gridSpan w:val="2"/>
          </w:tcPr>
          <w:p>
            <w:pPr>
              <w:spacing w:after="0"/>
              <w:rPr>
                <w:sz w:val="12"/>
                <w:szCs w:val="12"/>
                <w:color w:val="auto"/>
              </w:rPr>
            </w:pPr>
          </w:p>
        </w:tc>
        <w:tc>
          <w:tcPr>
            <w:tcW w:w="260" w:type="dxa"/>
            <w:vAlign w:val="bottom"/>
            <w:tcBorders>
              <w:top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6"/>
              </w:rPr>
              <w:t>23</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45,810</w:t>
            </w:r>
          </w:p>
        </w:tc>
        <w:tc>
          <w:tcPr>
            <w:tcW w:w="140" w:type="dxa"/>
            <w:vAlign w:val="bottom"/>
          </w:tcPr>
          <w:p>
            <w:pPr>
              <w:spacing w:after="0"/>
              <w:rPr>
                <w:sz w:val="12"/>
                <w:szCs w:val="12"/>
                <w:color w:val="auto"/>
              </w:rPr>
            </w:pPr>
          </w:p>
        </w:tc>
        <w:tc>
          <w:tcPr>
            <w:tcW w:w="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(425,595)</w:t>
            </w: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60" w:type="dxa"/>
            <w:vAlign w:val="bottom"/>
            <w:tcBorders>
              <w:top w:val="single" w:sz="8" w:color="auto"/>
            </w:tcBorders>
            <w:gridSpan w:val="2"/>
          </w:tcPr>
          <w:p>
            <w:pPr>
              <w:jc w:val="right"/>
              <w:ind w:right="161"/>
              <w:spacing w:after="0"/>
              <w:rPr>
                <w:sz w:val="20"/>
                <w:szCs w:val="20"/>
                <w:color w:val="auto"/>
              </w:rPr>
            </w:pPr>
            <w:r>
              <w:rPr>
                <w:rFonts w:ascii="Arial" w:cs="Arial" w:eastAsia="Arial" w:hAnsi="Arial"/>
                <w:sz w:val="4"/>
                <w:szCs w:val="4"/>
                <w:b w:val="1"/>
                <w:bCs w:val="1"/>
                <w:color w:val="auto"/>
                <w:w w:val="87"/>
              </w:rPr>
              <w:t>$</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(379,762)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Humacyte, Inc.</w:t>
      </w:r>
    </w:p>
    <w:p>
      <w:pPr>
        <w:spacing w:after="0" w:line="18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2240" w:type="dxa"/>
            <w:vAlign w:val="bottom"/>
            <w:gridSpan w:val="7"/>
          </w:tcPr>
          <w:p>
            <w:pPr>
              <w:ind w:left="20"/>
              <w:spacing w:after="0"/>
              <w:rPr>
                <w:sz w:val="20"/>
                <w:szCs w:val="20"/>
                <w:color w:val="auto"/>
              </w:rPr>
            </w:pPr>
            <w:r>
              <w:rPr>
                <w:rFonts w:ascii="Arial" w:cs="Arial" w:eastAsia="Arial" w:hAnsi="Arial"/>
                <w:sz w:val="14"/>
                <w:szCs w:val="14"/>
                <w:b w:val="1"/>
                <w:bCs w:val="1"/>
                <w:color w:val="auto"/>
                <w:w w:val="94"/>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(85,422)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(66,524)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(32,552)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ind w:left="100"/>
              <w:spacing w:after="0" w:line="149" w:lineRule="exact"/>
              <w:rPr>
                <w:sz w:val="20"/>
                <w:szCs w:val="20"/>
                <w:color w:val="auto"/>
              </w:rPr>
            </w:pPr>
            <w:r>
              <w:rPr>
                <w:rFonts w:ascii="Arial" w:cs="Arial" w:eastAsia="Arial" w:hAnsi="Arial"/>
                <w:sz w:val="14"/>
                <w:szCs w:val="14"/>
                <w:color w:val="auto"/>
              </w:rPr>
              <w:t>Depreciation expense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4,689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6,291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ind w:left="10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expense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ind w:left="100"/>
              <w:spacing w:after="0" w:line="149" w:lineRule="exact"/>
              <w:rPr>
                <w:sz w:val="20"/>
                <w:szCs w:val="20"/>
                <w:color w:val="auto"/>
              </w:rPr>
            </w:pPr>
            <w:r>
              <w:rPr>
                <w:rFonts w:ascii="Arial" w:cs="Arial" w:eastAsia="Arial" w:hAnsi="Arial"/>
                <w:sz w:val="14"/>
                <w:szCs w:val="14"/>
                <w:color w:val="auto"/>
              </w:rPr>
              <w:t>Non-cash operating lease costs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SVB debt discount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ind w:left="100"/>
              <w:spacing w:after="0" w:line="149" w:lineRule="exact"/>
              <w:rPr>
                <w:sz w:val="20"/>
                <w:szCs w:val="20"/>
                <w:color w:val="auto"/>
              </w:rPr>
            </w:pPr>
            <w:r>
              <w:rPr>
                <w:rFonts w:ascii="Arial" w:cs="Arial" w:eastAsia="Arial" w:hAnsi="Arial"/>
                <w:sz w:val="14"/>
                <w:szCs w:val="14"/>
                <w:color w:val="auto"/>
              </w:rPr>
              <w:t>Accrued interest on PPP loan obligation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PPP loan forgiveness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ind w:left="1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2,434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ind w:left="200"/>
              <w:spacing w:after="0" w:line="149" w:lineRule="exact"/>
              <w:rPr>
                <w:sz w:val="20"/>
                <w:szCs w:val="20"/>
                <w:color w:val="auto"/>
              </w:rPr>
            </w:pPr>
            <w:r>
              <w:rPr>
                <w:rFonts w:ascii="Arial" w:cs="Arial" w:eastAsia="Arial" w:hAnsi="Arial"/>
                <w:sz w:val="14"/>
                <w:szCs w:val="14"/>
                <w:color w:val="auto"/>
              </w:rPr>
              <w:t>Operating lease obligation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w:t>
            </w: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payroll taxes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(589)</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operating activities</w:t>
            </w:r>
          </w:p>
        </w:tc>
        <w:tc>
          <w:tcPr>
            <w:tcW w:w="6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(71,787)</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(55,568)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(27,582)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ind w:left="100"/>
              <w:spacing w:after="0" w:line="149" w:lineRule="exact"/>
              <w:rPr>
                <w:sz w:val="20"/>
                <w:szCs w:val="20"/>
                <w:color w:val="auto"/>
              </w:rPr>
            </w:pPr>
            <w:r>
              <w:rPr>
                <w:rFonts w:ascii="Arial" w:cs="Arial" w:eastAsia="Arial" w:hAnsi="Arial"/>
                <w:sz w:val="14"/>
                <w:szCs w:val="14"/>
                <w:color w:val="auto"/>
              </w:rPr>
              <w:t>Purchase of property and equipment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(8,125)</w:t>
            </w: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(8,125)</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0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ind w:left="100"/>
              <w:spacing w:after="0" w:line="149" w:lineRule="exact"/>
              <w:rPr>
                <w:sz w:val="20"/>
                <w:szCs w:val="20"/>
                <w:color w:val="auto"/>
              </w:rPr>
            </w:pPr>
            <w:r>
              <w:rPr>
                <w:rFonts w:ascii="Arial" w:cs="Arial" w:eastAsia="Arial" w:hAnsi="Arial"/>
                <w:sz w:val="14"/>
                <w:szCs w:val="14"/>
                <w:color w:val="auto"/>
              </w:rPr>
              <w:t>Proceeds from PPP loan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SVB loan</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ind w:left="100"/>
              <w:spacing w:after="0" w:line="149" w:lineRule="exact"/>
              <w:rPr>
                <w:sz w:val="20"/>
                <w:szCs w:val="20"/>
                <w:color w:val="auto"/>
              </w:rPr>
            </w:pPr>
            <w:r>
              <w:rPr>
                <w:rFonts w:ascii="Arial" w:cs="Arial" w:eastAsia="Arial" w:hAnsi="Arial"/>
                <w:sz w:val="14"/>
                <w:szCs w:val="14"/>
                <w:color w:val="auto"/>
              </w:rPr>
              <w:t>Payment of SVB loan issuance cost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Payment of deferred offering costs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ind w:left="100"/>
              <w:spacing w:after="0" w:line="149" w:lineRule="exact"/>
              <w:rPr>
                <w:sz w:val="20"/>
                <w:szCs w:val="20"/>
                <w:color w:val="auto"/>
              </w:rPr>
            </w:pPr>
            <w:r>
              <w:rPr>
                <w:rFonts w:ascii="Arial" w:cs="Arial" w:eastAsia="Arial" w:hAnsi="Arial"/>
                <w:sz w:val="14"/>
                <w:szCs w:val="14"/>
                <w:color w:val="auto"/>
              </w:rPr>
              <w:t>Payment of finance lease principal</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(1,292)</w:t>
            </w: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6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 cash and cash equivalents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(79,986)</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(53,784)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at the beginning of the period</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173,699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93,713</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93,713</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at the end of the period</w:t>
            </w: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93,713</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39,929</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68,644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28,969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Cash paid for interest on SVB loan</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Operating lease right-of-use assets obtained in exchange for lease obligations</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property and equipment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Issuance of warrants in conjunction with debt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Unpaid deferred offering costs</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right="6520" w:firstLine="8"/>
        <w:spacing w:after="0" w:line="503" w:lineRule="auto"/>
        <w:tabs>
          <w:tab w:leader="none" w:pos="1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Organization</w:t>
      </w:r>
    </w:p>
    <w:p>
      <w:pPr>
        <w:ind w:right="280" w:firstLine="324"/>
        <w:spacing w:after="0" w:line="259" w:lineRule="auto"/>
        <w:rPr>
          <w:sz w:val="20"/>
          <w:szCs w:val="20"/>
          <w:color w:val="auto"/>
        </w:rPr>
      </w:pPr>
      <w:r>
        <w:rPr>
          <w:rFonts w:ascii="Arial" w:cs="Arial" w:eastAsia="Arial" w:hAnsi="Arial"/>
          <w:sz w:val="18"/>
          <w:szCs w:val="18"/>
          <w:color w:val="auto"/>
        </w:rPr>
        <w:t>Humacyte, Inc., or the Company, is pioneering the development and manufacture of off-the-shelf, universally implantable, bioengineered human tissues to improve the lives of patients and transform the practice of medicine. The Company is leveraging its technology platform to develop proprietary, bioengineered, acellular human tissues for use in the treatment of diseases and conditions across a range of anatomic locations in multiple therapeutic areas.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its inception in 2004, the Company has generated no product revenue and has incurred net losses and negative cash flows from operations in each year. To date, the Company has financed its operations primarily through the sale of equity securities and convertible debt and, to a lesser extent, through governmental and other grants. At December 31, 2019 and 2020 and June 30, 2021 (unaudited), the Company had an accumulated deficit of $321.6 million, $388.1 million and $425.7 million, respectively. The Company’s net losses were $85.4 million and $66.5 million for the years ended December 31, 2019 and 2020, respectively, and $32.6 million and $37.5 million for the six months ended June 30, 2020 and 2021 (unaudited). Substantially all of the Company’s net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spacing w:after="0" w:line="18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Company does not believe its existing cash and cash equivalents will be sufficient to fund its anticipated operating expenses, including clinical trial expenses, and capital expenditure requirements for at least twelve months following the date these financial statements were issued. Until such time, if ever, as the Company is able to successfully develop and commercialize one or more of its product candidates, it expects to fund its operations through the sale of equity, debt, borrowing under credit facilities or through potential collaborations with other companies, other strategic transactions or government contracts and grants. The Company’s future capital requirements will depend on many factors, and adequate capital may not be available to the Company when needed or on acceptable terms. If the Company is unable to raise capital, it could be forced to delay, reduce, suspend or cease its research and development programs or any future commercialization efforts, which would have a negative impact on the Company’s business, prospects, operating results and financial condition. As of March 22, 2021, the issuance date of the financial statements for the year ended December 31, 2020, the Company has concluded that there is substantial doubt about its ability to continue as a going concern within one year after the date that the annual financial statements were issued.</w:t>
      </w:r>
    </w:p>
    <w:p>
      <w:pPr>
        <w:spacing w:after="0" w:line="182"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The accompanying financial statements do not include any adjustments that might result from the outcome of this uncertainty.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February 17, 2021, the Company entered into a business combination agreement with Alpha Healthcare Acquisition Corp. (“AHAC”) and Hunter Merger Sub, Inc. (“Merger Sub”), a wholly owned subsidiary of AHAC, pursuant to which Merger Sub will merge with the Company, with the Company surviving the Merger as a wholly owned subsidiary of AHAC (the “Merger”). As a result of the Merger, AHAC will immediately be renamed Humacyte, Inc. (“New Humacyte”). Immediately prior to the consummation of the Merger, the Company’s outstanding preferred stock will automatically convert into shares of the Company’s common stock at the then-effective conversion ratio. In addition, concurrently with the completion of the Merger, certain investors have agreed to subscribe for and purchase an aggregate of $175 million of common stock of New Humacyte (the “PIPE Investment”). The boards of directors of both AHAC and the Company have approved the proposed Merger. Completion of the Merger is subject to approval of AHAC’s shareholders and the satisfaction or waiver of certain other customary closing conditions. The Company expects that the Merger will represent a business combination pursuant to FASB ASC Topic 805, Business Combinations and will be accounted for as a reverse recapitalization in accordance with GAAP. Under this method of accounting, AHAC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company, the Company will comprise a majority of the governing body of the combined</w:t>
      </w:r>
    </w:p>
    <w:p>
      <w:pPr>
        <w:sectPr>
          <w:pgSz w:w="11900" w:h="16838" w:orient="portrait"/>
          <w:cols w:equalWidth="0" w:num="1">
            <w:col w:w="9900"/>
          </w:cols>
          <w:pgMar w:left="980" w:top="517" w:right="101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77" w:name="page178"/>
    <w:bookmarkEnd w:id="177"/>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company, and the Company’s senior management will comprise all of the senior management of the combined company. Accordingly, for accounting purposes, the Merger will be treated as the equivalent of the Company issuing shares for the net assets of AHAC, accompanied by a recapitalization. The net assets of AHAC will be stated at historical costs. No goodwill or other intangible assets will be recorded. Operations prior to the Merger will be those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COVID-19 pandemic, which began in December 2019 and has spread worldwide,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the Company’s business, as supply chains have been disrupted, and facilities and production have been suspended. The future progression of the pandemic and its effects on the Company’s business and operations are uncertain. The COVID-19 pandemic may affect the Company’s ability to initiate and complete preclinical studies, delay its clinical trials or future clinical trials, disrupt regulatory activities, or have other adverse effects on its business and operations. The pandemic has already caused significant disruptions in the financial markets, and may continue to cause such disruptions, which could impact the Company’s ability to raise additional funds to support its operations. Moreover, the pandemic has significantly impacted economies worldwide and could result in adverse effects on the Company’s business and operations.</w:t>
      </w:r>
    </w:p>
    <w:p>
      <w:pPr>
        <w:spacing w:after="0" w:line="18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To date, the COVID-19 pandemic has not resulted in material financial impacts or impairment losses in the carrying values of the Company’s assets as a result of the pandemic and the Company is not aware of any specific related event or circumstance that would require it to revise the estimates reflected in these financial statements. The extent to which the COVID-19 pandemic will directly or indirectly impact the Company’s business, results of operations and financial condition, including current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economic impact of the pandemic.</w:t>
      </w:r>
    </w:p>
    <w:p>
      <w:pPr>
        <w:spacing w:after="0" w:line="191" w:lineRule="exact"/>
        <w:rPr>
          <w:sz w:val="20"/>
          <w:szCs w:val="20"/>
          <w:color w:val="auto"/>
        </w:rPr>
      </w:pPr>
    </w:p>
    <w:p>
      <w:pPr>
        <w:ind w:right="6340" w:firstLine="8"/>
        <w:spacing w:after="0" w:line="503" w:lineRule="auto"/>
        <w:tabs>
          <w:tab w:leader="none" w:pos="1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180" w:firstLine="324"/>
        <w:spacing w:after="0" w:line="277" w:lineRule="auto"/>
        <w:rPr>
          <w:sz w:val="20"/>
          <w:szCs w:val="20"/>
          <w:color w:val="auto"/>
        </w:rPr>
      </w:pPr>
      <w:r>
        <w:rPr>
          <w:rFonts w:ascii="Arial" w:cs="Arial" w:eastAsia="Arial" w:hAnsi="Arial"/>
          <w:sz w:val="18"/>
          <w:szCs w:val="18"/>
          <w:color w:val="auto"/>
        </w:rPr>
        <w:t>The Company has prepared the accompanying financial statements in conformity with accounting principles generally accepted in the United States of America, or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accompanying balance sheet as of June 30, 2021, and the statements of operations and comprehensive loss, the statements of changes in redeemable convertible preferred stock and stockholders’ deficit and the statements of cash flows for the six months ended June 30, 2020 and 2021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June 30, 2021 and its results of operations and cash flows for the six months ended June 30, 2020 and 2021. The financial data and the other financial information disclosed in the notes to these financial statements related to these six-month periods are also unaudited. The results of operations for the six months ended June 30, 2021 are not necessarily indicative of the results to be expected for the year ended December 31, 2021 or any other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Company operates and manages its business as one reportable and operating segment. The Company is developing proprietary, bioengineered, acellular human tissues that can be used in the treatment of diseases and conditions across a range of anatomic locations in multiple therapeutic areas. The Company’s chief executive officer, who is the chief operating decision maker, reviews financial information on an aggregate basis for purposes of evaluating financial performance and allocating resources.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78" w:name="page179"/>
    <w:bookmarkEnd w:id="178"/>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deficit that result from transactions and economic events other than those with stockholders. There was no difference between net loss and comprehensive loss for the years ended December 31, 2019 and 2020 and the six months ended June 30, 2021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or ROU, assets, accruals for research and development activities, fair value of common stock, useful lives of property and equipment, redeemable convertible preferred stock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considers all short-term, highly liquid investments purchased with an original maturity of three months or less at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date of purchase to be cash equivalents. Cash deposits are held with financial institutions with investment-grade ratings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of America, or US. Cash deposits typically exceed federally insured limits. As of December 31, 2019 and 2020, and June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2021 (unaudited), cash and cash equivalents consisted of cash on deposit with banks denominated in US dollars and investments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22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 xml:space="preserve">The Company analyzes all issued equity instruments to determine the appropriate accounting and classification. The Company evaluates its equity instruments under Accounting Standards Codification, or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to determine whether the instrument embodies an obligation of the Company and, if not, the appropriate classification within temporary or permanent equity. Equity instruments that are classified as temporary equity will have at least one of the following characteristics: redemption at a fixed or determinable price on a fixed or determinable date or dates, redemption at the option of the holder, or any condition of redemption or liquidation which is not solely within the control of the Company without regard to probability.</w:t>
      </w:r>
    </w:p>
    <w:p>
      <w:pPr>
        <w:spacing w:after="0" w:line="16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records equity instruments that are classified as temporary equity at fair value upon issuance, net of issuance costs. The Company accretes the carrying value of its redeemable convertible preferred stock to the redemption or liquidation amount once the Company has determined that it is probable that it will become redeemable or be liquidated. The accretion will be recorded as charges against additional paid-in capital until the additional paid-in capital balance is reduced to zero. At that time, additional accretion adjustments will be recorded as additions to accumulated deficit.</w:t>
      </w:r>
    </w:p>
    <w:p>
      <w:pPr>
        <w:spacing w:after="0" w:line="18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 xml:space="preserve">The Company also analyzes instances where the equity instrument has a conversion feature pursuant to ASC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to determine whether the embedded conversion feature should be bifurcated from the equity instrument and accounted for</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separately. As of December 31, 2019 and 2020, and June 30, 2021 (unaudited), the Company did not have any instruments that have been recognized as derivative liabilities with respect to its outstanding redeemable convertible preferred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Company’s revenues generally consist of grant revenues, including revenues generated under government and other awarded grants.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2014, the Financial Accounting Standards Board, or FASB, issued Accounting Standards Update No. 2014-09, Revenues from Contracts with Customers (Topic 606), or ASC 606. The new guidance became effective January 1, 2019 for private companies with early adoption allowed. The Company adopted ASC 606 on January 1, 2019 using the modified-retrospective adoption method for all contracts that were not completed as of the date of adoption. Under the modified-retrospective method, there was no cumulative effect of applying the standard as of January 1, 2019.</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9" w:name="page180"/>
    <w:bookmarkEnd w:id="179"/>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320" w:firstLine="324"/>
        <w:spacing w:after="0" w:line="287" w:lineRule="auto"/>
        <w:rPr>
          <w:sz w:val="20"/>
          <w:szCs w:val="20"/>
          <w:color w:val="auto"/>
        </w:rPr>
      </w:pPr>
      <w:r>
        <w:rPr>
          <w:rFonts w:ascii="Arial" w:cs="Arial" w:eastAsia="Arial" w:hAnsi="Arial"/>
          <w:sz w:val="16"/>
          <w:szCs w:val="16"/>
          <w:color w:val="auto"/>
        </w:rPr>
        <w:t>Under ASC 606, revenue is recognized when a customer obtains control of promised goods or services and is recognized in an amount that reflects the consideration that an entity expects to receive in exchange for those goods or services. To determine revenue recognition for arrangements that an entity determines are within the scope of ASC 606, the entity performs the following five steps:</w:t>
      </w:r>
    </w:p>
    <w:p>
      <w:pPr>
        <w:spacing w:after="0" w:line="2" w:lineRule="exact"/>
        <w:rPr>
          <w:sz w:val="20"/>
          <w:szCs w:val="20"/>
          <w:color w:val="auto"/>
        </w:rPr>
      </w:pPr>
    </w:p>
    <w:p>
      <w:pPr>
        <w:ind w:left="220" w:hanging="212"/>
        <w:spacing w:after="0"/>
        <w:tabs>
          <w:tab w:leader="none" w:pos="2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identify the contract(s) with a customer; (ii) identify the performance obligations in the contract; (iii) determine the transaction price;</w:t>
      </w:r>
    </w:p>
    <w:p>
      <w:pPr>
        <w:spacing w:after="0" w:line="32" w:lineRule="exact"/>
        <w:rPr>
          <w:rFonts w:ascii="Arial" w:cs="Arial" w:eastAsia="Arial" w:hAnsi="Arial"/>
          <w:sz w:val="16"/>
          <w:szCs w:val="16"/>
          <w:color w:val="auto"/>
        </w:rPr>
      </w:pPr>
    </w:p>
    <w:p>
      <w:pPr>
        <w:jc w:val="both"/>
        <w:ind w:right="560" w:firstLine="8"/>
        <w:spacing w:after="0" w:line="255" w:lineRule="auto"/>
        <w:tabs>
          <w:tab w:leader="none" w:pos="3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(v) recognize revenue when (or as) the entity satisfies a performance obligation. ASC 606 also impacts certain other areas, such as the accounting for costs to obtain or fulfill a contract.</w:t>
      </w:r>
    </w:p>
    <w:p>
      <w:pPr>
        <w:spacing w:after="0" w:line="19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addition, ASC 606 requires disclosure of the nature, amount, timing, and uncertainty of revenue and cash flows arising from contracts with customers.</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For contracts where the period between when the Company transfers a promised good or service to the customer and when the customer pays is one year or less, the Company has elected the practical expedient to not adjust the promised amount of consideration for the effects of a significant financing component.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25"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The Company generates revenue primarily from government and other awarded grants that reimburse the Company for certain allowable costs related to research and development efforts. These grants include the following terms:</w:t>
      </w:r>
    </w:p>
    <w:p>
      <w:pPr>
        <w:spacing w:after="0" w:line="14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Department of Defense grants are for an award of $4.0 million, all of which has been recognized as revenue before the program ended, for work on bioengineered blood vessels for vascular trauma which was awarded to the Company in September 2017 and ended in February 2020 and an award of $7.1 million for work to support human tissue engineered blood vessels for vascular reconstruction in the injured warfighter which was awarded to the Company in August 2017 and is ongoing. The Company has recognized revenue of $4.5 million during 2019, $1.1 million during 2020, and $0.5 million and $0.8 million during the six months ended June 30, 2020 (unaudited) and 2021 (unaudited), respectively, for reimbursement of certain allowable costs related to these grants.</w:t>
      </w:r>
    </w:p>
    <w:p>
      <w:pPr>
        <w:spacing w:after="0" w:line="16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California Institute of Regenerative Medicine grants are for work to support the Company’s Phase III clinical trials, which were awarded to the Company in July 2016 and November 2017. The Company recognized $11.2 million in revenue from these grants upon the achievement of performance milestones related to patient enrollment targets before this program ended in 2020. The Company has recognized revenue of $1.7 million during 2019 and no revenue was recognized during 2020 or during the six months ended June 30, 2020 (unaudited) and 2021 (unaudited), respectively, for reimbursement of certain allowable costs related to these grants.</w:t>
      </w:r>
    </w:p>
    <w:p>
      <w:pPr>
        <w:spacing w:after="0" w:line="16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National Institutes of Health grant is for $1.6 million for work to support bioengineered grafts for peripheral vascular disease which was awarded to the Company in November 2013. The Company recognized $1.6 million for the reimbursement of certain allowable costs related to the grant before this program ended in 2020. The Company has recognized no revenue during 2019, $0.3 million during 2020, and no revenue during the six months ended June 30, 2020 (unaudited) and 2021 (unaudited) for reimbursement of certain allowable costs related to these grants.</w:t>
      </w:r>
    </w:p>
    <w:p>
      <w:pPr>
        <w:spacing w:after="0" w:line="188"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Company has determined that the grants are not within the scope of ASC 606 as they do not meet the definition of a contract with a customer. The Company has concluded that the grants meet the definition of a contribution and are nonexchange transactions and has applied the contribution accounting model in Subtopic 958-605, Not-for-Profit-Entities-Revenue Recognition by analogy.</w:t>
      </w:r>
    </w:p>
    <w:p>
      <w:pPr>
        <w:spacing w:after="0" w:line="14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Company recognizes funding received from grants as revenue, rather than as a reduction of research and development expenses, because the Company is the principal in conducting the research and development activities and these grants are central to the Company’s ongoing operations. The Company recognizes revenue only after the qualifying expenses related to the grants have been incurred and it is reasonably assured that the expenses will be reimbursed and the revenue will be collectible. The related costs incurred are included in research and development expense in our statements of operations and comprehensive loss.</w:t>
      </w:r>
    </w:p>
    <w:p>
      <w:pPr>
        <w:spacing w:after="0" w:line="161"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Revenue from grants not within the scope of ASC 606 was $6.2 million and $1.5 million for the years ending December 31, 2019 and 2020, respectively, and $0.4 million and $0.8 million for the six months ended June 30, 2020 and 2021 (unaudited), respectively.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80" w:name="page181"/>
    <w:bookmarkEnd w:id="180"/>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Total cash balances exceeded insured balances by the Federal Deposit Insurance Corporation as of December 31, 2019 and 2020 and June 30, 2021 (unaudited). Cash equivalents are invested in highly rated money market funds invested only in obligations of the US government and its agencies.</w:t>
      </w:r>
    </w:p>
    <w:p>
      <w:pPr>
        <w:spacing w:after="0" w:line="187"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majority of the Company’s revenue has been derived from government grants. The Company’s grants, which represented 10% or more of the Company’s total revenue during the years ended December 31, 2019 and 2020 and the six months ended June 30, 2021 (unaudited) or accounts receivable balance as of December 31, 2019 and 2020 and June 30, 2021 (unaudited),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46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46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2020 (unaudited)</w:t>
            </w:r>
          </w:p>
        </w:tc>
        <w:tc>
          <w:tcPr>
            <w:tcW w:w="162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w w:val="94"/>
              </w:rPr>
              <w:t>June 2021 (unaudited)</w:t>
            </w: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780" w:type="dxa"/>
            <w:vAlign w:val="bottom"/>
            <w:tcBorders>
              <w:top w:val="single" w:sz="8" w:color="auto"/>
            </w:tcBorders>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68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w w:val="94"/>
              </w:rPr>
              <w:t>Accounts</w:t>
            </w:r>
          </w:p>
        </w:tc>
        <w:tc>
          <w:tcPr>
            <w:tcW w:w="240" w:type="dxa"/>
            <w:vAlign w:val="bottom"/>
          </w:tcPr>
          <w:p>
            <w:pPr>
              <w:spacing w:after="0"/>
              <w:rPr>
                <w:sz w:val="10"/>
                <w:szCs w:val="10"/>
                <w:color w:val="auto"/>
              </w:rPr>
            </w:pPr>
          </w:p>
        </w:tc>
        <w:tc>
          <w:tcPr>
            <w:tcW w:w="7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68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w w:val="94"/>
              </w:rPr>
              <w:t>Accounts</w:t>
            </w:r>
          </w:p>
        </w:tc>
        <w:tc>
          <w:tcPr>
            <w:tcW w:w="240" w:type="dxa"/>
            <w:vAlign w:val="bottom"/>
          </w:tcPr>
          <w:p>
            <w:pPr>
              <w:spacing w:after="0"/>
              <w:rPr>
                <w:sz w:val="10"/>
                <w:szCs w:val="10"/>
                <w:color w:val="auto"/>
              </w:rPr>
            </w:pPr>
          </w:p>
        </w:tc>
        <w:tc>
          <w:tcPr>
            <w:tcW w:w="7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68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Accounts</w:t>
            </w:r>
          </w:p>
        </w:tc>
        <w:tc>
          <w:tcPr>
            <w:tcW w:w="240" w:type="dxa"/>
            <w:vAlign w:val="bottom"/>
          </w:tcPr>
          <w:p>
            <w:pPr>
              <w:spacing w:after="0"/>
              <w:rPr>
                <w:sz w:val="10"/>
                <w:szCs w:val="10"/>
                <w:color w:val="auto"/>
              </w:rPr>
            </w:pPr>
          </w:p>
        </w:tc>
        <w:tc>
          <w:tcPr>
            <w:tcW w:w="780" w:type="dxa"/>
            <w:vAlign w:val="bottom"/>
            <w:tcBorders>
              <w:top w:val="single" w:sz="8" w:color="auto"/>
            </w:tcBorders>
            <w:gridSpan w:val="2"/>
            <w:vMerge w:val="restart"/>
          </w:tcPr>
          <w:p>
            <w:pPr>
              <w:jc w:val="right"/>
              <w:ind w:right="150"/>
              <w:spacing w:after="0"/>
              <w:rPr>
                <w:sz w:val="20"/>
                <w:szCs w:val="20"/>
                <w:color w:val="auto"/>
              </w:rPr>
            </w:pPr>
            <w:r>
              <w:rPr>
                <w:rFonts w:ascii="Arial" w:cs="Arial" w:eastAsia="Arial" w:hAnsi="Arial"/>
                <w:sz w:val="14"/>
                <w:szCs w:val="14"/>
                <w:b w:val="1"/>
                <w:bCs w:val="1"/>
                <w:color w:val="auto"/>
                <w:w w:val="89"/>
              </w:rPr>
              <w:t>Revenue</w:t>
            </w:r>
          </w:p>
        </w:tc>
        <w:tc>
          <w:tcPr>
            <w:tcW w:w="68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w w:val="94"/>
              </w:rPr>
              <w:t>Accounts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7"/>
              </w:rPr>
              <w:t>Receivable</w:t>
            </w:r>
          </w:p>
        </w:tc>
        <w:tc>
          <w:tcPr>
            <w:tcW w:w="780" w:type="dxa"/>
            <w:vAlign w:val="bottom"/>
            <w:gridSpan w:val="2"/>
            <w:vMerge w:val="continue"/>
          </w:tcPr>
          <w:p>
            <w:pPr>
              <w:spacing w:after="0"/>
              <w:rPr>
                <w:sz w:val="14"/>
                <w:szCs w:val="14"/>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7"/>
              </w:rPr>
              <w:t>Receivable</w:t>
            </w:r>
          </w:p>
        </w:tc>
        <w:tc>
          <w:tcPr>
            <w:tcW w:w="780" w:type="dxa"/>
            <w:vAlign w:val="bottom"/>
            <w:gridSpan w:val="2"/>
            <w:vMerge w:val="continue"/>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Receivable</w:t>
            </w:r>
          </w:p>
        </w:tc>
        <w:tc>
          <w:tcPr>
            <w:tcW w:w="780" w:type="dxa"/>
            <w:vAlign w:val="bottom"/>
            <w:gridSpan w:val="2"/>
            <w:vMerge w:val="continue"/>
          </w:tcPr>
          <w:p>
            <w:pPr>
              <w:spacing w:after="0"/>
              <w:rPr>
                <w:sz w:val="14"/>
                <w:szCs w:val="14"/>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jc w:val="center"/>
              <w:ind w:right="2510"/>
              <w:spacing w:after="0"/>
              <w:rPr>
                <w:sz w:val="20"/>
                <w:szCs w:val="20"/>
                <w:color w:val="auto"/>
              </w:rPr>
            </w:pPr>
            <w:r>
              <w:rPr>
                <w:rFonts w:ascii="Arial" w:cs="Arial" w:eastAsia="Arial" w:hAnsi="Arial"/>
                <w:sz w:val="18"/>
                <w:szCs w:val="18"/>
                <w:color w:val="auto"/>
                <w:w w:val="96"/>
              </w:rPr>
              <w:t>Grant A</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center"/>
              <w:ind w:right="2530"/>
              <w:spacing w:after="0"/>
              <w:rPr>
                <w:sz w:val="20"/>
                <w:szCs w:val="20"/>
                <w:color w:val="auto"/>
              </w:rPr>
            </w:pPr>
            <w:r>
              <w:rPr>
                <w:rFonts w:ascii="Arial" w:cs="Arial" w:eastAsia="Arial" w:hAnsi="Arial"/>
                <w:sz w:val="18"/>
                <w:szCs w:val="18"/>
                <w:color w:val="auto"/>
                <w:w w:val="93"/>
              </w:rPr>
              <w:t>Grant B</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38 %</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67 %</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10 %</w:t>
            </w:r>
          </w:p>
        </w:tc>
        <w:tc>
          <w:tcPr>
            <w:tcW w:w="9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32 %</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center"/>
              <w:ind w:right="2530"/>
              <w:spacing w:after="0"/>
              <w:rPr>
                <w:sz w:val="20"/>
                <w:szCs w:val="20"/>
                <w:color w:val="auto"/>
              </w:rPr>
            </w:pPr>
            <w:r>
              <w:rPr>
                <w:rFonts w:ascii="Arial" w:cs="Arial" w:eastAsia="Arial" w:hAnsi="Arial"/>
                <w:sz w:val="18"/>
                <w:szCs w:val="18"/>
                <w:color w:val="auto"/>
                <w:w w:val="91"/>
              </w:rPr>
              <w:t>Grant C</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34 %</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33 %</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67 %</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61 %</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83 %</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3200" w:type="dxa"/>
            <w:vAlign w:val="bottom"/>
          </w:tcPr>
          <w:p>
            <w:pPr>
              <w:jc w:val="center"/>
              <w:ind w:right="2510"/>
              <w:spacing w:after="0"/>
              <w:rPr>
                <w:sz w:val="20"/>
                <w:szCs w:val="20"/>
                <w:color w:val="auto"/>
              </w:rPr>
            </w:pPr>
            <w:r>
              <w:rPr>
                <w:rFonts w:ascii="Arial" w:cs="Arial" w:eastAsia="Arial" w:hAnsi="Arial"/>
                <w:sz w:val="18"/>
                <w:szCs w:val="18"/>
                <w:color w:val="auto"/>
                <w:w w:val="95"/>
              </w:rPr>
              <w:t>Grant D</w:t>
            </w:r>
          </w:p>
        </w:tc>
        <w:tc>
          <w:tcPr>
            <w:tcW w:w="7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18 %</w:t>
            </w:r>
          </w:p>
        </w:tc>
        <w:tc>
          <w:tcPr>
            <w:tcW w:w="9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bottom w:val="single" w:sz="8" w:color="CCEEFF"/>
            </w:tcBorders>
            <w:shd w:val="clear" w:color="auto" w:fill="CCEEFF"/>
          </w:tcPr>
          <w:p>
            <w:pPr>
              <w:jc w:val="center"/>
              <w:ind w:right="2510"/>
              <w:spacing w:after="0"/>
              <w:rPr>
                <w:sz w:val="20"/>
                <w:szCs w:val="20"/>
                <w:color w:val="auto"/>
              </w:rPr>
            </w:pPr>
            <w:r>
              <w:rPr>
                <w:rFonts w:ascii="Arial" w:cs="Arial" w:eastAsia="Arial" w:hAnsi="Arial"/>
                <w:sz w:val="18"/>
                <w:szCs w:val="18"/>
                <w:color w:val="auto"/>
                <w:w w:val="89"/>
              </w:rPr>
              <w:t>Total</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95</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93</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83</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of the Company’s revenues were generated from grants from government and other entities located in the United States, for the years ended December 31, 2019 and 2020, and the six months ended June 30, 2020 and 2021 (unaudited).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229" w:lineRule="exact"/>
        <w:rPr>
          <w:sz w:val="20"/>
          <w:szCs w:val="20"/>
          <w:color w:val="auto"/>
        </w:rPr>
      </w:pPr>
    </w:p>
    <w:p>
      <w:pPr>
        <w:ind w:right="40" w:firstLine="324"/>
        <w:spacing w:after="0" w:line="292"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for its ongoing V005 Phase II/III clinical trial and V007 Phase III clinical trial, the regulatory approval and commercialization of its HAVs and other product candidates, the expected size of the target populations for the Company’s product candidates, the degree of market acceptance of the HAVs, if approved, the availability of third-party coverage and reimbursement, development by competitors of new technological innovations, the ability to manufacture HAVs and other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impact of the COVID-19 pandemic, the Company’s implementation and maintenance of effective internal controls, and the ability to secure additional capital to fund operations and commercial success of its product candidates.</w:t>
      </w:r>
    </w:p>
    <w:p>
      <w:pPr>
        <w:spacing w:after="0" w:line="16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Holdings, Inc., or Fresenius Medical Care, to sell, market and distribute its 6 millimeter HAV for certain specified indications.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 applies the two-class method to compute basic and diluted net loss per share attributable to common stockholders when shares meet the definition of participating securities. The two-class method determines net loss per share for each class of common and redeemable convertible preferred stock according to dividends declared or accumulated and participation rights in undistributed earnings. The two-class method requires income (loss) available to common stockholders for the period to be allocated between common and redeemable convertible preferred stock based upon their respective rights to share in the earnings as if all income (loss) for the period had been distributed. During periods of loss, there is no allocation required under the two-class method since the redeemable convertible preferred stock does not have a contractual obligation to share in the Company’s losses.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1" w:name="page182"/>
    <w:bookmarkEnd w:id="181"/>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Basic net loss per share attributable to common stockholders is computed by dividing net loss attributable to common stockholders by the weighted-average number of common shares outstanding during the period without consideration of potentially dilutive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Since the Company has only incurred losses, basic and diluted net loss per share is the same. Securities that could potentially dilute net loss per share in the future that were not included in the computation of diluted net loss per share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020" w:type="dxa"/>
            <w:vAlign w:val="bottom"/>
            <w:gridSpan w:val="4"/>
          </w:tcPr>
          <w:p>
            <w:pPr>
              <w:ind w:left="520"/>
              <w:spacing w:after="0"/>
              <w:rPr>
                <w:sz w:val="20"/>
                <w:szCs w:val="20"/>
                <w:color w:val="auto"/>
              </w:rPr>
            </w:pPr>
            <w:r>
              <w:rPr>
                <w:rFonts w:ascii="Arial" w:cs="Arial" w:eastAsia="Arial" w:hAnsi="Arial"/>
                <w:sz w:val="14"/>
                <w:szCs w:val="14"/>
                <w:b w:val="1"/>
                <w:bCs w:val="1"/>
                <w:color w:val="auto"/>
              </w:rPr>
              <w:t>December 31,</w:t>
            </w:r>
          </w:p>
        </w:tc>
        <w:tc>
          <w:tcPr>
            <w:tcW w:w="1880" w:type="dxa"/>
            <w:vAlign w:val="bottom"/>
            <w:gridSpan w:val="3"/>
          </w:tcPr>
          <w:p>
            <w:pPr>
              <w:jc w:val="right"/>
              <w:ind w:right="601"/>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6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r>
      <w:tr>
        <w:trPr>
          <w:trHeight w:val="203"/>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w w:val="99"/>
              </w:rPr>
              <w:t>Shares issuable upon conversion of Series A redeemable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70,152,805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70,152,805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70,152,805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70,152,805</w:t>
            </w:r>
          </w:p>
        </w:tc>
      </w:tr>
      <w:tr>
        <w:trPr>
          <w:trHeight w:val="203"/>
        </w:trPr>
        <w:tc>
          <w:tcPr>
            <w:tcW w:w="6020" w:type="dxa"/>
            <w:vAlign w:val="bottom"/>
          </w:tcPr>
          <w:p>
            <w:pPr>
              <w:spacing w:after="0"/>
              <w:rPr>
                <w:sz w:val="20"/>
                <w:szCs w:val="20"/>
                <w:color w:val="auto"/>
              </w:rPr>
            </w:pPr>
            <w:r>
              <w:rPr>
                <w:rFonts w:ascii="Arial" w:cs="Arial" w:eastAsia="Arial" w:hAnsi="Arial"/>
                <w:sz w:val="16"/>
                <w:szCs w:val="16"/>
                <w:color w:val="auto"/>
                <w:w w:val="99"/>
              </w:rPr>
              <w:t>Shares issuable upon conversion of Series B redeemable convertible preferred stock</w:t>
            </w:r>
          </w:p>
        </w:tc>
        <w:tc>
          <w:tcPr>
            <w:tcW w:w="840" w:type="dxa"/>
            <w:vAlign w:val="bottom"/>
          </w:tcPr>
          <w:p>
            <w:pPr>
              <w:jc w:val="right"/>
              <w:spacing w:after="0"/>
              <w:rPr>
                <w:sz w:val="20"/>
                <w:szCs w:val="20"/>
                <w:color w:val="auto"/>
              </w:rPr>
            </w:pPr>
            <w:r>
              <w:rPr>
                <w:rFonts w:ascii="Arial" w:cs="Arial" w:eastAsia="Arial" w:hAnsi="Arial"/>
                <w:sz w:val="16"/>
                <w:szCs w:val="16"/>
                <w:color w:val="auto"/>
                <w:w w:val="97"/>
              </w:rPr>
              <w:t>91,919,158</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91,919,158</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91,919,158</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91,919,158</w:t>
            </w:r>
          </w:p>
        </w:tc>
      </w:tr>
      <w:tr>
        <w:trPr>
          <w:trHeight w:val="203"/>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w w:val="99"/>
              </w:rPr>
              <w:t>Shares issuable upon conversion of Series C redeemable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42,808,208</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42,808,208</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42,808,208</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42,808,208</w:t>
            </w:r>
          </w:p>
        </w:tc>
      </w:tr>
      <w:tr>
        <w:trPr>
          <w:trHeight w:val="203"/>
        </w:trPr>
        <w:tc>
          <w:tcPr>
            <w:tcW w:w="6020" w:type="dxa"/>
            <w:vAlign w:val="bottom"/>
          </w:tcPr>
          <w:p>
            <w:pPr>
              <w:spacing w:after="0"/>
              <w:rPr>
                <w:sz w:val="20"/>
                <w:szCs w:val="20"/>
                <w:color w:val="auto"/>
              </w:rPr>
            </w:pPr>
            <w:r>
              <w:rPr>
                <w:rFonts w:ascii="Arial" w:cs="Arial" w:eastAsia="Arial" w:hAnsi="Arial"/>
                <w:sz w:val="16"/>
                <w:szCs w:val="16"/>
                <w:color w:val="auto"/>
                <w:w w:val="99"/>
              </w:rPr>
              <w:t>Shares issuable upon conversion of Series D redeemable convertible preferred stock</w:t>
            </w:r>
          </w:p>
        </w:tc>
        <w:tc>
          <w:tcPr>
            <w:tcW w:w="840" w:type="dxa"/>
            <w:vAlign w:val="bottom"/>
          </w:tcPr>
          <w:p>
            <w:pPr>
              <w:jc w:val="right"/>
              <w:spacing w:after="0"/>
              <w:rPr>
                <w:sz w:val="20"/>
                <w:szCs w:val="20"/>
                <w:color w:val="auto"/>
              </w:rPr>
            </w:pPr>
            <w:r>
              <w:rPr>
                <w:rFonts w:ascii="Arial" w:cs="Arial" w:eastAsia="Arial" w:hAnsi="Arial"/>
                <w:sz w:val="16"/>
                <w:szCs w:val="16"/>
                <w:color w:val="auto"/>
                <w:w w:val="97"/>
              </w:rPr>
              <w:t>60,216,780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60,216,780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60,216,780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60,216,780</w:t>
            </w:r>
          </w:p>
        </w:tc>
      </w:tr>
      <w:tr>
        <w:trPr>
          <w:trHeight w:val="203"/>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Exercise of options under stock plan</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19,880,073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18,330,574</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17,218,438</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24,831,266</w:t>
            </w:r>
          </w:p>
        </w:tc>
      </w:tr>
      <w:tr>
        <w:trPr>
          <w:trHeight w:val="206"/>
        </w:trPr>
        <w:tc>
          <w:tcPr>
            <w:tcW w:w="6020" w:type="dxa"/>
            <w:vAlign w:val="bottom"/>
          </w:tcPr>
          <w:p>
            <w:pPr>
              <w:spacing w:after="0"/>
              <w:rPr>
                <w:sz w:val="20"/>
                <w:szCs w:val="20"/>
                <w:color w:val="auto"/>
              </w:rPr>
            </w:pPr>
            <w:r>
              <w:rPr>
                <w:rFonts w:ascii="Arial" w:cs="Arial" w:eastAsia="Arial" w:hAnsi="Arial"/>
                <w:sz w:val="16"/>
                <w:szCs w:val="16"/>
                <w:color w:val="auto"/>
              </w:rPr>
              <w:t>Warrants to purchase 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125,520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125,520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125,520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1,095,616</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and Disclosures</w:t>
      </w:r>
      <w:r>
        <w:rPr>
          <w:rFonts w:ascii="Arial" w:cs="Arial" w:eastAsia="Arial" w:hAnsi="Arial"/>
          <w:sz w:val="17"/>
          <w:szCs w:val="17"/>
          <w:color w:val="auto"/>
        </w:rPr>
        <w:t>, establishes a hierarchy whereby inputs to valuation techniques used in measuring fair value are prioritized, or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hierarchy. There are three levels to the fair value hierarchy based on reliability of inputs, as follows:</w:t>
      </w:r>
    </w:p>
    <w:p>
      <w:pPr>
        <w:spacing w:after="0" w:line="171" w:lineRule="exact"/>
        <w:rPr>
          <w:sz w:val="20"/>
          <w:szCs w:val="20"/>
          <w:color w:val="auto"/>
        </w:rPr>
      </w:pPr>
    </w:p>
    <w:p>
      <w:pPr>
        <w:ind w:left="680" w:hanging="321"/>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Level 1 — Observable inputs that reflect unadjusted quoted prices for identical assets or liabilities in active markets.</w:t>
      </w:r>
    </w:p>
    <w:p>
      <w:pPr>
        <w:spacing w:after="0" w:line="225" w:lineRule="exact"/>
        <w:rPr>
          <w:rFonts w:ascii="Arial" w:cs="Arial" w:eastAsia="Arial" w:hAnsi="Arial"/>
          <w:sz w:val="18"/>
          <w:szCs w:val="18"/>
          <w:color w:val="auto"/>
        </w:rPr>
      </w:pPr>
    </w:p>
    <w:p>
      <w:pPr>
        <w:ind w:left="680" w:right="20" w:hanging="321"/>
        <w:spacing w:after="0" w:line="286" w:lineRule="auto"/>
        <w:tabs>
          <w:tab w:leader="none" w:pos="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5" w:lineRule="exact"/>
        <w:rPr>
          <w:rFonts w:ascii="Arial" w:cs="Arial" w:eastAsia="Arial" w:hAnsi="Arial"/>
          <w:sz w:val="17"/>
          <w:szCs w:val="17"/>
          <w:color w:val="auto"/>
        </w:rPr>
      </w:pPr>
    </w:p>
    <w:p>
      <w:pPr>
        <w:ind w:left="680" w:right="300" w:hanging="321"/>
        <w:spacing w:after="0" w:line="277" w:lineRule="auto"/>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data exists, therefore requiring the Company to develop its own assumptions.</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8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Company’s cash equivalents are classified within Level 1 of the fair value hierarchy because they are valued using quoted market prices. The carrying values of other receivables, accounts payable and accrued expenses as of December 31, 2019 and 2020, and June 30, 2021 (unaudited) approximated their fair values due to the short-term nature of these items.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Property and equipment, net are recorded at cost less accumulated depreciation. Expenditures for major additions and improvements are capitalized and minor replacements, maintenance, and repairs are charged to expense as incurred. When property and equipment are retired or otherwise disposed of, the cost and accumulated depreciation are removed from the balance sheet accounts and any resulting gain or loss is included in the results of operations for the respective period. Depreciation is calculated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2" w:name="page183"/>
    <w:bookmarkEnd w:id="182"/>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using the straight-line method over the estimated useful lives of the related assets. The estimated useful lives for significant asset categories are as follows: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and equipment</w:t>
            </w:r>
          </w:p>
        </w:tc>
        <w:tc>
          <w:tcPr>
            <w:tcW w:w="3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3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7</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146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460" w:type="dxa"/>
            <w:vAlign w:val="bottom"/>
            <w:shd w:val="clear" w:color="auto" w:fill="CCEEFF"/>
          </w:tcPr>
          <w:p>
            <w:pPr>
              <w:spacing w:after="0"/>
              <w:rPr>
                <w:sz w:val="18"/>
                <w:szCs w:val="18"/>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1620" w:type="dxa"/>
            <w:vAlign w:val="bottom"/>
          </w:tcPr>
          <w:p>
            <w:pPr>
              <w:ind w:left="20"/>
              <w:spacing w:after="0"/>
              <w:rPr>
                <w:sz w:val="20"/>
                <w:szCs w:val="20"/>
                <w:color w:val="auto"/>
              </w:rPr>
            </w:pPr>
            <w:r>
              <w:rPr>
                <w:rFonts w:ascii="Arial" w:cs="Arial" w:eastAsia="Arial" w:hAnsi="Arial"/>
                <w:sz w:val="18"/>
                <w:szCs w:val="18"/>
                <w:color w:val="auto"/>
              </w:rPr>
              <w:t>– 7</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Lesser of useful life or life of lease</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Company reviews the carrying value of property and equipment for indicators of possible impairment whenever events and circumstances indicate that the carrying value of an asset or asset group may not be recoverable from the estimated future net undiscounted cash flows expected to result from its use and eventual disposition. In cases where estimated future net undiscounted cash flows are less than the carrying value, an impairment loss is recognized equal to an amount by which the carrying value exceeds the fair value of the asset or asset group. The factors considered by management in performing this assessment include current operating results, trends and prospects, the manner in which the property is used, and the effects of obsolescence, demand, competition, and other economic factors. Based on this assessment, there was no impairment at December 31, 2019 and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Income taxes are computed using the asset and liability approach that requires the recognition of deferred tax assets and liabilities for the expected future tax consequences of events that have been recognized in the Company’s financial statements. In estimating future tax consequences, the Company considers all expected future events other than enactment of changes in tax laws or rates. A valuation allowance is recorded, if necessary, to reduce net deferred tax assets to their realizable values if management does not believe it is more likely than not that the net deferred tax assets will be realized. As of December 31, 2019 and 2020, and June 30, 2021 (unaudited), the Company has recorded a full valuation allowance against its deferred tax assets.</w:t>
      </w:r>
    </w:p>
    <w:p>
      <w:pPr>
        <w:spacing w:after="0" w:line="17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recognizes the benefit of an income tax position only if it is more likely than not (greater than 50%) that the tax position will be sustained upon tax examination, based solely on the technical merits of the tax position. Otherwise, no benefit can be recognized. Assessing an uncertain tax position begins with the initial determination of the sustainability of the position and is measured at the largest amount of benefit that is greater than 50% likely of being realized upon ultimate settlement. As of each balance sheet date, unresolved uncertain tax positions must be reassessed. Additionally, the Company must accrue interest and related penalties, if applicable, on all tax exposures for which reserves have been established consistent with jurisdictional tax laws.</w:t>
      </w:r>
    </w:p>
    <w:p>
      <w:pPr>
        <w:spacing w:after="0" w:line="16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has analyzed its filing positions in all significant Federal and state jurisdictions where it is required to file income tax returns, as well as open tax years in these jurisdictions. As of December 31, 2019 and 2020, and June 30, 2021 (unaudited), the Company has determined that no uncertain tax positions would have a material impact on the financials statements of the Company. The Company is no longer subject to Federal, state, and local tax examinations by tax authorities for years before 2017 although carry-forward attributes that were generated prior to 2017 may still be adjusted upon examination by the taxing authorities if they either have been or will be used in a future period. No income tax returns are currently under examination by taxing authorities.</w:t>
      </w:r>
    </w:p>
    <w:p>
      <w:pPr>
        <w:spacing w:after="0" w:line="164"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As of December 31, 2019 and 2020, and June 30, 2021 (unaudited), the Company had not recorded any amounts for unrecognized tax benefits. The Company’s policy is to recognize interest and penalties related to uncertain tax positions in the provision for income taxes. As of December 31, 2019 and 2020, and June 30, 2021 (unaudited), the Company had no accrued interest or penalties related to uncertain tax positions, and no amounts had been recognized in the Company’s statements of operations and comprehensive loss.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Company seeks to protect its intellectual property by filing patent applications in the United States and abroad related to novel technologies and product candidates that it views as important to its business. The patent positions of biotechnology companies</w:t>
      </w:r>
    </w:p>
    <w:p>
      <w:pPr>
        <w:sectPr>
          <w:pgSz w:w="11900" w:h="16838" w:orient="portrait"/>
          <w:cols w:equalWidth="0" w:num="1">
            <w:col w:w="9900"/>
          </w:cols>
          <w:pgMar w:left="980" w:top="517"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83" w:name="page184"/>
    <w:bookmarkEnd w:id="183"/>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generally, including the Company’s patent positions, is highly uncertain and involves complex legal and factual questions for which legal principles remain unresolved. Patent costs have been expensed as incurred as general and administrative expense.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 expenses research and development costs as operating expenses as incurred. Research and development expenses consist primarily of:</w:t>
      </w:r>
    </w:p>
    <w:p>
      <w:pPr>
        <w:spacing w:after="0" w:line="170" w:lineRule="exact"/>
        <w:rPr>
          <w:sz w:val="20"/>
          <w:szCs w:val="20"/>
          <w:color w:val="auto"/>
        </w:rPr>
      </w:pPr>
    </w:p>
    <w:p>
      <w:pPr>
        <w:ind w:left="680" w:right="960" w:hanging="321"/>
        <w:spacing w:after="0" w:line="277"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salaries and related overhead expenses for personnel in research and development functions, including stock-based compensation and benefits;</w:t>
      </w:r>
    </w:p>
    <w:p>
      <w:pPr>
        <w:spacing w:after="0" w:line="170" w:lineRule="exact"/>
        <w:rPr>
          <w:rFonts w:ascii="Arial" w:cs="Arial" w:eastAsia="Arial" w:hAnsi="Arial"/>
          <w:sz w:val="18"/>
          <w:szCs w:val="18"/>
          <w:color w:val="auto"/>
        </w:rPr>
      </w:pPr>
    </w:p>
    <w:p>
      <w:pPr>
        <w:ind w:left="680" w:right="200" w:hanging="321"/>
        <w:spacing w:after="0" w:line="277"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fees paid to consultants and CROs, including in connection with clinical trials, and other related clinical trial fees, such as for investigator grants, patient screening, laboratory work and statistical compilation and analysis;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allocation of facility lease and maintenance costs;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depreciation of leasehold improvements, laboratory equipment and computers;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costs related to purchasing raw materials for and producing product candidates for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costs related to the manufacturing scale-out initiative;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license fees related to in-licensed technologies.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has entered into various agreements with CROs and a CMO, which conduct preclinical studies and clinical trials and contract manufacturing activities.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the balance sheet.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 The Company terminated its agreement with its CMO on March 6, 2020 but will continue to rely on its CMO to store and ship HAV inventory until such time as its HAV inventory is fully depleted . As of December 31, 2020, the inventory value held at the CMO was immaterial and as of June 30, 2021 (unaudited), the inventory was fully depleted.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Company accounts for stock-based compensation for employees and non-employees measured at grant date, based on the fair value of the award. The Company measures the fair value of awards granted using the Black-Scholes option pricing model and recognizes the expense over the requisite service period using the straight-line method.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Effective January 1, 2019, the Company accounts for its leases under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determines if an arrangement is or contains a lease and the classification of that lease at inception of a contract. The Company’s operating lease assets are included in “operating lease right-of-use assets, net”, and the current and non-current portions of the operating lease liabilities are</w:t>
      </w:r>
    </w:p>
    <w:p>
      <w:pPr>
        <w:sectPr>
          <w:pgSz w:w="11900" w:h="16838" w:orient="portrait"/>
          <w:cols w:equalWidth="0" w:num="1">
            <w:col w:w="9900"/>
          </w:cols>
          <w:pgMar w:left="980" w:top="517"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84" w:name="page185"/>
    <w:bookmarkEnd w:id="184"/>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included in “operating lease obligation, current portion”, and “operating lease obligation, net of current portion”, respectively, on the balance sheets. The Company’s finance lease assets are included in “finance lease right-of-use assets, net”, and the current and non-current portions of the finance lease liabilities are included in “finance lease obligation, current portion”, and “finance lease obligation, net of current portion”, respectively, on the balance sheets.</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Under this guidance, arrangements meeting the definition of a lease are classified as operating or finance leases, and are recorded on the balance sheet as both a right-of-use asset and lease liability, calculated by discounting fixed lease payments over the lease term at the rate implicit in the lease or the Company’s incremental borrowing rate. Lease right-of-use assets and lease obligations are recognized based on the present value of the future minimum lease payments over the lease term at commencement date. Operating lease right-of-use assets are adjusted for (i) payments made at or before the commencement date, (ii) initial direct costs incurred, and (iii) tenant incentives under the lease. As the implicit rate for the operating leases were not determinable, the Company used an incremental borrowing rate based on the information available at the respective lease commencement dates in determining the present value of future payments. The incremental borrowing rate represents the interest rate the Company would expect to incur at lease commencement to borrow an amount equal to the lease payments on a collateralized basis over the term of a lease. The Company determined the incremental borrowing rate by considering various factors, such as its credit rating, interest rates of similar debt instruments of entities with comparable credit ratings, the lease term and the currency in which the lease was denominated. The Company considers a lease term to be the noncancelable period that it has the right to use the underlying asset, including any periods where it is reasonably certain the Company will exercise any option to extend the contract.</w:t>
      </w:r>
    </w:p>
    <w:p>
      <w:pPr>
        <w:spacing w:after="0" w:line="17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Lease expenses for minimum lease payments for operating leases are recognized on a straight-line basis over the lease term. Amortization expense of the right-of-use asset for finance leases is recognized on a straight-line basis over the lease term and interest expense for finance leases is recognized based on the incremental borrowing rate. Lease liabilities are increased by interest and reduced by payments each period, and the right of use asset is amortized over the lease term.</w:t>
      </w:r>
    </w:p>
    <w:p>
      <w:pPr>
        <w:spacing w:after="0" w:line="171"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In calculating the right-of-use assets and lease liabilities, the Company has elected to combine lease and non-lease components for all asset classes. The Company excludes short-term leases, if any, having initial terms of 12 months or less from the new guidance as an accounting policy election, and recognizes rent expense on a straight-line basis over the lease term.</w:t>
      </w:r>
    </w:p>
    <w:p>
      <w:pPr>
        <w:spacing w:after="0" w:line="16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Prior to the adoption of ASC 842 on January 1, 2019 the Company was deemed to be the accounting owner of leased space during the construction of its headquarters in a build-to-suit arrangement. Upon substantial completion of construction in June 2018, the Company assessed the facility for sale-leaseback criteria qualification. The Company determined that the transaction did not meet the requirements of a sale-leaseback due to the Company’s continuing involvement in the leased facility. As such, the facility was accounted for as an asset financing, with the building asset and related facility financing obligation remaining on the Company’s balance sheet. The Company availed itself of the practical expedients provided under the ASU and its subsequent amendments regarding identification of leases, lease classification, indirect costs, and the combination of lease and non-lease components. Upon adoption of ASC 842, the Company removed the building assets and facility financing obligation, under the failed sale leaseback, for its headquarters lease from its financial statements, with a corresponding adjustment (addition) to accumulated deficit of $1.9 million, and recorded a finance lease liability and corresponding right-of-use asset, each for $27.6 million in connection with the headquarters lease. In addition, the adoption of this guidance resulted in the recognition of operating right-of-use assets and operating lease liabilities of $0.9 million as of January 1, 2019, which included the lease of the underlying land associated with its headquarters.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5" w:name="page186"/>
    <w:bookmarkEnd w:id="185"/>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cumulative effect of initially applying the new lease guidance on January 1, 2019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3"/>
              </w:rPr>
              <w:t>January 1, 2019</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Cumulative</w:t>
            </w:r>
          </w:p>
        </w:tc>
        <w:tc>
          <w:tcPr>
            <w:tcW w:w="160" w:type="dxa"/>
            <w:vAlign w:val="bottom"/>
          </w:tcPr>
          <w:p>
            <w:pPr>
              <w:spacing w:after="0"/>
              <w:rPr>
                <w:sz w:val="10"/>
                <w:szCs w:val="10"/>
                <w:color w:val="auto"/>
              </w:rPr>
            </w:pPr>
          </w:p>
        </w:tc>
        <w:tc>
          <w:tcPr>
            <w:tcW w:w="96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Beginning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Effect</w:t>
            </w:r>
          </w:p>
        </w:tc>
        <w:tc>
          <w:tcPr>
            <w:tcW w:w="160" w:type="dxa"/>
            <w:vAlign w:val="bottom"/>
          </w:tcPr>
          <w:p>
            <w:pPr>
              <w:spacing w:after="0"/>
              <w:rPr>
                <w:sz w:val="12"/>
                <w:szCs w:val="12"/>
                <w:color w:val="auto"/>
              </w:rPr>
            </w:pP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auto"/>
              </w:rPr>
              <w:t>Building asset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25,091</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(25,091)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 right-of-use assets, net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auto"/>
              </w:rPr>
              <w:t>Operating lease right-of-use assets, net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923</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auto"/>
              </w:rPr>
              <w:t>Facility financing obligation, current portion</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 obligation, current portion</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auto"/>
              </w:rPr>
              <w:t>Operating lease obligation, current portion</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Facility financing obligation, net of current portion</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(22,955)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auto"/>
              </w:rPr>
              <w:t>Finance lease obligation, net of current portion</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26,319</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obligation, net of current portion</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(234,289)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(1,861)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(236,150)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which makes a number of changes to add, modify or remove certain disclosure requirements associated with the movement amongst or hierarchy associated with Level 1, Level 2 and Level 3 fair value measurements. This guidance is effective for fiscal years, and interim periods within those fiscal years, beginning after December 15, 2019. Early adoption is permitted upon issuance of the update. The Company adopted ASU 2018-13 as of January 1, 2020. The adoption of this ASU did not have a material impact on its financial statements and related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The ASU removes certain settlement conditions that are required for equity contracts to qualify for the derivative scope exception and it also simplifies the diluted earnings per share calculation in certain areas. Either a modified retrospective method of transition or a fully retrospective method of transition is permissible for the adoption of this standard. This guidance is effective for fiscal years, and interim periods within those fiscal years, beginning after December 15, 2021, with early adoption permitted. The Company adopted ASU 2020-06 as of January 1, 2021 (unaudited). The adoption of this ASU had no impact on its financial statements and related disclosures.</w:t>
      </w:r>
    </w:p>
    <w:p>
      <w:pPr>
        <w:spacing w:after="0" w:line="18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 May 2021, the FASB issued ASU 2021-04, Issuer’s Accounting for Certain Modifications or Exchanges of Freestanding Equity-Classified Written Call Options. The FASB is issuing this update to clarify and reduce diversity in an issuer’s accounting for modifications or exchanges of freestanding equity classified written call options (for example, warrants) that remain equity classified after modification or exchange. ASU 2021-04 is effective for all entities for fiscal years beginning after December 15, 2021, including interim periods within those fiscal years. An entity should apply the amendments prospectively to modifications or exchanges occurring after the effective date of the amendments. The Company is currently evaluating the effect of this update on its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6" w:name="page187"/>
    <w:bookmarkEnd w:id="186"/>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6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2"/>
                <w:szCs w:val="12"/>
                <w:color w:val="auto"/>
              </w:rPr>
            </w:pPr>
          </w:p>
        </w:tc>
      </w:tr>
      <w:tr>
        <w:trPr>
          <w:trHeight w:val="142"/>
        </w:trPr>
        <w:tc>
          <w:tcPr>
            <w:tcW w:w="6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27,412</w:t>
            </w: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27,495</w:t>
            </w:r>
          </w:p>
        </w:tc>
        <w:tc>
          <w:tcPr>
            <w:tcW w:w="20" w:type="dxa"/>
            <w:vAlign w:val="bottom"/>
          </w:tcPr>
          <w:p>
            <w:pPr>
              <w:spacing w:after="0"/>
              <w:rPr>
                <w:sz w:val="18"/>
                <w:szCs w:val="18"/>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8"/>
                <w:szCs w:val="18"/>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18"/>
                <w:szCs w:val="18"/>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26,355</w:t>
            </w:r>
          </w:p>
        </w:tc>
        <w:tc>
          <w:tcPr>
            <w:tcW w:w="20" w:type="dxa"/>
            <w:vAlign w:val="bottom"/>
          </w:tcPr>
          <w:p>
            <w:pPr>
              <w:spacing w:after="0"/>
              <w:rPr>
                <w:sz w:val="18"/>
                <w:szCs w:val="18"/>
                <w:color w:val="auto"/>
              </w:rPr>
            </w:pPr>
          </w:p>
        </w:tc>
      </w:tr>
      <w:tr>
        <w:trPr>
          <w:trHeight w:val="210"/>
        </w:trPr>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55,705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55,327</w:t>
            </w:r>
          </w:p>
        </w:tc>
        <w:tc>
          <w:tcPr>
            <w:tcW w:w="20" w:type="dxa"/>
            <w:vAlign w:val="bottom"/>
          </w:tcPr>
          <w:p>
            <w:pPr>
              <w:spacing w:after="0"/>
              <w:rPr>
                <w:sz w:val="18"/>
                <w:szCs w:val="18"/>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(8,417)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(17,367)</w:t>
            </w:r>
          </w:p>
        </w:tc>
        <w:tc>
          <w:tcPr>
            <w:tcW w:w="20" w:type="dxa"/>
            <w:vAlign w:val="bottom"/>
          </w:tcPr>
          <w:p>
            <w:pPr>
              <w:spacing w:after="0"/>
              <w:rPr>
                <w:sz w:val="18"/>
                <w:szCs w:val="18"/>
                <w:color w:val="auto"/>
              </w:rPr>
            </w:pPr>
          </w:p>
        </w:tc>
      </w:tr>
      <w:tr>
        <w:trPr>
          <w:trHeight w:val="209"/>
        </w:trPr>
        <w:tc>
          <w:tcPr>
            <w:tcW w:w="64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47,288</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37,960</w:t>
            </w:r>
          </w:p>
        </w:tc>
        <w:tc>
          <w:tcPr>
            <w:tcW w:w="2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Depreciation expense totaled $4.7 million and $6.3 million for the years ended December 31, 2019 and 2020, respectively and $3.2 million and $3.1 million for the six months ended June 30, 2020 and 2021 (unaudited), respectively. All long-lived assets are maintained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4"/>
                <w:szCs w:val="14"/>
                <w:color w:val="auto"/>
              </w:rPr>
            </w:pPr>
          </w:p>
        </w:tc>
        <w:tc>
          <w:tcPr>
            <w:tcW w:w="10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As of June 30,</w:t>
            </w:r>
          </w:p>
        </w:tc>
      </w:tr>
      <w:tr>
        <w:trPr>
          <w:trHeight w:val="142"/>
        </w:trPr>
        <w:tc>
          <w:tcPr>
            <w:tcW w:w="5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9"/>
              </w:rPr>
              <w:t>2021</w:t>
            </w:r>
          </w:p>
        </w:tc>
      </w:tr>
      <w:tr>
        <w:trPr>
          <w:trHeight w:val="142"/>
        </w:trPr>
        <w:tc>
          <w:tcPr>
            <w:tcW w:w="5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8"/>
              <w:spacing w:after="0" w:line="142" w:lineRule="exact"/>
              <w:rPr>
                <w:sz w:val="20"/>
                <w:szCs w:val="20"/>
                <w:color w:val="auto"/>
              </w:rPr>
            </w:pPr>
            <w:r>
              <w:rPr>
                <w:rFonts w:ascii="Arial" w:cs="Arial" w:eastAsia="Arial" w:hAnsi="Arial"/>
                <w:sz w:val="14"/>
                <w:szCs w:val="14"/>
                <w:b w:val="1"/>
                <w:bCs w:val="1"/>
                <w:color w:val="auto"/>
                <w:w w:val="97"/>
              </w:rPr>
              <w:t>(Unaudited)</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Accrued external research, development and manufacturing costs</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Accrued employee compensation and benefits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3,944</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w:t>
            </w:r>
          </w:p>
        </w:tc>
      </w:tr>
      <w:tr>
        <w:trPr>
          <w:trHeight w:val="20"/>
        </w:trPr>
        <w:tc>
          <w:tcPr>
            <w:tcW w:w="5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April 30, 2020, the Company received loan proceeds in the amount of approximately $3.3 million under the Paycheck Protection Program (“PPP”). The PPP, established as part of the Coronavirus Aid, Relief, and Economic Security Act (“CARES Act”), provides for loans to qualifying businesses for amounts up to 2.5 times of the average monthly payroll expenses of the qualifying business. All or portion of this loan and any accrued interest was eligible to be forgiven after a twenty four week period as long as the borrower used the loan proceeds for eligible purposes, including payroll, benefits, rent and utilities, and maintains its payroll levels. The amount of the loan forgiven was to be reduced if the borrower terminated employees or reduced salaries during the twenty four week period. The unforgiven portion of the PPP loan was to be payable over two years at an interest rate of 1%, with a deferral of payments for the first ten months. On May 25, 2021 forgiveness of the PPP loan was approved and the Company recognized a gain from loan extinguishment in the amount of $3,284 during the six months ended June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March 2021, the Company entered into a term loan agreement with Silicon Valley Bank and SVB Innovation Credit Fund VIII, L.P., which provides a term loan facility of up to $50.0 million with a maturity date of March 1, 2025, or the Loan Agreement. The Company’s obligations under the Loan Agreement are secured by substantially all of its assets except for its intellectual property. The Loan Agreement contains certain customary covenants, including, but not limited to, those relating to additional indebtedness, liens, asset divestitures, and affiliate transactions. If a minimum liquidity amount is not maintained, 50% of the outstanding principal and interest will become cash collateralized. As of June 30, 2021 (unaudited), the Company was in compliance with all covenants. On July 9, 2021 (unaudited) the Company had not yet achieved certain financial covenants and $10.0 million of the loan proceeds has been classified as restricted cash. The Company met these financial covenants upon the close of the Merger and the related PIPE</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7" w:name="page188"/>
    <w:bookmarkEnd w:id="187"/>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Investment on August 26, 2021 (unaudited). The Company may use the proceeds of borrowings under the Loan Agreement as working capital and to fund its general business requirements. Refer to Note 15 – Subsequent Events for additional information.</w:t>
      </w:r>
    </w:p>
    <w:p>
      <w:pPr>
        <w:spacing w:after="0" w:line="14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Loan Agreement provides that the term loans will be distributed in tranches. The initial term loan tranche of $20.0 million was drawn as of June 30, 2021 (unaudited) and is accounted for net of issuance costs which are being accreted to interest expense over the term of the loan using the effective interest method. Three subsequent $10.0 million term loan tranches are eligible to be disbursed at the request of the Company during specified draw periods between now and 2023 if certain business development milestones and other specified requirements are met by the dates specified in the Loan Agreement. Borrowings bear interest at the greater of 7.5% or the Wall Street Journal Prime Rate plus 4.25% (7.5% as of June 30, 2021) (unaudited). Interest only payments on the principal amount outstanding are due monthly beginning in the first month after the loan is dispersed. Repayment of principal may begin as soon as April 1, 2022 under our current level of borrowing and no later than April 1, 2024, depending on whether the Company qualifies for and elects to borrow the subsequent tranches of term loans. The term loans may only be prepaid in full, and such prepayment requires 30 days’ advance notice and is subject to a prepayment fee of 3.00% (with a step down to 2.00% after March 30, 2022, and a further step down to 1.00% after March 30, 2023). The Company is not obligated to pay a prepayment fee if the Company makes a prepayment after March 30, 2024.</w:t>
      </w:r>
    </w:p>
    <w:p>
      <w:pPr>
        <w:spacing w:after="0" w:line="17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connection with the Loan Agreement, Humacyte granted warrants to purchase shares of Humacyte common stock at an exercise price of $2.699 per share (unaudited) of which 1,095,616 warrants were immediately exercisable (unaudited) and the remaining 469,550 will become exercisable upon the funding of an additional $10 million tranche (unaudited). The warrants are classified within stockholders’ equity as the settlement of the warrants is indexed to the Company’s own stock. The Company recognized the fair value of the warrants immediately exercisable within stockholders’ equity using a Black-Scholes valuation model at issuance. The Company has determined that the funding of an additional tranche is not probable, and therefore no value was ascribed at issuance to the warrants that are only exercisable upon the funding of the additional tranche. The fair value of warrants ($2.4 million), a 5% final payment fee ($1.0 million) and debt issuance costs ($0.3 million) are being accreted to interest expense over the term of the loan using the effective interest method.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SVB loan payable and net discount or premium balances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4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6"/>
              <w:spacing w:after="0" w:line="142"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SVB loan payable</w:t>
            </w: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Final payment amount of SVB loan payable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premium associated with accretion of final payment and other debt issuance costs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40" w:type="dxa"/>
            <w:vAlign w:val="bottom"/>
          </w:tcPr>
          <w:p>
            <w:pPr>
              <w:ind w:left="220"/>
              <w:spacing w:after="0"/>
              <w:rPr>
                <w:sz w:val="20"/>
                <w:szCs w:val="20"/>
                <w:color w:val="auto"/>
              </w:rPr>
            </w:pPr>
            <w:r>
              <w:rPr>
                <w:rFonts w:ascii="Arial" w:cs="Arial" w:eastAsia="Arial" w:hAnsi="Arial"/>
                <w:sz w:val="18"/>
                <w:szCs w:val="18"/>
                <w:color w:val="auto"/>
              </w:rPr>
              <w:t>SVB loan payable, current and noncurrent</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17,612</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SVB loan payable, current portion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40" w:type="dxa"/>
            <w:vAlign w:val="bottom"/>
          </w:tcPr>
          <w:p>
            <w:pPr>
              <w:ind w:left="220"/>
              <w:spacing w:after="0"/>
              <w:rPr>
                <w:sz w:val="20"/>
                <w:szCs w:val="20"/>
                <w:color w:val="auto"/>
              </w:rPr>
            </w:pPr>
            <w:r>
              <w:rPr>
                <w:rFonts w:ascii="Arial" w:cs="Arial" w:eastAsia="Arial" w:hAnsi="Arial"/>
                <w:sz w:val="18"/>
                <w:szCs w:val="18"/>
                <w:color w:val="auto"/>
              </w:rPr>
              <w:t>SVB loan payable, noncurrent portion</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15,390</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Future minimum payments of principal and estimated payments of interest on the Company’s outstanding variable rate borrowings as of June 30, 2021 (unaudited)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gridSpan w:val="2"/>
          </w:tcPr>
          <w:p>
            <w:pPr>
              <w:ind w:left="1000"/>
              <w:spacing w:after="0"/>
              <w:rPr>
                <w:sz w:val="20"/>
                <w:szCs w:val="20"/>
                <w:color w:val="auto"/>
              </w:rPr>
            </w:pPr>
            <w:r>
              <w:rPr>
                <w:rFonts w:ascii="Arial" w:cs="Arial" w:eastAsia="Arial" w:hAnsi="Arial"/>
                <w:sz w:val="14"/>
                <w:szCs w:val="14"/>
                <w:b w:val="1"/>
                <w:bCs w:val="1"/>
                <w:color w:val="auto"/>
              </w:rPr>
              <w:t>Year ending December 31:</w:t>
            </w:r>
          </w:p>
        </w:tc>
        <w:tc>
          <w:tcPr>
            <w:tcW w:w="32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100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2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2022</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6,917</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2024</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Total future payments</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24,364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final payment</w:t>
            </w:r>
          </w:p>
        </w:tc>
        <w:tc>
          <w:tcPr>
            <w:tcW w:w="26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Total principal amount of SVB loan payments</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980" w:type="dxa"/>
            <w:vAlign w:val="bottom"/>
          </w:tcPr>
          <w:p>
            <w:pPr>
              <w:spacing w:after="0"/>
              <w:rPr>
                <w:sz w:val="18"/>
                <w:szCs w:val="18"/>
                <w:color w:val="auto"/>
              </w:rPr>
            </w:pPr>
          </w:p>
        </w:tc>
      </w:tr>
      <w:tr>
        <w:trPr>
          <w:trHeight w:val="878"/>
        </w:trPr>
        <w:tc>
          <w:tcPr>
            <w:tcW w:w="1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20" w:type="dxa"/>
            <w:vAlign w:val="bottom"/>
            <w:gridSpan w:val="3"/>
          </w:tcPr>
          <w:p>
            <w:pPr>
              <w:jc w:val="right"/>
              <w:ind w:right="2667"/>
              <w:spacing w:after="0"/>
              <w:rPr>
                <w:sz w:val="20"/>
                <w:szCs w:val="20"/>
                <w:color w:val="auto"/>
              </w:rPr>
            </w:pPr>
            <w:r>
              <w:rPr>
                <w:rFonts w:ascii="Arial" w:cs="Arial" w:eastAsia="Arial" w:hAnsi="Arial"/>
                <w:sz w:val="18"/>
                <w:szCs w:val="18"/>
                <w:color w:val="auto"/>
              </w:rPr>
              <w:t>F-19</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88" w:name="page189"/>
    <w:bookmarkEnd w:id="188"/>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finance lease relates to its headquarters, which was substantially completed in June 2018 and leased through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May 2033, and its operating lease relates to the land lease associated with its headquarters. Historically the Company’s operating leases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a lease for laboratory and office space in Ohio. In March 2020, the Company terminated this lease, effective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and paid termination fees of less than $0.1 million.</w:t>
      </w:r>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At December 31, 2019 and 2020, and June 30, 2021 (unaudited), the Company had finance lease liabilities of $26.3 million, $24.8 million and $24.0 million, respectively; right-of-use assets of $25.6 million, $23.5 million and $22.5 million, respectively; operating lease liabilities of $0.9 million, $0.8 million and $0.7 million, respectively; and right-of-use assets of $0.9 million, $0.8 million and $0.7 million, respectively, all of which were included in the balance sheet.</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leases do not require any contingent rental payments, impose any financial restrictions, or contain any residual value guarantees. Certain of the Company’s leases include renewal options and escalation clauses;</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renewal options have been included in the calculation of the lease liabilities and right of use assets as the Company is reasonably certain to exercise the options due to the specialized nature of the leased building. Variable expenses generally represent the Company’s share of the landlord’s operating expenses. The Company does not act as a lessor in any lease arrangements.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quantitative information about the Company’s leases: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7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8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4"/>
              </w:rPr>
              <w:t>Six Months Ended June</w:t>
            </w:r>
          </w:p>
        </w:tc>
        <w:tc>
          <w:tcPr>
            <w:tcW w:w="60" w:type="dxa"/>
            <w:vAlign w:val="bottom"/>
          </w:tcPr>
          <w:p>
            <w:pPr>
              <w:spacing w:after="0"/>
              <w:rPr>
                <w:sz w:val="14"/>
                <w:szCs w:val="14"/>
                <w:color w:val="auto"/>
              </w:rPr>
            </w:pPr>
          </w:p>
        </w:tc>
        <w:tc>
          <w:tcPr>
            <w:tcW w:w="17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Six Months Ended June</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Pr>
          <w:p>
            <w:pPr>
              <w:spacing w:after="0"/>
              <w:rPr>
                <w:sz w:val="14"/>
                <w:szCs w:val="14"/>
                <w:color w:val="auto"/>
              </w:rPr>
            </w:pPr>
          </w:p>
        </w:tc>
        <w:tc>
          <w:tcPr>
            <w:tcW w:w="17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30, 2020 (Unaudited)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30, 2021 (Unaudited)</w:t>
            </w:r>
          </w:p>
        </w:tc>
        <w:tc>
          <w:tcPr>
            <w:tcW w:w="0" w:type="dxa"/>
            <w:vAlign w:val="bottom"/>
          </w:tcPr>
          <w:p>
            <w:pPr>
              <w:spacing w:after="0"/>
              <w:rPr>
                <w:sz w:val="1"/>
                <w:szCs w:val="1"/>
                <w:color w:val="auto"/>
              </w:rPr>
            </w:pPr>
          </w:p>
        </w:tc>
      </w:tr>
      <w:tr>
        <w:trPr>
          <w:trHeight w:val="119"/>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Finance</w:t>
            </w: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Operating</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Finance</w:t>
            </w: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Operating</w:t>
            </w:r>
          </w:p>
        </w:tc>
        <w:tc>
          <w:tcPr>
            <w:tcW w:w="240" w:type="dxa"/>
            <w:vAlign w:val="bottom"/>
          </w:tcPr>
          <w:p>
            <w:pPr>
              <w:spacing w:after="0"/>
              <w:rPr>
                <w:sz w:val="10"/>
                <w:szCs w:val="10"/>
                <w:color w:val="auto"/>
              </w:rPr>
            </w:pPr>
          </w:p>
        </w:tc>
        <w:tc>
          <w:tcPr>
            <w:tcW w:w="90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Finance</w:t>
            </w: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Operating</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Finance</w:t>
            </w:r>
          </w:p>
        </w:tc>
        <w:tc>
          <w:tcPr>
            <w:tcW w:w="7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Operating</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Leases</w:t>
            </w:r>
          </w:p>
        </w:tc>
        <w:tc>
          <w:tcPr>
            <w:tcW w:w="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Leases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Leases</w:t>
            </w: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Leases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Leases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Leases</w:t>
            </w: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Operating cash flows from leases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(2,298)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(2,180)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(1,106)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Financing cash flows from leases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 (1,292)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 (1,500)</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(722)</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Weighted-average remaining lease</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term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8.50 %</w:t>
            </w: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8.50 %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8.50 %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8.50 %</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8.50 %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8.50 %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8.50 %</w:t>
            </w: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8.50 %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maturities of the Company’s lease liabilities were as follows: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080" w:type="dxa"/>
            <w:vAlign w:val="bottom"/>
            <w:gridSpan w:val="3"/>
          </w:tcPr>
          <w:p>
            <w:pPr>
              <w:ind w:left="140"/>
              <w:spacing w:after="0"/>
              <w:rPr>
                <w:sz w:val="20"/>
                <w:szCs w:val="20"/>
                <w:color w:val="auto"/>
              </w:rPr>
            </w:pPr>
            <w:r>
              <w:rPr>
                <w:rFonts w:ascii="Arial" w:cs="Arial" w:eastAsia="Arial" w:hAnsi="Arial"/>
                <w:sz w:val="14"/>
                <w:szCs w:val="14"/>
                <w:b w:val="1"/>
                <w:bCs w:val="1"/>
                <w:color w:val="auto"/>
                <w:w w:val="88"/>
              </w:rPr>
              <w:t>Finance Leases</w:t>
            </w:r>
          </w:p>
        </w:tc>
        <w:tc>
          <w:tcPr>
            <w:tcW w:w="1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91"/>
              </w:rPr>
              <w:t>Operating Leases</w:t>
            </w:r>
          </w:p>
        </w:tc>
      </w:tr>
      <w:tr>
        <w:trPr>
          <w:trHeight w:val="209"/>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2021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4,065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(11,956)</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24,819</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Redeemable Convertible Preferred Stock and Preferred Stock Terms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has outstanding series A redeemable convertible preferred stock, series B redeemable convertible preferred stock, series C redeemable convertible preferred stock and series D redeemable convertible preferred stock, which are collectively referred to as “redeemable convertible preferred stock.” The series A redeemable convertible preferred stock, series B redeemable convertible preferred stock and series C redeemable convertible preferred stock are individually and collectively referred to as “junior” series of preferred stock.</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9" w:name="page190"/>
    <w:bookmarkEnd w:id="189"/>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of December 31, 2019, December 31, 2020, June 30, 2020 (unaudited) and June 30, 2021 (unaudited), redeemable convertible preferred stock consisted of the following (in thousands, except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Redeemable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Redeemable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Preferred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2"/>
              </w:rPr>
              <w:t>Liquidation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3"/>
              </w:rPr>
              <w:t>Issuance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Authorized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Preference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70,152,805</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70,152,805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74,079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74,079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1.05596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91,919,158</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91,919,158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127,358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42,808,219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42,808,208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Series D redeemable convertible preferred stock</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60,216,780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60,216,780</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148,848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265,096,962</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265,096,951</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420,989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435,579</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connection with the series D redeemable convertible preferred stock financing, the Company granted Fresenius Medical Care the right to purchase up to an aggregate of $30.0 million of its common stock in a private placement effected concurrently with its initial public offering at a price per share equal to the initial public offering price. See Note 13: Related Party Transactions for further discussion of the Company’s relationship with Fresenius Medical Care.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holders of the series A redeemable convertible preferred stock and the series B redeemable convertible preferred stock may designate one individual and two individuals, respectively, to the Board of Directors. The holders of the series C redeemable convertible preferred stock may designate one individual to the Board of Directors and Fresenius Medical Care may designate one representative to attend, in a non-voting observer capacity, all meetings of the Company’s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to Common Stock</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Each share of redeemable convertible preferred stock is convertible, at the option of the holder thereof, into that number of the fully paid and nonassessable shares of common stock determined by dividing the original issue price for the relevant shares by the conversion price. Each share of redeemable convertible preferred stock will automatically be converted into that number of fully-paid, nonassessable shares of common stock at the then effective conversion rate for such shares (i) immediately prior to the closing of a firm commitment underwritten public offering on the New York Stock Exchange or a Nasdaq market pursuant to an effective registration statement filed under the Securities Act of 1933, as amended, if the offering price is not less than $2.7401 per share (as adjusted for any stock dividend, stock split, combination of shares, reorganization, recapitalization, reclassification or other similar event) and the aggregate gross proceeds to the Company are not less than $100.0 million (before deduction of commissions and expenses), (ii) with respect to the series C redeemable convertible preferred stock, series B redeemable convertible preferred stock and series A redeemable convertible preferred stock, upon the receipt by the Company of a written request for such conversion from the holders of at least 60% of such series of redeemable convertible preferred stock then outstanding and at least 60% of the then outstanding shares of series C redeemable convertible preferred stock or (iii) with respect to the series D redeemable convertible preferred stock, upon the receipt by the Company of a written request for such conversion from the holders of a majority of the then outstanding shares of series D redeemable convertible preferred stock.</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are the conversion prices for each series of the redeemable convertible preferred stock as of December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Series</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Conversion Price</w:t>
            </w: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1.05596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1.485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5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2.491</w:t>
            </w:r>
          </w:p>
        </w:tc>
      </w:tr>
    </w:tbl>
    <w:p>
      <w:pPr>
        <w:spacing w:after="0" w:line="187"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These conversion prices are subject to adjustment from time to time including for certain share issuances made without consideration or for consideration less than the then applicable conversion price of a series of redeemable convertible preferred stock,</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0" w:name="page191"/>
    <w:bookmarkEnd w:id="190"/>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dividends, stock splits, and combinations. As of December 31, 2020 and June 30, 2021 (unaudited), each series of redeemable convertible preferred stock is convertible on a one-for-one basis.</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series A, series B, series C and series D redeemable convertible preferred stock includes an anti-dilution feature that adjusts the conversion price, in certain scenarios, if the Company sells shares at a price below the stated conversion price. The anti-dilution provision is considered a contingent beneficial conversion feature. Due to the inability of the Company to determine the price of the shares sold, the Company is unable to determine the number of shares that the holder would receive if the contingency occurs. Therefore, the beneficial conversion feature is not recognized until the contingent event occurs.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Any dividends on the redeemable convertible preferred stock are not cumulative. The holders of the redeemable convertible preferred stock are entitled to receive dividends pro rata with the holders of common stock on an as-converted basis, when and if declared and paid by the Board of Directors, out of any assets at the time legally available. Any declared and unpaid dividends on the redeemable convertible preferred stock are payable upon certain voluntary or involuntary acquisition or sale transactions or the liquidation, dissolution or winding up of the Company as described below under “Liquidation,” and no dividends may be made with respect to the common stock unless all dividends declared on the redeemable convertible preferred stock have been paid or set aside for payment.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In the event of certain voluntary or involuntary acquisition or sale transactions or upon the liquidation, dissolution or winding up of the Company, each, a Reorganization, in which the holders of the series D redeemable convertible preferred stock receive less than $2.491 per share plus any declared but unpaid dividends, referred to as the Series D Liquidation Preference, or such lesser amount approved in writing by the holders of a majority of the then outstanding series D redeemable convertible preferred stock, the series D stockholders will receive the series D liquidation preference before the holders of the series C, series B, series A redeemable convertible preferred stock or common stockholders would receive any proceeds relating to such Reorganization, and the entire assets of the Company available for distribution would be distributed pro rata among holders of the series D redeemable convertible preferred stock. In the event that, after the payment to the holders of the series D redeemable convertible preferred stock, the holders of the series C redeemable convertible preferred stock would receive less than $1.752 per share plus any declared but unpaid dividends or such lesser amount approved by the holders of at least 80% of the then outstanding series C redeemable convertible preferred stock, the entire remaining assets of the Company available for distribution would be distributed pro rata among holders of the series C redeemable convertible preferred stock. In the event that, after the payment to the holders of the series D redeemable convertible preferred stock and series C redeemable convertible preferred stock, the holders of the series B redeemable convertible preferred stock would receive less than $1.485 per share plus any declared but unpaid dividends or such lesser amount approved by the holders of a majority of the then outstanding series B redeemable convertible preferred stock, the entire remaining assets of the Company available for distribution would be distributed pro rata among holders of the series B redeemable convertible preferred stock. However, in the event of any Reorganization, if the holders of the series D redeemable convertible preferred stock, series C redeemable convertible preferred stock or series B redeemable convertible preferred stock would receive less than 1.25 times their respective liquidation preference per share, the holders of each such series will be entitled to receive, in preference to any distribution of assets to the holders of any junior series, an amount per share equal to 1.25 times such liquidation preference.</w:t>
      </w:r>
    </w:p>
    <w:p>
      <w:pPr>
        <w:spacing w:after="0" w:line="18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event that, after the payment to the holders of the series D redeemable convertible preferred stock, series C redeemable convertible preferred stock and series B redeemable convertible preferred stock described above, the holders of the series A redeemable convertible preferred stock would receive less than $1.05596 per share plus any declared but unpaid dividends or such lesser amount approved by the holders of a majority of the then outstanding series A redeemable convertible preferred stock, the entire remaining assets of the Company available for distribution would be distributed pro rata among holders of the series A redeemable convertible preferred stock. After payment to the holders of preferred stock, the remaining assets of the Company available for distribution would be distributed pro rata among the holders of preferred stock and common stock with the preferred stock being treated as if they had been converted to common stock at the then applicable conversion rate.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91" w:name="page192"/>
    <w:bookmarkEnd w:id="191"/>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Except as provided in the Company’s certificate of incorporation and as required by law, the holders of the redeemable convertible preferred stock vote with the holders of common stock on an as-converted basis. Preferred stockholders will generally vote together with the holders of common stock as a single class but also have class vote approval rights as provided by law and others as specified in the Company’s certificate of incorporation.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and Balance Sheet Classification</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accordance with the Company’s accounting policy, the series A, series B, series C and series D redeemable convertible preferred stock was classified as temporary equity due to the fact that liquidation is not solely within the control of the Company. As of December 31, 2020 and June 30, 2021 (unaudited), liquidation of the series A, series B, series C and series D redeemable convertible preferred stock was not probable because the change in control events (acquisition, sale or asset transfer) that would lead to liquidation are contingent upon events that have not yet occurred and are not considered probable at this time. The Company has not adjusted the carrying value of the redeemable convertible preferred stock to its liquidation preference because a deemed liquidation event obligating the Company to pay the liquidation preference to holders of shares of redeemable convertible preferred stock is not probable of occurring. Subsequent adjustments of the carrying values to the liquidation preference will be made only when it becomes probable that such a deemed liquidation event will occur.</w:t>
      </w:r>
    </w:p>
    <w:p>
      <w:pPr>
        <w:spacing w:after="0" w:line="177" w:lineRule="exact"/>
        <w:rPr>
          <w:sz w:val="20"/>
          <w:szCs w:val="20"/>
          <w:color w:val="auto"/>
        </w:rPr>
      </w:pPr>
    </w:p>
    <w:p>
      <w:pPr>
        <w:ind w:right="8120" w:firstLine="8"/>
        <w:spacing w:after="0" w:line="566" w:lineRule="auto"/>
        <w:tabs>
          <w:tab w:leader="none" w:pos="18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Deficit Common Stock</w:t>
      </w:r>
    </w:p>
    <w:p>
      <w:pPr>
        <w:ind w:right="120" w:firstLine="324"/>
        <w:spacing w:after="0" w:line="255" w:lineRule="auto"/>
        <w:rPr>
          <w:sz w:val="20"/>
          <w:szCs w:val="20"/>
          <w:color w:val="auto"/>
        </w:rPr>
      </w:pPr>
      <w:r>
        <w:rPr>
          <w:rFonts w:ascii="Arial" w:cs="Arial" w:eastAsia="Arial" w:hAnsi="Arial"/>
          <w:sz w:val="18"/>
          <w:szCs w:val="18"/>
          <w:color w:val="auto"/>
        </w:rPr>
        <w:t>As of December 31, 2019 and 2020, and June 30, 2021 (unaudited), the Company’s certificate of incorporation, as amended, authorized the Company to issue 340,216,780 shares of common stock, respectively, at a par value of $0.001 per share. The number of authorized shares of common stock may be increased or decreased (but not below the number of shares thereof then outstanding or reserved for issuance) by the affirmative vote of the holders of a majority (assuming the conversion of all redeemable convertible preferred stock into shares of the Company’s common stock) of the capital stock of the Company entitled to vote and without a separate class vote of the common stock.</w:t>
      </w:r>
    </w:p>
    <w:p>
      <w:pPr>
        <w:spacing w:after="0" w:line="192"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holders of common stock are entitled to receive dividends from time to time as may be declared by the Board of Directors. No cash dividend may be declared or paid to common stockholders until paid on each series of outstanding redeemable convertible preferred stock in accordance with its terms. Through December 31, 2020 and June 30, 2021 (unaudited), no dividends have been declared.</w:t>
      </w:r>
    </w:p>
    <w:p>
      <w:pPr>
        <w:spacing w:after="0" w:line="14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holders of common stock are entitled to one vote for each share held with respect to all matters voted on by the common stockholders of the Company. Preferred stockholders generally vote together with the holders of common stock as a single class but also have class vote approval rights as provided by law and others as specified in the Company’s certificate of incorporation.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event of a Reorganization of the Company, after payment to the preferred stockholders of their liquidation preferences, holders of common stock are entitled, together with holders of redeemable convertible preferred stock, to share ratably in all remaining assets of the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2" w:name="page193"/>
    <w:bookmarkEnd w:id="192"/>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December 31, 2019 and 2020 and June 30, 2021 (unaudited), the Company had reserved common stock for future issuances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32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ind w:right="195"/>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5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6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(Unaudited)</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A redeemable convertible preferred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70,152,805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70,152,805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70,152,805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Conversion of Series B redeemable convertible preferred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91,919,158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91,919,158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91,919,158</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C redeemable convertible preferred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42,808,219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42,808,219</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42,808,219</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Conversion of Series D redeemable convertible preferred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60,216,780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60,216,780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60,216,780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 under stock plan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19,880,073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18,330,574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24,831,266</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Issuance of options under stock plan</w:t>
            </w:r>
          </w:p>
        </w:tc>
        <w:tc>
          <w:tcPr>
            <w:tcW w:w="1000" w:type="dxa"/>
            <w:vAlign w:val="bottom"/>
          </w:tcPr>
          <w:p>
            <w:pPr>
              <w:jc w:val="right"/>
              <w:spacing w:after="0"/>
              <w:rPr>
                <w:sz w:val="20"/>
                <w:szCs w:val="20"/>
                <w:color w:val="auto"/>
              </w:rPr>
            </w:pPr>
            <w:r>
              <w:rPr>
                <w:rFonts w:ascii="Arial" w:cs="Arial" w:eastAsia="Arial" w:hAnsi="Arial"/>
                <w:sz w:val="18"/>
                <w:szCs w:val="18"/>
                <w:color w:val="auto"/>
              </w:rPr>
              <w:t>10,422,521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11,228,478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4,391,144</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common stock</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125,520</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125,520</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1,095,616</w:t>
            </w:r>
          </w:p>
        </w:tc>
      </w:tr>
      <w:tr>
        <w:trPr>
          <w:trHeight w:val="209"/>
        </w:trPr>
        <w:tc>
          <w:tcPr>
            <w:tcW w:w="6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295,525,076</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294,781,534</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295,414,988</w:t>
            </w:r>
          </w:p>
        </w:tc>
      </w:tr>
      <w:tr>
        <w:trPr>
          <w:trHeight w:val="20"/>
        </w:trPr>
        <w:tc>
          <w:tcPr>
            <w:tcW w:w="6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conjunction with a long-term debt agreement entered into on March 15, 2006 and paid in full during 2011, the Company issued a warrant that gave the holder the right to purchase 125,520 shares of the Company’s common stock at an exercise price of $0.30 per share, which was outstanding as of December 31, 2019 and 2020. The warrant was fully exercised on March 4, 2021 (unaudited). There was no activity for the warrant during the years ended December 31, 2019 and 2020.</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conjunction with the Loan Agreement entered into on March 30, 2021, the Company issued warrants that gave the holders the right to purchase 1,095,616 shares of the Company’s common stock at an exercise price of $2.699 per share, which was outstanding as of June 30, 2021 (unaudited). Under the terms of the warrant agreement, warrants to purchase an additional 469,550 shares of the Company’s common stock at an exercise price of $2.699 per share are exercisable upon funding of an additional loan advance (unaudited).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Company has adopted the 2015 Omnibus Incentive Plan, as amended, or the 2015 Plan, which allows for the grant of nonstatutory stock options, or NSOs, and incentive stock options, or ISOs, stock appreciation rights, restricted stock, restricted stock units and unrestricted stock awards to employees, officers, directors, and consultants in the service of the Company. The Company believes that such awards aid in aligning the interests of these persons with those of its stockholders. The Board of Directors determines the specific terms of equity incentive grants, including the exercise price per share and vesting period for option awards. Option awards are granted with an exercise price equal to the fair market value of the Company’s common stock at the date of grant.</w:t>
      </w:r>
    </w:p>
    <w:p>
      <w:pPr>
        <w:spacing w:after="0" w:line="164"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Company has granted options that include either a service-based or performance-based vesting condition and a 10-year contractual term. The service-based vesting condition is generally satisfied over 36 months from the date of grant. The performance-based vesting conditions are satisfied upon the attainment of certain product development milestones. The Company recognizes stock-based compensation expense based on the grant date fair value of the awards. Compensation expense related to awards with service-based vesting conditions is recognized on a straight-line basis over the requisite service period. 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Option awards under the 2015 Plan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3" w:name="page194"/>
    <w:bookmarkEnd w:id="193"/>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connection with the termination of Mr. Blankenship’s employment with the Company as of May 14, 2021, the Company entered into a severance agreement and release (the “Severance Agreement”) with Mr. Blankenship, effective May 17, 2021, which provides for the terms and conditions of</w:t>
      </w:r>
    </w:p>
    <w:p>
      <w:pPr>
        <w:spacing w:after="0" w:line="18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Mr. Blankenship’s separation from Humacyte. The Severance Agreement (unaudited) provides that all unvested stock options granted to Mr. Blankenship under the stock option agreement dated December 18, 2018 will become fully vested and exercisable. Any stock options granted to Mr. Blankenship under any other stock option agreement that did not vest on or before the separation date are forfeited. Additionally, Mr. Blankenship received an extension of time to exercise vested options until September 1, 2022. The Company accounted for this as a modification of an award and recognized the associated expense in the six months ended June 30, 2021.</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used the following assumptions on the date of grant to estimate the fair value of the stock options in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1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46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150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Estimated dividend yield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0 %</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share price volatility</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w w:val="95"/>
              </w:rPr>
              <w:t>70.1%-87.7 % 89.4%</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w w:val="94"/>
              </w:rPr>
              <w:t>- 91.6 % 89.4%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- 91.4 %</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91.0% - 92.1 %</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1.76% - 2.46 % 0.34%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- 0.75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0.39%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- 0.75 %</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0.62% - 1.02 %</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Expected term of options (in years)</w:t>
            </w:r>
          </w:p>
        </w:tc>
        <w:tc>
          <w:tcPr>
            <w:tcW w:w="100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0"/>
                <w:szCs w:val="20"/>
                <w:color w:val="auto"/>
              </w:rPr>
            </w:pPr>
          </w:p>
        </w:tc>
      </w:tr>
    </w:tbl>
    <w:p>
      <w:pPr>
        <w:spacing w:after="0" w:line="187" w:lineRule="exact"/>
        <w:rPr>
          <w:sz w:val="20"/>
          <w:szCs w:val="20"/>
          <w:color w:val="auto"/>
        </w:rPr>
      </w:pPr>
    </w:p>
    <w:p>
      <w:pPr>
        <w:ind w:left="680" w:right="60" w:hanging="321"/>
        <w:spacing w:after="0" w:line="263"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As the Company’s common stock has not historically been publicly traded,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its common stock underlying the options has historically been determined by the Company’s board of directors with input from management, after considering independent third-party valuation reports.</w:t>
      </w:r>
    </w:p>
    <w:p>
      <w:pPr>
        <w:spacing w:after="0" w:line="183" w:lineRule="exact"/>
        <w:rPr>
          <w:rFonts w:ascii="Arial" w:cs="Arial" w:eastAsia="Arial" w:hAnsi="Arial"/>
          <w:sz w:val="18"/>
          <w:szCs w:val="18"/>
          <w:color w:val="auto"/>
        </w:rPr>
      </w:pPr>
    </w:p>
    <w:p>
      <w:pPr>
        <w:ind w:left="680" w:right="120" w:hanging="321"/>
        <w:spacing w:after="0" w:line="272" w:lineRule="auto"/>
        <w:tabs>
          <w:tab w:leader="none" w:pos="68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stock options are expected to be outstanding.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calculated the expected 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77" w:lineRule="exact"/>
        <w:rPr>
          <w:rFonts w:ascii="Arial" w:cs="Arial" w:eastAsia="Arial" w:hAnsi="Arial"/>
          <w:sz w:val="17"/>
          <w:szCs w:val="17"/>
          <w:color w:val="auto"/>
        </w:rPr>
      </w:pPr>
    </w:p>
    <w:p>
      <w:pPr>
        <w:ind w:left="680" w:right="60" w:hanging="321"/>
        <w:spacing w:after="0" w:line="279" w:lineRule="auto"/>
        <w:tabs>
          <w:tab w:leader="none" w:pos="68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was based on the historical share volatility of several publicly traded peer</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over a period of time equal to the expected term of the options, as the Company does not have any trading history to use the volatility of its common stock. For purposes of identifying these peer companies, the Company considered the industry, stage of development, size and financial leverage of potential comparable companies.</w:t>
      </w:r>
    </w:p>
    <w:p>
      <w:pPr>
        <w:spacing w:after="0" w:line="171" w:lineRule="exact"/>
        <w:rPr>
          <w:rFonts w:ascii="Arial" w:cs="Arial" w:eastAsia="Arial" w:hAnsi="Arial"/>
          <w:sz w:val="17"/>
          <w:szCs w:val="17"/>
          <w:color w:val="auto"/>
        </w:rPr>
      </w:pPr>
    </w:p>
    <w:p>
      <w:pPr>
        <w:ind w:left="680" w:right="600" w:hanging="321"/>
        <w:spacing w:after="0" w:line="277"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was based on the yields of US Treasury zero-coupon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similar in duration to the expected term of the options.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not paid dividends on its common stock nor does it expect to pay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Accordingly, the Company has estimated the dividend yield to be zero.</w:t>
      </w:r>
    </w:p>
    <w:p>
      <w:pPr>
        <w:spacing w:after="0" w:line="17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At December 31, 2020 and June 30, 2021 (unaudited), there were 11,228,478 and 4,391,144 options remaining available for grant under the 2015 Plan. The Company has sufficient authorized and unissued shares to make all issuances currently available under the 2015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4" w:name="page195"/>
    <w:bookmarkEnd w:id="194"/>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following tables show a summary of stock-based compensation expense included in the statements of operations and comprehensive loss for the years ended December 31, 2019 and 2020, and the six months ended June 30, 2020 and 2021 (unaudited), and remaining unrecognized cost as of December 31, 2019 and 2020 and June 30, 2021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4"/>
              </w:rPr>
              <w:t>For the Six Month Ended June 30,</w:t>
            </w:r>
          </w:p>
        </w:tc>
        <w:tc>
          <w:tcPr>
            <w:tcW w:w="0" w:type="dxa"/>
            <w:vAlign w:val="bottom"/>
          </w:tcPr>
          <w:p>
            <w:pPr>
              <w:spacing w:after="0"/>
              <w:rPr>
                <w:sz w:val="1"/>
                <w:szCs w:val="1"/>
                <w:color w:val="auto"/>
              </w:rPr>
            </w:pPr>
          </w:p>
        </w:tc>
      </w:tr>
      <w:tr>
        <w:trPr>
          <w:trHeight w:val="142"/>
        </w:trPr>
        <w:tc>
          <w:tcPr>
            <w:tcW w:w="5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58"/>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5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3,543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1,823</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4,457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2,296</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96"/>
              </w:rPr>
              <w:t>As of December 31,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42"/>
        </w:trPr>
        <w:tc>
          <w:tcPr>
            <w:tcW w:w="564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Unrecognized share-based compensation cost</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w w:val="89"/>
              </w:rPr>
              <w:t>Expected weighted average period compensation costs to be recognized (years)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option activity under the 2015 Plan during the years ended December 31, 2019 and 2020 and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(unaudited) is presented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13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8"/>
              </w:rPr>
              <w:t>Price Per Share</w:t>
            </w:r>
          </w:p>
        </w:tc>
        <w:tc>
          <w:tcPr>
            <w:tcW w:w="12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21,473,871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21,354</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2,365,100</w:t>
            </w:r>
          </w:p>
        </w:tc>
        <w:tc>
          <w:tcPr>
            <w:tcW w:w="160" w:type="dxa"/>
            <w:vAlign w:val="bottom"/>
          </w:tcPr>
          <w:p>
            <w:pPr>
              <w:spacing w:after="0"/>
              <w:rPr>
                <w:sz w:val="18"/>
                <w:szCs w:val="18"/>
                <w:color w:val="auto"/>
              </w:rPr>
            </w:pPr>
          </w:p>
        </w:tc>
        <w:tc>
          <w:tcPr>
            <w:tcW w:w="180" w:type="dxa"/>
            <w:vAlign w:val="bottom"/>
            <w:gridSpan w:val="3"/>
          </w:tcPr>
          <w:p>
            <w:pPr>
              <w:jc w:val="right"/>
              <w:ind w:right="8"/>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(2,364,227)</w:t>
            </w:r>
          </w:p>
        </w:tc>
        <w:tc>
          <w:tcPr>
            <w:tcW w:w="1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(1,594,671)</w:t>
            </w:r>
          </w:p>
        </w:tc>
        <w:tc>
          <w:tcPr>
            <w:tcW w:w="180" w:type="dxa"/>
            <w:vAlign w:val="bottom"/>
            <w:gridSpan w:val="3"/>
          </w:tcPr>
          <w:p>
            <w:pPr>
              <w:jc w:val="right"/>
              <w:ind w:right="8"/>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19,880,073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17,044</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1,831,700</w:t>
            </w:r>
          </w:p>
        </w:tc>
        <w:tc>
          <w:tcPr>
            <w:tcW w:w="160" w:type="dxa"/>
            <w:vAlign w:val="bottom"/>
          </w:tcPr>
          <w:p>
            <w:pPr>
              <w:spacing w:after="0"/>
              <w:rPr>
                <w:sz w:val="18"/>
                <w:szCs w:val="18"/>
                <w:color w:val="auto"/>
              </w:rPr>
            </w:pPr>
          </w:p>
        </w:tc>
        <w:tc>
          <w:tcPr>
            <w:tcW w:w="180" w:type="dxa"/>
            <w:vAlign w:val="bottom"/>
            <w:gridSpan w:val="3"/>
          </w:tcPr>
          <w:p>
            <w:pPr>
              <w:jc w:val="right"/>
              <w:ind w:right="8"/>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(743,542)</w:t>
            </w:r>
          </w:p>
        </w:tc>
        <w:tc>
          <w:tcPr>
            <w:tcW w:w="1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(2,637,657)</w:t>
            </w:r>
          </w:p>
        </w:tc>
        <w:tc>
          <w:tcPr>
            <w:tcW w:w="180" w:type="dxa"/>
            <w:vAlign w:val="bottom"/>
            <w:gridSpan w:val="3"/>
          </w:tcPr>
          <w:p>
            <w:pPr>
              <w:jc w:val="right"/>
              <w:ind w:right="8"/>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18,330,574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20,422</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Vested and exercisable, December 31, 2020</w:t>
            </w: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12,918,751</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1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17,925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December 31, 2020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18,330,574</w:t>
            </w:r>
          </w:p>
        </w:tc>
        <w:tc>
          <w:tcPr>
            <w:tcW w:w="1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20,422</w:t>
            </w:r>
          </w:p>
        </w:tc>
        <w:tc>
          <w:tcPr>
            <w:tcW w:w="0" w:type="dxa"/>
            <w:vAlign w:val="bottom"/>
          </w:tcPr>
          <w:p>
            <w:pPr>
              <w:spacing w:after="0"/>
              <w:rPr>
                <w:sz w:val="1"/>
                <w:szCs w:val="1"/>
                <w:color w:val="auto"/>
              </w:rPr>
            </w:pPr>
          </w:p>
        </w:tc>
      </w:tr>
      <w:tr>
        <w:trPr>
          <w:trHeight w:val="355"/>
        </w:trPr>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12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restart"/>
          </w:tcPr>
          <w:p>
            <w:pPr>
              <w:jc w:val="right"/>
              <w:ind w:right="88"/>
              <w:spacing w:after="0"/>
              <w:rPr>
                <w:sz w:val="20"/>
                <w:szCs w:val="20"/>
                <w:color w:val="auto"/>
              </w:rPr>
            </w:pPr>
            <w:r>
              <w:rPr>
                <w:rFonts w:ascii="Arial" w:cs="Arial" w:eastAsia="Arial" w:hAnsi="Arial"/>
                <w:sz w:val="14"/>
                <w:szCs w:val="14"/>
                <w:b w:val="1"/>
                <w:bCs w:val="1"/>
                <w:color w:val="auto"/>
                <w:w w:val="91"/>
              </w:rPr>
              <w:t>Number of Shares</w:t>
            </w:r>
          </w:p>
        </w:tc>
        <w:tc>
          <w:tcPr>
            <w:tcW w:w="11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2"/>
              </w:rPr>
              <w:t>Average Exercise</w:t>
            </w:r>
          </w:p>
        </w:tc>
        <w:tc>
          <w:tcPr>
            <w:tcW w:w="120" w:type="dxa"/>
            <w:vAlign w:val="bottom"/>
          </w:tcPr>
          <w:p>
            <w:pPr>
              <w:spacing w:after="0"/>
              <w:rPr>
                <w:sz w:val="12"/>
                <w:szCs w:val="12"/>
                <w:color w:val="auto"/>
              </w:rPr>
            </w:pPr>
          </w:p>
        </w:tc>
        <w:tc>
          <w:tcPr>
            <w:tcW w:w="12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w w:val="96"/>
              </w:rPr>
              <w:t>Price Per Share</w:t>
            </w:r>
          </w:p>
        </w:tc>
        <w:tc>
          <w:tcPr>
            <w:tcW w:w="120" w:type="dxa"/>
            <w:vAlign w:val="bottom"/>
          </w:tcPr>
          <w:p>
            <w:pPr>
              <w:spacing w:after="0"/>
              <w:rPr>
                <w:sz w:val="14"/>
                <w:szCs w:val="14"/>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18,330,574</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20,422</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Granted (unaudited)</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6,999,500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 (unaudited)</w:t>
            </w:r>
          </w:p>
        </w:tc>
        <w:tc>
          <w:tcPr>
            <w:tcW w:w="1320" w:type="dxa"/>
            <w:vAlign w:val="bottom"/>
            <w:gridSpan w:val="6"/>
            <w:shd w:val="clear" w:color="auto" w:fill="CCEEFF"/>
          </w:tcPr>
          <w:p>
            <w:pPr>
              <w:jc w:val="right"/>
              <w:ind w:right="68"/>
              <w:spacing w:after="0"/>
              <w:rPr>
                <w:sz w:val="20"/>
                <w:szCs w:val="20"/>
                <w:color w:val="auto"/>
              </w:rPr>
            </w:pPr>
            <w:r>
              <w:rPr>
                <w:rFonts w:ascii="Arial" w:cs="Arial" w:eastAsia="Arial" w:hAnsi="Arial"/>
                <w:sz w:val="18"/>
                <w:szCs w:val="18"/>
                <w:color w:val="auto"/>
              </w:rPr>
              <w:t>(336,642)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Forfeited (unaudited)</w:t>
            </w:r>
          </w:p>
        </w:tc>
        <w:tc>
          <w:tcPr>
            <w:tcW w:w="1320" w:type="dxa"/>
            <w:vAlign w:val="bottom"/>
            <w:gridSpan w:val="6"/>
          </w:tcPr>
          <w:p>
            <w:pPr>
              <w:jc w:val="right"/>
              <w:ind w:right="68"/>
              <w:spacing w:after="0"/>
              <w:rPr>
                <w:sz w:val="20"/>
                <w:szCs w:val="20"/>
                <w:color w:val="auto"/>
              </w:rPr>
            </w:pPr>
            <w:r>
              <w:rPr>
                <w:rFonts w:ascii="Arial" w:cs="Arial" w:eastAsia="Arial" w:hAnsi="Arial"/>
                <w:sz w:val="18"/>
                <w:szCs w:val="18"/>
                <w:color w:val="auto"/>
              </w:rPr>
              <w:t>(162,166)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2021 (unaudited)</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24,831,266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19,567</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Vested and exercisable, June 30, 2021 (unaudited)</w:t>
            </w:r>
          </w:p>
        </w:tc>
        <w:tc>
          <w:tcPr>
            <w:tcW w:w="40" w:type="dxa"/>
            <w:vAlign w:val="bottom"/>
            <w:vMerge w:val="restart"/>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15,803,754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1.48</w:t>
            </w:r>
          </w:p>
        </w:tc>
        <w:tc>
          <w:tcPr>
            <w:tcW w:w="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5.34</w:t>
            </w:r>
          </w:p>
        </w:tc>
        <w:tc>
          <w:tcPr>
            <w:tcW w:w="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19,194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June 30, 2021 (unaudited)</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24,831,266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intrinsic value of options exercised during the years ended December 31, 2019 and 2020 and the six months ended June 30, 2020 and 2021 (unaudited) was $4.0 million, $1.4 million, $1.1 million and $0.7 million, respectively.</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weighted-average grant-date fair value per share of options granted during the years ended December 31, 2019 and 2020 and the six months ended June 30, 2020 and 2021 (unaudited) was $2.23, $2.57, $2.23 and $2.70, respectively.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5" w:name="page196"/>
    <w:bookmarkEnd w:id="195"/>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did not record any income tax expense or benefit during the years ended December 31, 2019 and 2020. The Company has a net operating loss and has provided a valuation allowance against net deferred tax assets due to uncertainties regarding the Company’s ability to realize these assets. All losses before income taxes arose in the US.</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deferred tax liabilities, including valuation allowances,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Net operating loss</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50,616</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Capitalized research and development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Research credits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Right of use lease liability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(82,193)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tax asset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Basis difference in fixed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 of use lease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liability</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deferred tax asset/(liability)</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lack of taxable income and the accumulated deficit, the Company provided a full valuation allowance against the deferred tax assets resulting from the tax loss and credits carried forward as of December 31, 2019 and December 31, 2020.</w:t>
      </w:r>
    </w:p>
    <w:p>
      <w:pPr>
        <w:spacing w:after="0" w:line="161"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The reasons for the difference between the actual income tax benefit for the years ended December 31, 2019 and 2020, and the amount computed by applying the statutory Federal income tax rate to losses before income taxes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Amount</w:t>
            </w:r>
          </w:p>
        </w:tc>
        <w:tc>
          <w:tcPr>
            <w:tcW w:w="8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at statutory rate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(17,939)</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State income taxes, net of federal benefit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(1,739)</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(1,338)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credits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Other nondeductible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0.0 %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rate changes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(1,736)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As of December 31, 2020 the Company had approximately $232.7 million and $232.6 million of Federal and state net operating losses, respectively. Of this amount, $71.5 million of Federal net operating losses are carried over indefinitely, while the remaining</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6" w:name="page197"/>
    <w:bookmarkEnd w:id="196"/>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amount begins to expire in 2025. The Company’s net operating loss carryforwards are subject to the application of the 80% limitation on taxable income beginning in 2021. Some of these state net operating losses included in these amounts follow the Federal Tax Cuts and Jobs Act and are carried over indefinitely, and others have various expiration dates.</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of December 31, 2019 and December 31, 2020 the Company had Federal and state research tax credit carryforwards of $10.7 million and $15.1 million, respectively. These credit carryforwards begin to expire in 2021.</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Net operating loss carryforwards and tax credit carryforwards are subject to review and possible adjustment by the Internal Revenue Service, or IRS, and may become subject to an annual limitation in the event of certain cumulative changes in the ownership interest of significant stockholders or groups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value immediately prior to the ownership change. Subsequent ownership changes may further affect the limitation in future years. The Company has not determined whether there have been any cumulative ownership changes or the impact on the utilization of the loss carryforwards if such changes have occurred.</w:t>
      </w:r>
    </w:p>
    <w:p>
      <w:pPr>
        <w:spacing w:after="0" w:line="16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Company applies the accounting guidance for uncertainties in income taxes, which prescribes a recognition threshold and measurement process for recording uncertain tax positions taken, or expected to be taken, in a tax return in the financial statements. Additionally, the guidance also prescribes the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w:t>
      </w:r>
    </w:p>
    <w:p>
      <w:pPr>
        <w:spacing w:after="0" w:line="1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March 27, 2020, the CARES Act was passed by the U.S. Congress and signed into United States law. The CARES Act, among other things, includes certain provisions for individuals and corporations (including a suspension on the application of the 80% limitation described above for taxable years beginning prior to January 1, 2021); however, these benefits did not materially impact the Company’s income tax provision in the periods presented.</w:t>
      </w:r>
    </w:p>
    <w:p>
      <w:pPr>
        <w:spacing w:after="0" w:line="1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Company’s effective federal tax rate for the six months ended June 30, 2021 (unaudited) was 0%, primarily as a result of estimated tax losses for the fiscal year to date offset by the increase in the valuation allowance in the net operating loss carryforwards. 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adjustment was made as of June 30, 2021 (unaudited).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Plan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maintains two defined contribution employee retirement plans, or 401(k) plans, for all employees upon their date of hire. The 401(k) plans are intended to qualify as tax-qualified plans under Section 401(k) of the Internal Revenue Code of 1986, as amended. The plans permit employees to contribute, on a pre-tax basis, a portion of their salary up to the Federally mandated limits. The Company matches an employee’s contribution up to 4% of the employee’s compensation. Contributions to the plans by the Company totaled $0.6 million for the year ended December 31, 2019, $0.6 million for the year ended December 31, 2020 and $0.3 million and $0.3 million for the six months ended June 30, 2020 and 2021 (unaudited), respectively.</w:t>
      </w:r>
    </w:p>
    <w:p>
      <w:pPr>
        <w:spacing w:after="0" w:line="174" w:lineRule="exact"/>
        <w:rPr>
          <w:sz w:val="20"/>
          <w:szCs w:val="20"/>
          <w:color w:val="auto"/>
        </w:rPr>
      </w:pPr>
    </w:p>
    <w:p>
      <w:pPr>
        <w:ind w:right="7080" w:firstLine="8"/>
        <w:spacing w:after="0" w:line="566" w:lineRule="auto"/>
        <w:tabs>
          <w:tab w:leader="none" w:pos="27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Patent License Agreements</w:t>
      </w:r>
    </w:p>
    <w:p>
      <w:pPr>
        <w:spacing w:after="0"/>
        <w:rPr>
          <w:sz w:val="20"/>
          <w:szCs w:val="20"/>
          <w:color w:val="auto"/>
        </w:rPr>
      </w:pPr>
      <w:r>
        <w:rPr>
          <w:rFonts w:ascii="Arial" w:cs="Arial" w:eastAsia="Arial" w:hAnsi="Arial"/>
          <w:sz w:val="18"/>
          <w:szCs w:val="18"/>
          <w:i w:val="1"/>
          <w:iCs w:val="1"/>
          <w:color w:val="auto"/>
        </w:rPr>
        <w:t>Duke University</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March 2006, the Company entered into a license agreement with Duke University, or Duke, which was subsequently amended in 2011, 2014, 2015, 2018 and 2019.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will expire in 2021. The Company has agreed to use commercially reasonable efforts to develop, register, market and sell products utilizing the patent rights, referred to as the licensed products. Any services provided to a third party utilizing licensed products are referred to as</w:t>
      </w:r>
    </w:p>
    <w:p>
      <w:pPr>
        <w:sectPr>
          <w:pgSz w:w="11900" w:h="16838" w:orient="portrait"/>
          <w:cols w:equalWidth="0" w:num="1">
            <w:col w:w="9900"/>
          </w:cols>
          <w:pgMar w:left="980" w:top="517"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97" w:name="page198"/>
    <w:bookmarkEnd w:id="197"/>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57"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In connection with the Company’s entry into the license agreement, the Company granted equity consideration to Duke in the form of 200,666 shares of the Company’s common stock. Under the license agreement, the Company also agreed to pay Duke:</w:t>
      </w:r>
    </w:p>
    <w:p>
      <w:pPr>
        <w:spacing w:after="0" w:line="146" w:lineRule="exact"/>
        <w:rPr>
          <w:sz w:val="20"/>
          <w:szCs w:val="20"/>
          <w:color w:val="auto"/>
        </w:rPr>
      </w:pPr>
    </w:p>
    <w:p>
      <w:pPr>
        <w:ind w:left="680" w:right="560" w:hanging="321"/>
        <w:spacing w:after="0" w:line="277" w:lineRule="auto"/>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low single-digit percentage royalty on eligible sales of licensed products and licensed services, plus a low double-digit percentage of any sublicensing revenue;</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annual minimum royalty beginning in 2012, which increases in the calendar year immediately following the first commercial sale of licensed products or licensed services (whichever occurs first);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additional amount in license fees, as certain milestones are met.</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license agreement remains effective until the last of the patent rights expires or four years after our first commercial sale, unless earlier terminated.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 Payments to Duke under the license agreement were immaterial during the periods presented.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Yale University</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February 2014, the Company entered into a license agreement with Yale University, or Yale, that granted the Company a worldwide license to the patents related to coatings for small-diameter vessels to inhibit clotting. The license granted under the agreement is exclusive in the field of engineered vascular tissues and tissues and extracellular matrix-based implants used for vascular repair, reconstruction and replacement (provided that all uses are vascular tissues within the range of 1-12mm in diameter),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6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August 2019, the Company entered into a license agreement with Yale, that granted the Company a worldwide license to the patents related to Bioartificial Vascular Pancreas (BVP). The license granted under the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7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August 2019, the Company entered into a license agreement with Yale, that granted the Company a worldwide license to the patents related to tubular prostheses. The license granted under the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78"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w:t>
      </w:r>
    </w:p>
    <w:p>
      <w:pPr>
        <w:sectPr>
          <w:pgSz w:w="11900" w:h="16838" w:orient="portrait"/>
          <w:cols w:equalWidth="0" w:num="1">
            <w:col w:w="9900"/>
          </w:cols>
          <w:pgMar w:left="980" w:top="517"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98" w:name="page199"/>
    <w:bookmarkEnd w:id="198"/>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which must indicate progress of its development and commercialization. The Company may also sublicense the Company’s rights without Yale’s prior written consent, but such sublicense is subject to certain conditions.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connection with its entry into the license agreement, the Company paid Yale upfront cash fees. The Company has also agreed to pay Yale:</w:t>
      </w:r>
    </w:p>
    <w:p>
      <w:pPr>
        <w:spacing w:after="0" w:line="170" w:lineRule="exact"/>
        <w:rPr>
          <w:sz w:val="20"/>
          <w:szCs w:val="20"/>
          <w:color w:val="auto"/>
        </w:rPr>
      </w:pPr>
    </w:p>
    <w:p>
      <w:pPr>
        <w:ind w:left="680" w:right="140" w:hanging="321"/>
        <w:spacing w:after="0" w:line="263" w:lineRule="auto"/>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annual maintenance fees, increasing between the first anniversary of the agreement until the fifth anniversary for the coating and BVP licenses and until the fourth anniversary for the tubular prostheses license up to a maximum of less than $0.1 million per year;</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milestone payments upon achievement of certain regulatory and commercial milestones of $0.2 million and $0.6 million;</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low single-digit percentage royalty on worldwide net sales, subject to reductions for third-party license fees;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low double-digit percentage of sublicensing income.</w:t>
      </w:r>
    </w:p>
    <w:p>
      <w:pPr>
        <w:spacing w:after="0" w:line="225"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14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agreements expire on a country-by-country basis on the date on which the last of the patents in such country expires, lapses or is declared invalid. Yale may terminate the agreements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license agreements (i) on 90 days’ prior written notice to Yale, provided the Company is not in breach of the license agreements and has made all required payments to Yale thereunder and (ii) on written notice to Yale following an uncured material breach. With respect to the license agreements related to small-diameter vessels and BVP, the Company’s rights under the license agreements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license agreement were immaterial during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future amounts paid. The Company believes the estimated fair value of these indemnification arrangements in excess of applicable insurance coverage is immaterial.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9" w:name="page200"/>
    <w:bookmarkEnd w:id="199"/>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Fresenius Medical Care distribution agreement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to Fresenius Medical Care’s purchase of series D redeemable convertible preferred stock, the Company entered into a distribution agreement with Fresenius Medical Care in June 2018 which, as amended as of February 16, 2021, granted Fresenius Medical Care and its affiliates exclusive rights to develop outside the United States and EU and commercialize outside of the United States the Company’s 6 millimeter x 42cm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arterial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8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6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8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8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0" w:name="page201"/>
    <w:bookmarkEnd w:id="200"/>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Dr. Niklason and Yale University</w:t>
      </w:r>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In September 2016, the Company entered into a Memorandum of Understanding Regarding Scientific and Operational Leadership, or MOU, with Dr. Niklason in connection with her performance of various consulting activities for the Company.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MOU provided for the Company to make a payment each year through 2023 to the academic institution with which</w:t>
      </w:r>
    </w:p>
    <w:p>
      <w:pPr>
        <w:spacing w:after="0" w:line="2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Dr. Niklason was then affiliated, up to an aggregate amount of $2.5 million for 2018 through 2023, and to pay Dr. Niklason reasonable consulting fees in consideration of the services she performed for the Company. For the years ended December 31, 2019 and 2020, and the six months ended June 30, 2020 and 2021 (unaudited), the company made payments under the MOU of $0.4 million, $0.5 million, $0.3 million and $0.0 million, respectively, to, or on behalf of, Yale University, where Dr. Niklason, currently the Company’s President, CEO and a member of the Company’s board of directors, serves as a Professor Adjunct, Division Chief and Vice Chair, Research in Anesthesia. The MOU was terminated effective November 9, 2020.</w:t>
      </w:r>
    </w:p>
    <w:p>
      <w:pPr>
        <w:spacing w:after="0" w:line="178"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following table shows a summary of related party expenses included in the statements of operations and comprehensive loss for the years ended December 31, 2019 and 2020 and the six months ended June 30, 2020 and 2021 (unaudited):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2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6"/>
              </w:rPr>
              <w:t>Year Ended December 31,</w:t>
            </w:r>
          </w:p>
        </w:tc>
        <w:tc>
          <w:tcPr>
            <w:tcW w:w="202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auto"/>
            </w:tcBorders>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under MOU</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License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4"/>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December 31, 2019, December 31, 2020 and June 30, 2021 (unaudited), the Company was a party to license agreements with Yale University, as described in Note 12 — Commitments and Contingencies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preparing the financial statements for the years ended December 31, 2019 and 2020, the Company evaluated the effect subsequent events would have on the financial statements through March 22, 2021, which is the date the financial statements were issued.</w:t>
      </w:r>
    </w:p>
    <w:p>
      <w:pPr>
        <w:spacing w:after="0" w:line="124" w:lineRule="exact"/>
        <w:rPr>
          <w:sz w:val="20"/>
          <w:szCs w:val="20"/>
          <w:color w:val="auto"/>
        </w:rPr>
      </w:pPr>
    </w:p>
    <w:p>
      <w:pPr>
        <w:jc w:val="both"/>
        <w:ind w:right="40" w:firstLine="648"/>
        <w:spacing w:after="0" w:line="275" w:lineRule="auto"/>
        <w:rPr>
          <w:sz w:val="20"/>
          <w:szCs w:val="20"/>
          <w:color w:val="auto"/>
        </w:rPr>
      </w:pPr>
      <w:r>
        <w:rPr>
          <w:rFonts w:ascii="Arial" w:cs="Arial" w:eastAsia="Arial" w:hAnsi="Arial"/>
          <w:sz w:val="17"/>
          <w:szCs w:val="17"/>
          <w:color w:val="auto"/>
        </w:rPr>
        <w:t>Under the terms of her employment agreement, the Company awarded Dr. Niklason an additional stock option award in January 2021 entitling her to purchase 5,000,000 shares of the Company’s common stock at an exercise price of $2.699 per share, none of which have vested as of the issuance date of these financial statements. This stock option vests in equal annual installments on each of the first three anniversaries of November 9, 2020, subject to acceleration upon a corporate transaction (as defined in the 2015 Plan). The vesting of this award will not accelerate upon finalization of the Merger (defined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1" w:name="page202"/>
    <w:bookmarkEnd w:id="201"/>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On February 17, 2021, the Company entered into a business combination agreement with Alpha Healthcare Acquisition Corp. (“AHAC”) and Hunter Merger Sub, Inc. (“Merger Sub”), a wholly owned subsidiary of AHAC, pursuant to which Merger Sub will merge with the Company, with the Company surviving the Merger as a wholly owned subsidiary of AHAC. As a result of the Merger, AHAC, will immediately be renamed Humacyte, Inc. (“New Humacyte”). Immediately prior to the consummation of the Merger, the Company’s outstanding preferred stock will automatically convert into shares of the Company’s common stock at the then-effective conversion ratio. In addition, concurrently with the completion of the Merger, certain investors have agreed to subscribe for and purchase an aggregate of $175 million of common stock of New Humacyte. The boards of directors of both AHAC and the Company have approved the proposed Merger. Completion of the Merger is subject to approval of AHAC’s shareholders and the satisfaction or waiver of certain other customary closing conditions. The Company expects that the Merger will represent a business combination pursuant to FASB ASC Topic 805, Business Combinations and will be accounted for as a reverse recapitalization in accordance with GAAP. Under this method of accounting, AHAC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company, the Company will comprise a majority of the governing body of the combined company, and the Company’s senior management will comprise all of the senior management of the combined company. Accordingly, for accounting purposes, the Merger will be treated as the equivalent of the Company issuing shares for the net assets of AHAC, accompanied by a recapitalization. The net assets of AHAC will be stated at historical costs. No goodwill or other intangible assets will be recorded. Operations prior to the Merger will be those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(unaudited)</w:t>
      </w:r>
    </w:p>
    <w:p>
      <w:pPr>
        <w:spacing w:after="0" w:line="22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preparing the unaudited interim financial statements as of June 30, 2021 and for the six months ended June 30, 2021, the Company evaluated the effect subsequent events would have on the financial statements through August 27, 2021, which is the date the unaudited interim financial statements were issued.</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connection with the First Amendment to the Loan and Security Agreement, dated June 30, 2021, by and among Silicon Valley Bank, SVB Innovation Credit Fund VIII, L.P. and Humacyte, Inc., $10.0 million of cash was classified as restricted cash on July 9, 2021, pursuant to the minimum liquidity provision of the agreement.</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On August 26, 2021 (the “Closing Date”), the Company consummated the Merger with AHAC, where a subsidiary of AHAC merged with the Company, with the Company surviving the Merger as a wholly-owned subsidiary of AHAC. As a result of the business combination, AHAC was immediately renamed Humacyte, Inc. (“New Humacyte”).</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Pursuant to the terms of the business combination agreement, each outstanding share of the Company’s common stock, par value $0.0001 per share, that was outstanding immediately prior to the closing of the Merger (the “Closing) converted into the right to receive 0.26260 shares of New Humacyte’s common stock in exchange for each share of the Company’s common stock held upon the Closing and the contingent right to receive certain Contingent Consideration Shares (as defined below). The preferred stock was converted into the right to receive the aggregate number of shares of New Humacyte’s common stock that would be issued upon conversion of the underlying Company’s common stock, multiplied by 0.26260 , as well as the contingent right to receive certain Contingent Consideration Shares. Each outstanding option and warrant to purchase the Company’s common stock was converted into an option or warrant, as applicable, to purchase a number of shares of New Humacyte common stock equal to the number of shares of the Company’s common stock subject to such option or warrant multiplied by 0.26260. In addition, certain investors purchased an aggregate of 17,500,000 shares of New Humacyte’s common stock (such investors, the “PIPE Investors”) concurrently with the Closing for an aggregate purchase price of $175 million.</w:t>
      </w:r>
    </w:p>
    <w:p>
      <w:pPr>
        <w:spacing w:after="0" w:line="18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Upon the Closing, 2,500,000 Class B shares of AHAC (Founder Shares) automatically converted into shares of New Humacyte, on a one-for-one basis.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pursuant to the terms of the business combination agreement, (1) warrants to purchase shares of capital stock of the Company were converted into warrants to purchase an aggregate of 287,704 shares of New Humacyte’s common stock and (2) options to purchase shares of common stock of the Company were converted into options to purchase an aggregate of 6,405,130 shares of New Humacyte’s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2" w:name="page203"/>
    <w:bookmarkEnd w:id="202"/>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Humacyte,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Including the $223.5 million in net proceeds from the Merger and the related PIPE Investment received on August 26, 2021 and the cash and cash equivalents on hand, the Company believes its combined cash and cash equivalents will be sufficient to fund operations, including clinical trial expenses and capital expenditure requirements for at least 12 months from August 27, 2021, the issuance date of these interim financial statements.</w:t>
      </w:r>
    </w:p>
    <w:p>
      <w:pPr>
        <w:spacing w:after="0" w:line="18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Subsequent to the Closing Date, eligible former equity holders of the Company may receive up to 15 million additional shares of New Humacyte’s common stock (the “Contingent Consideration Shares”) in the aggregate in two equal tranches of 7.5 million shares if the volume-weighted average closing sale price of our Common Stock is greater than or equal to $15.00 and $20.00 for any 20 trading days within any 30 consecutive trading day period. At the Closing on August 26, 2021, the Company recorded a liability (“Contingent Consideration Liability”) of $147.7 million, based on the estimated fair value of the 15 million Contingent Consideration Shares with a corresponding reduction of additional paid-in capital in the equity section of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7" w:right="1119" w:bottom="1440" w:gutter="0" w:footer="0" w:header="0"/>
        </w:sectPr>
      </w:pPr>
    </w:p>
    <w:bookmarkStart w:id="203" w:name="page204"/>
    <w:bookmarkEnd w:id="203"/>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Alpha Healthcare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audited the accompanying balance sheet of Alpha Healthcare Acquisition Corp. (the “Company”) as of December 31, 2020, the related statements of operations, changes in stockholders’ equity and cash flows for the period from July 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1, 2020 (inception) through December 31, 2020,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the 2020 Financial Statements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As discussed in Note 2 to the financial statements, the accompanying financial statements as of December 31, 2020 and for the period from July 1, 2020 (inception) through December 31, 2020, have been restated.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 except for the effects of the restatements discussed in Note 2 as to which the date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07"/>
        </w:trPr>
        <w:tc>
          <w:tcPr>
            <w:tcW w:w="8520" w:type="dxa"/>
            <w:vAlign w:val="bottom"/>
            <w:gridSpan w:val="3"/>
          </w:tcPr>
          <w:p>
            <w:pPr>
              <w:spacing w:after="0"/>
              <w:rPr>
                <w:rFonts w:ascii="Arial" w:cs="Arial" w:eastAsia="Arial" w:hAnsi="Arial"/>
                <w:sz w:val="18"/>
                <w:szCs w:val="18"/>
                <w:color w:val="auto"/>
              </w:rPr>
            </w:pPr>
            <w:hyperlink w:anchor="page170">
              <w:r>
                <w:rPr>
                  <w:rFonts w:ascii="Arial" w:cs="Arial" w:eastAsia="Arial" w:hAnsi="Arial"/>
                  <w:sz w:val="18"/>
                  <w:szCs w:val="18"/>
                  <w:color w:val="auto"/>
                </w:rPr>
                <w:t>Table of Contents</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7240" w:type="dxa"/>
            <w:vAlign w:val="bottom"/>
          </w:tcPr>
          <w:p>
            <w:pPr>
              <w:jc w:val="center"/>
              <w:ind w:left="30"/>
              <w:spacing w:after="0"/>
              <w:rPr>
                <w:sz w:val="20"/>
                <w:szCs w:val="20"/>
                <w:color w:val="auto"/>
              </w:rPr>
            </w:pPr>
            <w:r>
              <w:rPr>
                <w:rFonts w:ascii="Arial" w:cs="Arial" w:eastAsia="Arial" w:hAnsi="Arial"/>
                <w:sz w:val="18"/>
                <w:szCs w:val="18"/>
                <w:b w:val="1"/>
                <w:bCs w:val="1"/>
                <w:color w:val="auto"/>
              </w:rPr>
              <w:t>ALPHA HEALTHCARE ACQUISITION CORP.</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4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BALANCE SHEET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40" w:type="dxa"/>
            <w:vAlign w:val="bottom"/>
          </w:tcPr>
          <w:p>
            <w:pPr>
              <w:jc w:val="center"/>
              <w:ind w:left="30"/>
              <w:spacing w:after="0"/>
              <w:rPr>
                <w:sz w:val="20"/>
                <w:szCs w:val="20"/>
                <w:color w:val="auto"/>
              </w:rPr>
            </w:pPr>
            <w:r>
              <w:rPr>
                <w:rFonts w:ascii="Arial" w:cs="Arial" w:eastAsia="Arial" w:hAnsi="Arial"/>
                <w:sz w:val="18"/>
                <w:szCs w:val="18"/>
                <w:b w:val="1"/>
                <w:bCs w:val="1"/>
                <w:color w:val="auto"/>
                <w:w w:val="96"/>
              </w:rPr>
              <w:t>DECEMBER 31, 2020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(Restated)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5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00"/>
              <w:spacing w:after="0"/>
              <w:rPr>
                <w:sz w:val="20"/>
                <w:szCs w:val="20"/>
                <w:color w:val="auto"/>
              </w:rPr>
            </w:pPr>
            <w:r>
              <w:rPr>
                <w:rFonts w:ascii="Arial" w:cs="Arial" w:eastAsia="Arial" w:hAnsi="Arial"/>
                <w:sz w:val="18"/>
                <w:szCs w:val="18"/>
                <w:color w:val="auto"/>
              </w:rPr>
              <w:t>Cash</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Prepaid assets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Marketable Securities held in Trust Account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100,016,161</w:t>
            </w:r>
          </w:p>
        </w:tc>
        <w:tc>
          <w:tcPr>
            <w:tcW w:w="0" w:type="dxa"/>
            <w:vAlign w:val="bottom"/>
          </w:tcPr>
          <w:p>
            <w:pPr>
              <w:spacing w:after="0"/>
              <w:rPr>
                <w:sz w:val="1"/>
                <w:szCs w:val="1"/>
                <w:color w:val="auto"/>
              </w:rPr>
            </w:pPr>
          </w:p>
        </w:tc>
      </w:tr>
      <w:tr>
        <w:trPr>
          <w:trHeight w:val="249"/>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101,259,899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Franchise tax payable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related party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Promissory note – related party</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underwriters’ discount payable</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1,959,758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8,246,054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Commitments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 8,801,384 shares at redemption value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88,013,840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Class A common stock, $0.0001 par value; 100,000,000 shares authorized; 1,553,616 shares issued and outstanding</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(excluding 8,801,384 shares subject to possible redemption)</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w w:val="91"/>
              </w:rPr>
              <w:t>Class B common stock, $0.0001 par value; 10,000,000 shares authorized; 2,500,000 shares issued and outstanding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1,419,645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101,259,899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bottom w:val="single" w:sz="8" w:color="CCEEFF"/>
            </w:tcBorders>
            <w:vMerge w:val="restart"/>
          </w:tcPr>
          <w:p>
            <w:pPr>
              <w:jc w:val="center"/>
              <w:ind w:left="30"/>
              <w:spacing w:after="0"/>
              <w:rPr>
                <w:sz w:val="20"/>
                <w:szCs w:val="20"/>
                <w:color w:val="auto"/>
              </w:rPr>
            </w:pPr>
            <w:r>
              <w:rPr>
                <w:rFonts w:ascii="Arial" w:cs="Arial" w:eastAsia="Arial" w:hAnsi="Arial"/>
                <w:sz w:val="18"/>
                <w:szCs w:val="18"/>
                <w:color w:val="auto"/>
                <w:w w:val="89"/>
              </w:rPr>
              <w:t>See accompanying notes to the financial statements.</w:t>
            </w: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40" w:type="dxa"/>
            <w:vAlign w:val="bottom"/>
          </w:tcPr>
          <w:p>
            <w:pPr>
              <w:jc w:val="center"/>
              <w:ind w:left="50"/>
              <w:spacing w:after="0"/>
              <w:rPr>
                <w:sz w:val="20"/>
                <w:szCs w:val="20"/>
                <w:color w:val="auto"/>
              </w:rPr>
            </w:pPr>
            <w:r>
              <w:rPr>
                <w:rFonts w:ascii="Arial" w:cs="Arial" w:eastAsia="Arial" w:hAnsi="Arial"/>
                <w:sz w:val="18"/>
                <w:szCs w:val="18"/>
                <w:color w:val="auto"/>
                <w:w w:val="91"/>
              </w:rPr>
              <w:t>F-36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gridSpan w:val="3"/>
          </w:tcPr>
          <w:p>
            <w:pPr>
              <w:spacing w:after="0"/>
              <w:rPr>
                <w:rFonts w:ascii="Arial" w:cs="Arial" w:eastAsia="Arial" w:hAnsi="Arial"/>
                <w:sz w:val="18"/>
                <w:szCs w:val="18"/>
                <w:color w:val="auto"/>
              </w:rPr>
            </w:pPr>
            <w:hyperlink w:anchor="page170">
              <w:r>
                <w:rPr>
                  <w:rFonts w:ascii="Arial" w:cs="Arial" w:eastAsia="Arial" w:hAnsi="Arial"/>
                  <w:sz w:val="18"/>
                  <w:szCs w:val="18"/>
                  <w:color w:val="auto"/>
                </w:rPr>
                <w:t>Table of Contents</w:t>
              </w:r>
            </w:hyperlink>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7160" w:type="dxa"/>
            <w:vAlign w:val="bottom"/>
          </w:tcPr>
          <w:p>
            <w:pPr>
              <w:jc w:val="center"/>
              <w:ind w:left="110"/>
              <w:spacing w:after="0"/>
              <w:rPr>
                <w:sz w:val="20"/>
                <w:szCs w:val="20"/>
                <w:color w:val="auto"/>
              </w:rPr>
            </w:pPr>
            <w:r>
              <w:rPr>
                <w:rFonts w:ascii="Arial" w:cs="Arial" w:eastAsia="Arial" w:hAnsi="Arial"/>
                <w:sz w:val="18"/>
                <w:szCs w:val="18"/>
                <w:b w:val="1"/>
                <w:bCs w:val="1"/>
                <w:color w:val="auto"/>
              </w:rPr>
              <w:t>ALPHA HEALTHCARE ACQUISITION CORP.</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6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STATEMENT OF OPERATIONS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6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FOR THE PERIOD FROM JULY 1, 2020 (INCEPTION) TO DECEMBER 31, 2020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(Restated)</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4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Offering expenses related to warrant issuance</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other income</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1,669,169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1,419,645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Weighted average shares outstanding of Class A common stock</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6,338,515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income per share Class A common stock</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 of Class B common stock</w:t>
            </w: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income per shares of Class B common stock</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06" w:name="page207"/>
    <w:bookmarkEnd w:id="206"/>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 2020 (INCEPTION) TO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Class B</w:t>
            </w: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1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8"/>
        </w:trPr>
        <w:tc>
          <w:tcPr>
            <w:tcW w:w="28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 July 1, 2020</w:t>
            </w: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(inception)</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Class B common stock issued to</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Sponsor</w:t>
            </w:r>
          </w:p>
        </w:tc>
        <w:tc>
          <w:tcPr>
            <w:tcW w:w="11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2,875,000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Units in Initial Public</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Offering, net of underwriter fee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fair value of public warrants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10,000,000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99,999,000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Underwriter fee</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(8,008,352)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Reclassification of offering cost</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related to warrant issuance</w:t>
            </w:r>
          </w:p>
        </w:tc>
        <w:tc>
          <w:tcPr>
            <w:tcW w:w="11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Sale of Private Placement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3,549,964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Forfeiture of 375,000 shares by</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initial stockholders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(375,000)</w:t>
            </w:r>
          </w:p>
        </w:tc>
        <w:tc>
          <w:tcPr>
            <w:tcW w:w="14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discount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(1,959,758)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Other offering costs charged to the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stockholders’ equity</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(329,713)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(329,713)</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Class A common stock</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subject to possible redemption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(8,801,384)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(88,012,960)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(88,013,840)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1,419,645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1,419,645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Balance as of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1,553,616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2,500,000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3,579,954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1,419,645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07"/>
        </w:trPr>
        <w:tc>
          <w:tcPr>
            <w:tcW w:w="8540" w:type="dxa"/>
            <w:vAlign w:val="bottom"/>
            <w:gridSpan w:val="3"/>
          </w:tcPr>
          <w:p>
            <w:pPr>
              <w:spacing w:after="0"/>
              <w:rPr>
                <w:rFonts w:ascii="Arial" w:cs="Arial" w:eastAsia="Arial" w:hAnsi="Arial"/>
                <w:sz w:val="18"/>
                <w:szCs w:val="18"/>
                <w:color w:val="auto"/>
              </w:rPr>
            </w:pPr>
            <w:hyperlink w:anchor="page170">
              <w:r>
                <w:rPr>
                  <w:rFonts w:ascii="Arial" w:cs="Arial" w:eastAsia="Arial" w:hAnsi="Arial"/>
                  <w:sz w:val="18"/>
                  <w:szCs w:val="18"/>
                  <w:color w:val="auto"/>
                </w:rPr>
                <w:t>Table of Contents</w:t>
              </w:r>
            </w:hyperlink>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7260" w:type="dxa"/>
            <w:vAlign w:val="bottom"/>
          </w:tcPr>
          <w:p>
            <w:pPr>
              <w:jc w:val="center"/>
              <w:ind w:left="10"/>
              <w:spacing w:after="0"/>
              <w:rPr>
                <w:sz w:val="20"/>
                <w:szCs w:val="20"/>
                <w:color w:val="auto"/>
              </w:rPr>
            </w:pPr>
            <w:r>
              <w:rPr>
                <w:rFonts w:ascii="Arial" w:cs="Arial" w:eastAsia="Arial" w:hAnsi="Arial"/>
                <w:sz w:val="18"/>
                <w:szCs w:val="18"/>
                <w:b w:val="1"/>
                <w:bCs w:val="1"/>
                <w:color w:val="auto"/>
              </w:rPr>
              <w:t>ALPHA HEALTHCARE ACQUISITION CORP.</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STATEMENT OF CASH FLOWS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60" w:type="dxa"/>
            <w:vAlign w:val="bottom"/>
          </w:tcPr>
          <w:p>
            <w:pPr>
              <w:jc w:val="center"/>
              <w:ind w:left="30"/>
              <w:spacing w:after="0"/>
              <w:rPr>
                <w:sz w:val="20"/>
                <w:szCs w:val="20"/>
                <w:color w:val="auto"/>
              </w:rPr>
            </w:pPr>
            <w:r>
              <w:rPr>
                <w:rFonts w:ascii="Arial" w:cs="Arial" w:eastAsia="Arial" w:hAnsi="Arial"/>
                <w:sz w:val="18"/>
                <w:szCs w:val="18"/>
                <w:b w:val="1"/>
                <w:bCs w:val="1"/>
                <w:color w:val="auto"/>
                <w:w w:val="98"/>
              </w:rPr>
              <w:t>FOR THE PERIOD FROM JULY 1, 2020 (INCEPTION) TO DECEMBER 31, 2020</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(Restated)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5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1,419,645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100"/>
              <w:spacing w:after="0"/>
              <w:rPr>
                <w:sz w:val="20"/>
                <w:szCs w:val="20"/>
                <w:color w:val="auto"/>
              </w:rPr>
            </w:pPr>
            <w:r>
              <w:rPr>
                <w:rFonts w:ascii="Arial" w:cs="Arial" w:eastAsia="Arial" w:hAnsi="Arial"/>
                <w:sz w:val="18"/>
                <w:szCs w:val="18"/>
                <w:color w:val="auto"/>
              </w:rPr>
              <w:t>Interest earned on marketable securities held in trust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100"/>
              <w:spacing w:after="0"/>
              <w:rPr>
                <w:sz w:val="20"/>
                <w:szCs w:val="20"/>
                <w:color w:val="auto"/>
              </w:rPr>
            </w:pPr>
            <w:r>
              <w:rPr>
                <w:rFonts w:ascii="Arial" w:cs="Arial" w:eastAsia="Arial" w:hAnsi="Arial"/>
                <w:sz w:val="18"/>
                <w:szCs w:val="18"/>
                <w:color w:val="auto"/>
              </w:rPr>
              <w:t>Offering costs allocated to warrants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Changes in current assets and current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200"/>
              <w:spacing w:after="0"/>
              <w:rPr>
                <w:sz w:val="20"/>
                <w:szCs w:val="20"/>
                <w:color w:val="auto"/>
              </w:rPr>
            </w:pPr>
            <w:r>
              <w:rPr>
                <w:rFonts w:ascii="Arial" w:cs="Arial" w:eastAsia="Arial" w:hAnsi="Arial"/>
                <w:sz w:val="18"/>
                <w:szCs w:val="18"/>
                <w:color w:val="auto"/>
              </w:rPr>
              <w:t>Prepaid assets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Due to related party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200"/>
              <w:spacing w:after="0"/>
              <w:rPr>
                <w:sz w:val="20"/>
                <w:szCs w:val="20"/>
                <w:color w:val="auto"/>
              </w:rPr>
            </w:pPr>
            <w:r>
              <w:rPr>
                <w:rFonts w:ascii="Arial" w:cs="Arial" w:eastAsia="Arial" w:hAnsi="Arial"/>
                <w:sz w:val="18"/>
                <w:szCs w:val="18"/>
                <w:color w:val="auto"/>
              </w:rPr>
              <w:t>Franchise tax payable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 of cash into trust account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Initial Public Offering, net of underwriters’ discount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Proceeds from private placement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issuance of founder shares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Proceeds from issuance of promissory note to related party</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Payments of offering costs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101,340,423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right w:val="single" w:sz="8" w:color="CCEEFF"/>
            </w:tcBorders>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Cash – Ending</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1,094,761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726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value of Class A common stock subject to possible redemption</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86,243,120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7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color w:val="auto"/>
              </w:rPr>
              <w:t>Initial value of warrant liabilities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540" w:type="dxa"/>
            <w:vAlign w:val="bottom"/>
            <w:gridSpan w:val="3"/>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8,008,352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20" w:type="dxa"/>
            <w:vAlign w:val="bottom"/>
            <w:tcBorders>
              <w:top w:val="single" w:sz="8" w:color="CCEEFF"/>
              <w:bottom w:val="single" w:sz="8" w:color="CCEEFF"/>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Change in value of Class A common stock subject to possible redemption</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1,770,720</w:t>
            </w: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color w:val="auto"/>
              </w:rPr>
              <w:t>Deferred underwriters’ discount payable charged to additional paid-in capital</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gridSpan w:val="3"/>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1,959,758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08" w:name="page209"/>
    <w:bookmarkEnd w:id="208"/>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General</w:t>
      </w:r>
    </w:p>
    <w:p>
      <w:pPr>
        <w:spacing w:after="0" w:line="22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Alpha Healthcare Acquisition Corp. (the “Company”) was incorporated as a Delaware corporation on July 1, 2020. The Company was incorporated for the purpose of effecting a merger, capital stock exchange, asset acquisition, stock purchase, reorganization or similar business combination with one or more businesses (the “Business Combination”). The Company has not selected any specific business combination target and the Company has not, nor has anyone on its behalf, initiated any substantive discussions, directly or indirectly, with any business combination target.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of December 31, 2020, the Company had not yet commenced any operations. All activity through December 31, 2020, relates to the Company’s formation and the Initial Public Offering (“IPO”)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registration statement for the Company’s IPO was declared effective on September 17, 2020 (the “Effective Date”). On September 22, 2020, the Company consummated the IPO of 10,000,000 units (the “Units” and, with respect to the shares of Class A common stock included in the Units sold, the “Public Shares”), at $10.00 per Unit, generating gross proceeds of $100,000,000, which is described in Note 4.</w:t>
      </w:r>
    </w:p>
    <w:p>
      <w:pPr>
        <w:spacing w:after="0" w:line="187"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Simultaneously with the closing of the IPO, the Company consummated the sale of 355,000 Units (the “Private Placement Units”) the Sponsor, Oppenheimer &amp; Co. Inc. (“Oppenheimer”) and Northland Securities, Inc. (“Northland”) at a purchase price of $10.00 per Private Placement Unit, generating gross proceeds to the Company of $3,550,000, which is described in Note 5.</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Transaction costs amounted to $4,197,388 consisting of $2,000,000 of underwriting fee, $1,959,758 of deferred underwriting fee and $329,713 of other offering costs. Of the total transaction cost $317,023 was expensed as non-operating expenses in that statement of operations with the rest of the offering cost charged to stockholders’ equity. The transaction costs were allocated based on the relative fair value basis, compared to the total offering proceeds, between the fair value of the public warrant liabilities and the Class A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Account</w:t>
      </w:r>
    </w:p>
    <w:p>
      <w:pPr>
        <w:spacing w:after="0" w:line="22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Following the closing of the IPO on September 22, 2020, an amount of $100,000,000 from the net proceeds of the sale of the Units in the IPO and the sale of the Private Placement Units was placed in a trust account (“Trust Account”) which will be invested in</w:t>
      </w:r>
    </w:p>
    <w:p>
      <w:pPr>
        <w:spacing w:after="0" w:line="268" w:lineRule="auto"/>
        <w:rPr>
          <w:sz w:val="20"/>
          <w:szCs w:val="20"/>
          <w:color w:val="auto"/>
        </w:rPr>
      </w:pPr>
      <w:r>
        <w:rPr>
          <w:rFonts w:ascii="Arial" w:cs="Arial" w:eastAsia="Arial" w:hAnsi="Arial"/>
          <w:sz w:val="17"/>
          <w:szCs w:val="17"/>
          <w:color w:val="auto"/>
        </w:rPr>
        <w:t>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Except with respect to interest earned on the funds held in the trust account that may be released to the Company to pay its tax obligations, the proceeds from the IPO and the sale of the private placement units will not be released from the trust account until the earliest of (a) the completion of the Company’s initial business combination, (b) the redemption of any public shares properly submitted in connection with a stockholder vote to amend the Company’s amended and restated certificate of incorporation, and (c) the redemption of the Company’s public shares if the Company is unable to complete the initial business combination within 24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IPO, although substantially all of the net proceeds are intended to be generally applied toward consummating a business combination.</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9" w:name="page210"/>
    <w:bookmarkEnd w:id="209"/>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 (continued)</w:t>
      </w:r>
    </w:p>
    <w:p>
      <w:pPr>
        <w:spacing w:after="0" w:line="22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The Company’s business combination must be with one or more target businesses that together have a fair market value equal to at least 80% of the balance in the Trust Account (as defined below) (net of taxes payable)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will provide its public stockholders with the opportunity to redeem all or a portion of their public shares upon the completion of the initial business combination either (i) in connection with a stockholder meeting called to approve the initial business combination or (ii) by means of a tender offer. The decision as to whether the Company will seek stockholder approval of a proposed initial business combination or conduct a tender offer will be made by the Company, solely in its discretion. The stockholders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w:t>
      </w:r>
    </w:p>
    <w:p>
      <w:pPr>
        <w:spacing w:after="0" w:line="164" w:lineRule="exact"/>
        <w:rPr>
          <w:sz w:val="20"/>
          <w:szCs w:val="20"/>
          <w:color w:val="auto"/>
        </w:rPr>
      </w:pPr>
    </w:p>
    <w:p>
      <w:pPr>
        <w:ind w:right="300" w:firstLine="324"/>
        <w:spacing w:after="0" w:line="296" w:lineRule="auto"/>
        <w:rPr>
          <w:sz w:val="20"/>
          <w:szCs w:val="20"/>
          <w:color w:val="auto"/>
        </w:rPr>
      </w:pPr>
      <w:r>
        <w:rPr>
          <w:rFonts w:ascii="Arial" w:cs="Arial" w:eastAsia="Arial" w:hAnsi="Arial"/>
          <w:sz w:val="16"/>
          <w:szCs w:val="16"/>
          <w:color w:val="auto"/>
        </w:rPr>
        <w:t>The shares of common stock subject to redemption is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either immediately prior to or upon consummation of a business combination and, if the Company seeks stockholder approval, a majority of the issued and outstanding shares voted are voted in favor of the business combination.</w:t>
      </w:r>
    </w:p>
    <w:p>
      <w:pPr>
        <w:spacing w:after="0" w:line="16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will have 24 months from the closing of the IPO (with the ability to extend with stockholder approval) to consummate a business combination (the “Combination Period”). However, if the Company is unable to complete a business combination within the Combination Period, the Company will redeem 100% of the outstanding public shares for a pro rata portion of the funds held in the Trust Account, equal to the aggregate amount then on deposit in the trust account including interest earned on the funds held in the trust account and not previously released to the Company, divided by the number of then outstanding public shares, subject to applicable law and as further described in the registration statement, and then seek to dissolve and liquidate.</w:t>
      </w:r>
    </w:p>
    <w:p>
      <w:pPr>
        <w:spacing w:after="0" w:line="17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Company’s sponsor, officers and directors have agreed to (i) waive their redemption rights with respect to their founder shares, private placement shares and public shares in connection with the completion of the initial business combination, (ii) waive their redemption rights with respect to their founder shares and public shares in connection with a stockholder vote to approve an amendment to the Company’s amended and restated certificate of incorporation, and (iii) waive their rights to liquidating distributions from the trust account with respect to their founder shares and private placement shares if the Company fails to complete the initial business combination within the Combination Period.</w:t>
      </w:r>
    </w:p>
    <w:p>
      <w:pPr>
        <w:spacing w:after="0" w:line="19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Company’s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IPO against certain liabilities, including liabilities under the Securities Act. However, the Company has not asked its sponsor to reserve for such indemnification obligations, nor has the Company independently verified whether its sponsor has sufficient funds to satisfy its indemnity obligations and believe that the Company’s sponsor’s only assets are securities of the Company. Therefore, the Company cannot assure that its sponsor would be able to satisfy those obligations.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0" w:name="page211"/>
    <w:bookmarkEnd w:id="210"/>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As of December 31, 2020, the Company had cash outside the Trust Account of $1,094,761 available for working capital needs. All remaining cash held in the Trust Account are generally unavailable for the Company’s use, prior to an initial business combination, and is restricted for use either in a Business Combination or to redeem common stock. As of December 31, 2020, none of the amount in the Trust Account was available to be withdrawn as described above.</w:t>
      </w:r>
    </w:p>
    <w:p>
      <w:pPr>
        <w:spacing w:after="0" w:line="18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Through December 31, 2020, the Company’s liquidity needs were satisfied through receipt of $25,000 from the sale of the founder shares, advances from the Sponsor in an aggregate amount of $95,136 and the remaining net proceeds from the IPO and the sale of Private Placement Units.</w:t>
      </w:r>
    </w:p>
    <w:p>
      <w:pPr>
        <w:spacing w:after="0" w:line="18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 anticipates that the $1,094,761 outside of the Trust Account as of December 31, 2020, will be sufficient to allow the Company to operate for at least the next 12 months from the issuance of the financial statements, assuming that a Business Combination is not consummated during that time. Until consummation of its Business Combination, the Company will be using the funds not held in the Trust Account, and any additional Working Capital Loans (as defined in Note 6) from the initial stockholders, the Company’s officers and directors, or their respective affiliates (which is described in Note 6),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spacing w:after="0" w:line="16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Company does not believe it will need to raise additional funds in order to meet the expenditures required for operating its business. However, if the Company’s estimates of the costs of undertaking in-depth due diligence and negotiating business combination is less than the actual amount necessary to do so, the Company may have insufficient funds available to operate its business prior to the business combination. Moreover, the Company will need to raise additional capital through loans from its Sponsor, officers, directors, or third parties. None of the Sponsor, officers or directors are under any obligation to advance funds to, or to invest in, the Company. If the Company is unable to raise additional capital, it may be required to take additional measures to conserve liquidity, which could include, but not necessarily be limited to, curtailing operations, suspending the pursuit of its business plan, and reducing overhead expenses. The Company cannot provide any assurance that new financing will be available to it on commercially acceptable terms, if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financial position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financial position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11" w:name="page212"/>
    <w:bookmarkEnd w:id="211"/>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Public and Private Placement Warrants, collectively (“Warrants”) under ASC 815-40, </w:t>
      </w:r>
      <w:r>
        <w:rPr>
          <w:rFonts w:ascii="Arial" w:cs="Arial" w:eastAsia="Arial" w:hAnsi="Arial"/>
          <w:sz w:val="17"/>
          <w:szCs w:val="17"/>
          <w:i w:val="1"/>
          <w:iCs w:val="1"/>
          <w:color w:val="auto"/>
        </w:rPr>
        <w:t>Derivatives and Hedging — 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Own Equity</w:t>
      </w:r>
      <w:r>
        <w:rPr>
          <w:rFonts w:ascii="Arial" w:cs="Arial" w:eastAsia="Arial" w:hAnsi="Arial"/>
          <w:sz w:val="17"/>
          <w:szCs w:val="17"/>
          <w:color w:val="auto"/>
        </w:rPr>
        <w:t>, and concluded that they do not meet the criteria to be classified in stockholders’ equity. Since the Warrants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definition of a derivative under ASC 815-40, the Company has restated the financial statements to classify the Warrants as liabilities on the balance sheet at fair value, with subsequent changes in their respective fair values recognized in the statement of operations at each reporting date.</w:t>
      </w:r>
    </w:p>
    <w:p>
      <w:pPr>
        <w:spacing w:after="0" w:line="18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Accordingly, the Company has have restated the value and classification of the Warrants in the Company’s financial statements included herein (“Restatement”).</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summarizes the effect of the Restatement on each financial statement line item for each period presented herein, each prior interim period of the current fiscal year, and as of the date of the Company’s consummation of its IPO.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2020</w:t>
            </w:r>
          </w:p>
        </w:tc>
        <w:tc>
          <w:tcPr>
            <w:tcW w:w="23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3"/>
              </w:rPr>
              <w:t>As Reported</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Adjustment</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As Adjusted</w:t>
            </w: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Warrant Liabilities</w:t>
            </w:r>
          </w:p>
        </w:tc>
        <w:tc>
          <w:tcPr>
            <w:tcW w:w="2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6,038,351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6,038,351</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1,847,788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1,959,758</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Total Liabilities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2,095,733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6,150,321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8,246,054</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Shares Subject to Redemption</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94,164,160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(6,150,321)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88,013,840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Class A Common Stock</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5,232,995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(1,653,041)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3,579,954</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Deficit)/Retained Earnings</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1,652,978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1,419,645</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5,000,006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5,000,005</w:t>
            </w:r>
          </w:p>
        </w:tc>
      </w:tr>
      <w:tr>
        <w:trPr>
          <w:trHeight w:val="634"/>
        </w:trPr>
        <w:tc>
          <w:tcPr>
            <w:tcW w:w="3900" w:type="dxa"/>
            <w:vAlign w:val="bottom"/>
          </w:tcPr>
          <w:p>
            <w:pPr>
              <w:spacing w:after="0"/>
              <w:rPr>
                <w:sz w:val="24"/>
                <w:szCs w:val="24"/>
                <w:color w:val="auto"/>
              </w:rPr>
            </w:pPr>
          </w:p>
        </w:tc>
        <w:tc>
          <w:tcPr>
            <w:tcW w:w="2620" w:type="dxa"/>
            <w:vAlign w:val="bottom"/>
            <w:gridSpan w:val="3"/>
          </w:tcPr>
          <w:p>
            <w:pPr>
              <w:jc w:val="right"/>
              <w:ind w:right="1380"/>
              <w:spacing w:after="0"/>
              <w:rPr>
                <w:sz w:val="20"/>
                <w:szCs w:val="20"/>
                <w:color w:val="auto"/>
              </w:rPr>
            </w:pPr>
            <w:r>
              <w:rPr>
                <w:rFonts w:ascii="Arial" w:cs="Arial" w:eastAsia="Arial" w:hAnsi="Arial"/>
                <w:sz w:val="18"/>
                <w:szCs w:val="18"/>
                <w:color w:val="auto"/>
              </w:rPr>
              <w:t>F-43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7"/>
        </w:trPr>
        <w:tc>
          <w:tcPr>
            <w:tcW w:w="39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12" w:name="page213"/>
    <w:bookmarkEnd w:id="212"/>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Restatement of Previously Issued Financial Statements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For the from July 1, 2020 (inception) to December 31, 2020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As Reported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(249,524)</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1,970,001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1,970,001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 related to warrant issuance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(317,023)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16,191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(expense) income</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16,191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1,652,978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Net (loss)/income</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(233,333)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1,652,978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1,419,645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3,060,308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(3,060,308)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(loss)/income per share</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gridSpan w:val="2"/>
          </w:tcPr>
          <w:p>
            <w:pPr>
              <w:spacing w:after="0" w:line="201" w:lineRule="exact"/>
              <w:rPr>
                <w:sz w:val="20"/>
                <w:szCs w:val="20"/>
                <w:color w:val="auto"/>
              </w:rPr>
            </w:pPr>
            <w:r>
              <w:rPr>
                <w:rFonts w:ascii="Arial" w:cs="Arial" w:eastAsia="Arial" w:hAnsi="Arial"/>
                <w:sz w:val="18"/>
                <w:szCs w:val="18"/>
                <w:color w:val="auto"/>
                <w:w w:val="93"/>
              </w:rPr>
              <w:t>Weighted average shares outstanding, Class A ordinary shares subject to possible</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6,338,515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6,338,515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Basic and diluted net income per share, Class A ordinary shares subject to possible</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redemption</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Non-redeemable ordinary shares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2,500,000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Non-redeemable ordinary shares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period from July 1, 2020 (inception) to December 31, 2020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As Reported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0"/>
              </w:rPr>
              <w:t>Adjustment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6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Net (loss) / income</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(233,333)</w:t>
            </w:r>
          </w:p>
        </w:tc>
        <w:tc>
          <w:tcPr>
            <w:tcW w:w="2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1,652,978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1,419,645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1,970,001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Offering expense related to warrant issuance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(317,023)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(245,662)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(100,000,000)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101,340,423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101,340,423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1,094,761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Non-cash financing activities disclosure</w:t>
            </w: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value of Class A common stock subject to possible redemption</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94,394,110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(8,150,990)</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86,243,120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color w:val="auto"/>
              </w:rPr>
              <w:t>Initial value of warrant liabilities</w:t>
            </w:r>
          </w:p>
        </w:tc>
        <w:tc>
          <w:tcPr>
            <w:tcW w:w="12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gridSpan w:val="3"/>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4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8,008,352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8,008,352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Change in value of Class A common stock subject to possible redemption</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(229,950)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2,000,670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1,770,720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color w:val="auto"/>
              </w:rPr>
              <w:t>Deferred underwriters’ discount payable charged to additional paid-in-capital</w:t>
            </w:r>
          </w:p>
        </w:tc>
        <w:tc>
          <w:tcPr>
            <w:tcW w:w="12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1,847,788</w:t>
            </w:r>
          </w:p>
        </w:tc>
        <w:tc>
          <w:tcPr>
            <w:tcW w:w="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111,970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1,959,758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 2020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As Reported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Adjustment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7,790,373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7,790,373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fee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1,846,265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1,966,737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7,931,310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9,898,047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Subject to Redemption</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94,358,060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(7,931,310)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86,426,750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Class A Common Stock</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5,040,582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98,964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5,139,546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5,000,010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6140" w:type="dxa"/>
            <w:vAlign w:val="bottom"/>
            <w:gridSpan w:val="2"/>
          </w:tcPr>
          <w:p>
            <w:pPr>
              <w:ind w:left="4780"/>
              <w:spacing w:after="0"/>
              <w:rPr>
                <w:sz w:val="20"/>
                <w:szCs w:val="20"/>
                <w:color w:val="auto"/>
              </w:rPr>
            </w:pPr>
            <w:r>
              <w:rPr>
                <w:rFonts w:ascii="Arial" w:cs="Arial" w:eastAsia="Arial" w:hAnsi="Arial"/>
                <w:sz w:val="18"/>
                <w:szCs w:val="18"/>
                <w:color w:val="auto"/>
              </w:rPr>
              <w:t>F-44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13" w:name="page214"/>
    <w:bookmarkEnd w:id="213"/>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Restatement of Previously Issued Financial Statements (continued)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 July 1, 2020 (inception) to September 30, 2020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Adjustment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(18,775)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217,979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 related to warrant issuance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(317,023)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(22,177)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(99,044)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60" w:type="dxa"/>
            <w:vAlign w:val="bottom"/>
            <w:gridSpan w:val="3"/>
          </w:tcPr>
          <w:p>
            <w:pPr>
              <w:spacing w:after="0"/>
              <w:rPr>
                <w:sz w:val="20"/>
                <w:szCs w:val="20"/>
                <w:color w:val="auto"/>
              </w:rPr>
            </w:pPr>
            <w:r>
              <w:rPr>
                <w:rFonts w:ascii="Arial" w:cs="Arial" w:eastAsia="Arial" w:hAnsi="Arial"/>
                <w:sz w:val="18"/>
                <w:szCs w:val="18"/>
                <w:color w:val="auto"/>
              </w:rPr>
              <w:t>Loss</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2,888,352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(2,888,352)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(loss)/income per share</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gridSpan w:val="2"/>
          </w:tcPr>
          <w:p>
            <w:pPr>
              <w:spacing w:after="0" w:line="201" w:lineRule="exact"/>
              <w:rPr>
                <w:sz w:val="20"/>
                <w:szCs w:val="20"/>
                <w:color w:val="auto"/>
              </w:rPr>
            </w:pPr>
            <w:r>
              <w:rPr>
                <w:rFonts w:ascii="Arial" w:cs="Arial" w:eastAsia="Arial" w:hAnsi="Arial"/>
                <w:sz w:val="18"/>
                <w:szCs w:val="18"/>
                <w:color w:val="auto"/>
                <w:w w:val="93"/>
              </w:rPr>
              <w:t>Weighted average shares outstanding, Class A ordinary shares subject to possible</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910,330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910,330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Basic and diluted net income per share, Class A ordinary shares subject to possible</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redemption</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Non-redeemable ordinary shares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1,978,022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1,978,022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Non-redeemable ordinary shares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 July 1, 2020 (inception) to September 30, 2020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(40,952)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217,979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 related to warrant issuance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(317,023)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(18,049)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(100,000,000)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101,334,363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101,334,363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1,316,314</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Non-cash financing activities disclosure</w:t>
            </w: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value of Class A common stock subject to possible redemption</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94,394,110</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(8,150,990)</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86,243,120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color w:val="auto"/>
              </w:rPr>
              <w:t>Initial value of warrant liabilities</w:t>
            </w:r>
          </w:p>
        </w:tc>
        <w:tc>
          <w:tcPr>
            <w:tcW w:w="12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gridSpan w:val="3"/>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0" w:type="dxa"/>
            <w:vAlign w:val="bottom"/>
            <w:gridSpan w:val="2"/>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8,008,352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8,008,352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Change in value of Class A common stock subject to possible redemption</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(36,050)</w:t>
            </w: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219,680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color w:val="auto"/>
              </w:rPr>
              <w:t>Deferred underwriters’ discount payable charged to additional paid-in-capital</w:t>
            </w:r>
          </w:p>
        </w:tc>
        <w:tc>
          <w:tcPr>
            <w:tcW w:w="12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1,846,265</w:t>
            </w:r>
          </w:p>
        </w:tc>
        <w:tc>
          <w:tcPr>
            <w:tcW w:w="14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140,937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1,987,202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As of September 22, 2020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Adjustment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8,008,352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8,008,352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fee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1,848,103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2,177,082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8,150,994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10,328,076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Subject to Redemption</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94,394,110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(8,150,990)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86,243,120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Class A Common Stock</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5,002,694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316,937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5,319,631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(317,023)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5,000,008</w:t>
            </w:r>
          </w:p>
        </w:tc>
        <w:tc>
          <w:tcPr>
            <w:tcW w:w="6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6140" w:type="dxa"/>
            <w:vAlign w:val="bottom"/>
            <w:gridSpan w:val="2"/>
          </w:tcPr>
          <w:p>
            <w:pPr>
              <w:ind w:left="4780"/>
              <w:spacing w:after="0"/>
              <w:rPr>
                <w:sz w:val="20"/>
                <w:szCs w:val="20"/>
                <w:color w:val="auto"/>
              </w:rPr>
            </w:pPr>
            <w:r>
              <w:rPr>
                <w:rFonts w:ascii="Arial" w:cs="Arial" w:eastAsia="Arial" w:hAnsi="Arial"/>
                <w:sz w:val="18"/>
                <w:szCs w:val="18"/>
                <w:color w:val="auto"/>
              </w:rPr>
              <w:t>F-45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14" w:name="page215"/>
    <w:bookmarkEnd w:id="214"/>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accompanying financial statements of the Company is presented in U.S. dollars in conformity with accounting principles generally accepted in the United States of America (“GAAP”) and pursuant to the rules and regulations of the U.S. Securities and Exchange Commission (“SEC”). In the opinion of management, all adjustments (consisting of normal recurring adjustments) have been made that are necessary to present fairly the financial position, and the results of its operations and its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At December 31, 2020, the assets held in the Trust Account were substantially held in U.S. Treasury Bills. During period July 1, 2020 (Inception) to December 31, 2020, the Company did not withdraw any of interest income from the Trust Account to pay its tax obligations.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15" w:name="page216"/>
    <w:bookmarkEnd w:id="215"/>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Significant Accounting Policies (continued)</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classifies its United States Treasury securities as held-to-maturity in accordance with Financial Accounting Standards Board (FASB) ASC Topic 320 “Investments - 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the investee operates in.</w:t>
      </w:r>
    </w:p>
    <w:p>
      <w:pPr>
        <w:spacing w:after="0" w:line="17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Premiums and discounts are amortized or accreted over the life of the related held-to-maturity security as an adjustment to yield using the effective-interest method. Such amortization and accretion is included in the “interest income” line item in the statements of operations. Interest income is recognized when earned.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At December 31, 2020, the Company has not experienced losses on this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ASC Topic 480 “Distinguishing Liabilities from Equity.” Class A common stock subject to mandatory redemption (if any) are classified as a liability instrument and are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common stock feature certain redemption rights that are considered to be outside of the Company’s control and subject to the occurrence of uncertain future events. Accordingly, as of December 31, 2020, 8,801,384 shares of Class A common stock subject to possible redemption are presented at redemption value as temporary equity, outside of the stockholders’ equity section of the Company’s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Stock</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Net loss per common share is computed by dividing net loss by the weighted average number of common shares outstanding for the period. The Company applies the two-class method in calculating earnings per share. Shares of common stock subject to possible redemption at December 31, 2020, which are not currently redeemable and are not redeemable at fair value, have been excluded from the calculation of basic net loss per common share since such shares, if redeemed, only participate in their pro rata share of the Trust Account earnings. The Company has not considered the effect of warrants sold in the Initial Public Offering and the private placement to purchase an aggregate 5,177,500 shares of common stock in the calculation of diluted loss per share, since the exercise of the warrants into shares of common stock is contingent upon the occurrence of future events. As a result, diluted net loss per common share is the same as basic net loss per common share for the period presented.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6" w:name="page217"/>
    <w:bookmarkEnd w:id="216"/>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Significant Accounting Policies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the net income per common share:</w:t>
      </w:r>
    </w:p>
    <w:p>
      <w:pPr>
        <w:spacing w:after="0" w:line="230" w:lineRule="exact"/>
        <w:rPr>
          <w:sz w:val="20"/>
          <w:szCs w:val="20"/>
          <w:color w:val="auto"/>
        </w:rPr>
      </w:pPr>
    </w:p>
    <w:p>
      <w:pPr>
        <w:jc w:val="center"/>
        <w:ind w:left="8680"/>
        <w:spacing w:after="0"/>
        <w:rPr>
          <w:sz w:val="20"/>
          <w:szCs w:val="20"/>
          <w:color w:val="auto"/>
        </w:rPr>
      </w:pPr>
      <w:r>
        <w:rPr>
          <w:rFonts w:ascii="Arial" w:cs="Arial" w:eastAsia="Arial" w:hAnsi="Arial"/>
          <w:sz w:val="13"/>
          <w:szCs w:val="13"/>
          <w:b w:val="1"/>
          <w:bCs w:val="1"/>
          <w:color w:val="auto"/>
        </w:rPr>
        <w:t>For the period</w:t>
      </w:r>
    </w:p>
    <w:p>
      <w:pPr>
        <w:spacing w:after="0" w:line="3"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From</w:t>
      </w:r>
    </w:p>
    <w:p>
      <w:pPr>
        <w:jc w:val="center"/>
        <w:ind w:left="8680"/>
        <w:spacing w:after="0" w:line="221" w:lineRule="auto"/>
        <w:rPr>
          <w:sz w:val="20"/>
          <w:szCs w:val="20"/>
          <w:color w:val="auto"/>
        </w:rPr>
      </w:pPr>
      <w:r>
        <w:rPr>
          <w:rFonts w:ascii="Arial" w:cs="Arial" w:eastAsia="Arial" w:hAnsi="Arial"/>
          <w:sz w:val="14"/>
          <w:szCs w:val="14"/>
          <w:b w:val="1"/>
          <w:bCs w:val="1"/>
          <w:color w:val="auto"/>
        </w:rPr>
        <w:t>July 1,</w:t>
      </w:r>
    </w:p>
    <w:p>
      <w:pPr>
        <w:jc w:val="center"/>
        <w:ind w:left="8680"/>
        <w:spacing w:after="0" w:line="221" w:lineRule="auto"/>
        <w:rPr>
          <w:sz w:val="20"/>
          <w:szCs w:val="20"/>
          <w:color w:val="auto"/>
        </w:rPr>
      </w:pPr>
      <w:r>
        <w:rPr>
          <w:rFonts w:ascii="Arial" w:cs="Arial" w:eastAsia="Arial" w:hAnsi="Arial"/>
          <w:sz w:val="14"/>
          <w:szCs w:val="14"/>
          <w:b w:val="1"/>
          <w:bCs w:val="1"/>
          <w:color w:val="auto"/>
        </w:rPr>
        <w:t>2020</w:t>
      </w:r>
    </w:p>
    <w:p>
      <w:pPr>
        <w:jc w:val="center"/>
        <w:ind w:left="8680"/>
        <w:spacing w:after="0" w:line="222" w:lineRule="auto"/>
        <w:rPr>
          <w:sz w:val="20"/>
          <w:szCs w:val="20"/>
          <w:color w:val="auto"/>
        </w:rPr>
      </w:pPr>
      <w:r>
        <w:rPr>
          <w:rFonts w:ascii="Arial" w:cs="Arial" w:eastAsia="Arial" w:hAnsi="Arial"/>
          <w:sz w:val="14"/>
          <w:szCs w:val="14"/>
          <w:b w:val="1"/>
          <w:bCs w:val="1"/>
          <w:color w:val="auto"/>
        </w:rPr>
        <w:t>(Inception)</w:t>
      </w:r>
    </w:p>
    <w:p>
      <w:pPr>
        <w:jc w:val="center"/>
        <w:ind w:left="8680"/>
        <w:spacing w:after="0" w:line="221" w:lineRule="auto"/>
        <w:rPr>
          <w:sz w:val="20"/>
          <w:szCs w:val="20"/>
          <w:color w:val="auto"/>
        </w:rPr>
      </w:pPr>
      <w:r>
        <w:rPr>
          <w:rFonts w:ascii="Arial" w:cs="Arial" w:eastAsia="Arial" w:hAnsi="Arial"/>
          <w:sz w:val="14"/>
          <w:szCs w:val="14"/>
          <w:b w:val="1"/>
          <w:bCs w:val="1"/>
          <w:color w:val="auto"/>
        </w:rPr>
        <w:t>through</w:t>
      </w:r>
    </w:p>
    <w:p>
      <w:pPr>
        <w:jc w:val="center"/>
        <w:ind w:left="8660"/>
        <w:spacing w:after="0" w:line="22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292215"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p>
      <w:pPr>
        <w:spacing w:after="0" w:line="9" w:lineRule="exact"/>
        <w:rPr>
          <w:sz w:val="20"/>
          <w:szCs w:val="20"/>
          <w:color w:val="auto"/>
        </w:rPr>
      </w:pPr>
    </w:p>
    <w:p>
      <w:pPr>
        <w:ind w:right="1680"/>
        <w:spacing w:after="0" w:line="256" w:lineRule="auto"/>
        <w:rPr>
          <w:sz w:val="20"/>
          <w:szCs w:val="20"/>
          <w:color w:val="auto"/>
        </w:rPr>
      </w:pPr>
      <w:r>
        <w:rPr>
          <w:rFonts w:ascii="Arial" w:cs="Arial" w:eastAsia="Arial" w:hAnsi="Arial"/>
          <w:sz w:val="18"/>
          <w:szCs w:val="18"/>
          <w:color w:val="auto"/>
        </w:rPr>
        <w:t>Numerator Earnings allocable to Class A common stock subject to possible redemption Interest income on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29221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Class A common stock subject to possible redemption net earnings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Denominator: Weighted average Class A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subject to possible redemption, basic and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Earnings/basic and diluted per share 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15"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Numerator: Net income minus Earnings allocable to Class A common stock subject to possible redemption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right="2080"/>
        <w:spacing w:after="0" w:line="273" w:lineRule="auto"/>
        <w:rPr>
          <w:sz w:val="20"/>
          <w:szCs w:val="20"/>
          <w:color w:val="auto"/>
        </w:rPr>
      </w:pPr>
      <w:r>
        <w:rPr>
          <w:rFonts w:ascii="Arial" w:cs="Arial" w:eastAsia="Arial" w:hAnsi="Arial"/>
          <w:sz w:val="18"/>
          <w:szCs w:val="18"/>
          <w:color w:val="auto"/>
        </w:rPr>
        <w:t>Less: Earnings allocable to Class A common stock subject to possible redemption Non-redeemable ordinary shares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629221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Denominator: weighted average Non-redeemable ordinary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Non-redeemable ordinary shares,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46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Income/Basic and diluted per share Non-redeemable ordinary shares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660" w:hanging="657"/>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16,161</w:t>
      </w:r>
    </w:p>
    <w:p>
      <w:pPr>
        <w:spacing w:after="0" w:line="46" w:lineRule="exact"/>
        <w:rPr>
          <w:rFonts w:ascii="Arial" w:cs="Arial" w:eastAsia="Arial" w:hAnsi="Arial"/>
          <w:sz w:val="16"/>
          <w:szCs w:val="16"/>
          <w:color w:val="auto"/>
        </w:rPr>
      </w:pPr>
    </w:p>
    <w:p>
      <w:pPr>
        <w:ind w:left="660" w:hanging="657"/>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16,161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7715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6,338,515</w:t>
      </w:r>
    </w:p>
    <w:p>
      <w:pPr>
        <w:spacing w:after="0" w:line="23" w:lineRule="exact"/>
        <w:rPr>
          <w:sz w:val="20"/>
          <w:szCs w:val="20"/>
          <w:color w:val="auto"/>
        </w:rPr>
      </w:pPr>
    </w:p>
    <w:p>
      <w:pPr>
        <w:ind w:left="840" w:hanging="837"/>
        <w:spacing w:after="0"/>
        <w:tabs>
          <w:tab w:leader="none" w:pos="8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715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4" w:lineRule="exact"/>
        <w:rPr>
          <w:sz w:val="20"/>
          <w:szCs w:val="20"/>
          <w:color w:val="auto"/>
        </w:rPr>
      </w:pPr>
    </w:p>
    <w:p>
      <w:pPr>
        <w:ind w:left="440" w:hanging="437"/>
        <w:spacing w:after="0"/>
        <w:tabs>
          <w:tab w:leader="none" w:pos="4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1,419,645</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16,161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715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440" w:hanging="437"/>
        <w:spacing w:after="0"/>
        <w:tabs>
          <w:tab w:leader="none" w:pos="4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1,403,484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7715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2,500,000</w:t>
      </w:r>
    </w:p>
    <w:p>
      <w:pPr>
        <w:spacing w:after="0" w:line="23" w:lineRule="exact"/>
        <w:rPr>
          <w:sz w:val="20"/>
          <w:szCs w:val="20"/>
          <w:color w:val="auto"/>
        </w:rPr>
      </w:pPr>
    </w:p>
    <w:p>
      <w:pPr>
        <w:ind w:left="840" w:hanging="837"/>
        <w:spacing w:after="0"/>
        <w:tabs>
          <w:tab w:leader="none" w:pos="8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7715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2">
            <w:col w:w="7980" w:space="720"/>
            <w:col w:w="1200"/>
          </w:cols>
          <w:pgMar w:left="980" w:top="517" w:right="1019" w:bottom="1440" w:gutter="0" w:footer="0" w:header="0"/>
          <w:type w:val="continuous"/>
        </w:sectPr>
      </w:pPr>
    </w:p>
    <w:p>
      <w:pPr>
        <w:spacing w:after="0" w:line="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Public Offering and that were charged to stockholders’ equity upon the completion of the IPO. Accordingly, on December 31, 2020, offering costs totaling $4,289,471 have been charged to stockholders’ equity (consisting of $2,000,000 of underwriting fee, $1,959,758 of deferred underwriting fee and $329,713 of other offering costs). Of the total transaction cost $317,023 was expensed as non-operating expenses in that statement of operations with the rest of the offering cost charged to stockholders’ equity. The transaction costs were allocated based on the relative fair value basis, compared to the total offering proceeds, between the fair value of the public warrant liabilities and the Class A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Financial Accounting Standards Board (“FASB”) ASC 820, “Fair Value Measurements and Disclosures,” approximates the carrying amounts represented in the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warrant liabilities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17" w:name="page218"/>
    <w:bookmarkEnd w:id="217"/>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Significant Accounting Policies (continued)</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 accounts for its 5,152,500 common stock warrants issued in connection with its Initial Public Offering (5,000,000) and Private Placement (152,500) as derivative warrant liabilities in accordance with ASC 815-40. 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statement of operations. The fair value of warrants issued by the Company in connection with the Public Offering and Private Placement has been estimated using Monte-Carlo simulations at each measurement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5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8"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identified the United States as its only “major” tax jurisdiction.</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may be subject to potential examination by federal and state taxing authorities in the areas of income taxes. These potential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Initial Public Offering</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Pursuant to the IPO on September 22, 2020, the Company sold 10,000,000 Units, at a purchase price of $10.00 per Unit. Each unit that the Company is offering has a price of $10.00 and consists of one share of Class A common stock and one-half of one redeemable warrant. Only whole warrants are exercisable. Each whole warrant entitles the holder to purchase one share of Class A common stock at a price of $11.50 per share (see Note 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Private Placement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Simultaneously with the closing of the IPO, the Company consummated the Private Placement with the Company’s Sponsor, AHAC Sponsor LLC, Oppenheimer, the representative of the underwriters, who is referred to as the representative, and Northland purchased an aggregate of 355,000 placement units at a price of $10.00 per unit, for an aggregate purchase price of $3,550,000. Each placement unit is identical to the units sold in the IPO.</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218" w:name="page219"/>
    <w:bookmarkEnd w:id="218"/>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Private Placement (continued)</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private placement warrants will be non-redeemable and exercisable on a cashless basis so long as they are held by the sponsor, the representative, Northland or their permitted transferees. If the private placement warrants are held by holders other than the sponsor, the representative, Northland or their permitted transferees, the private placement warrants will be redeemable by the Company and exercisable by the holders on the same basis as the warrants included in the units being sold in the IPO. In addition, for as long as the private placement warrants are held by the representative, Northland or their designees or affiliates, they may not be exercised after five years from the effective date of the registration statement.</w:t>
      </w:r>
    </w:p>
    <w:p>
      <w:pPr>
        <w:spacing w:after="0" w:line="178"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The Company’s sponsor, the representative and Northland have agreed to (i) waive their redemption rights with respect to their private placement shares in connection with the completion of the Company’s initial business combination, (ii) waive their redemption rights with respect to their private placement shares in connection with a stockholder vote to approve an amendment to the Company’s amended and restated certificate of incorporation (A) to modify the substance or timing of the Company’s obligation to redeem 100% of its public shares if the Company does not complete its initial business combination within 24 months from the closing of the IPO or</w:t>
      </w:r>
    </w:p>
    <w:p>
      <w:pPr>
        <w:spacing w:after="0" w:line="2" w:lineRule="exact"/>
        <w:rPr>
          <w:sz w:val="20"/>
          <w:szCs w:val="20"/>
          <w:color w:val="auto"/>
        </w:rPr>
      </w:pPr>
    </w:p>
    <w:p>
      <w:pPr>
        <w:ind w:firstLine="8"/>
        <w:spacing w:after="0" w:line="295" w:lineRule="auto"/>
        <w:tabs>
          <w:tab w:leader="none" w:pos="28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with respect to any other provision relating to stockholders’ rights or pre-initial business combination activity and (iii) waive their rights to liquidating distributions from the trust account with respect to their private placement shares if the Company fails to complete its initial business combination within 24 months from the closing of the IPO. In addition, the Company’s Sponsor, officers and directors have agreed to vote any founder shares or private placement shares held by them in favor of the Company’s initial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right="180" w:firstLine="324"/>
        <w:spacing w:after="0" w:line="275" w:lineRule="auto"/>
        <w:rPr>
          <w:sz w:val="20"/>
          <w:szCs w:val="20"/>
          <w:color w:val="auto"/>
        </w:rPr>
      </w:pPr>
      <w:r>
        <w:rPr>
          <w:rFonts w:ascii="Arial" w:cs="Arial" w:eastAsia="Arial" w:hAnsi="Arial"/>
          <w:sz w:val="17"/>
          <w:szCs w:val="17"/>
          <w:color w:val="auto"/>
        </w:rPr>
        <w:t>On July 20, 2020, the Company issued 2,875,000 shares of Class B common stock to its initial stockholder, AHAC Sponsor, LLC for $25,000, or approximately $0.01 per share. The founder shares include an aggregate of up to 375,000 shares subject to forfeiture if the over-allotment option is not exercised by the underwriters in full. The over-allotment option was not exercised by the underwriters during the 45-day option period; thus, 375,000 shares were forfeited accordingly as of November 1, 2020. As of December 31, 2020, 2,500,000 shares of common stock (the “Founder Shares”) are issued and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On July 1, 2020, the Company issued an unsecured promissory note to the sponsor, pursuant to which the Company may borrow up to an aggregate principal amount of $300,000 to be used for a portion of the expenses of the IPO. This loan is non-interest bearing, unsecured, and due on the earlier of (a) March 31, 2021 or (b) the date on which the Company completes the IPO. The loan will be repaid out of the offering proceeds not held in the Trust Account. As of December 31, 2020, the Company had $95,136 in borrowings outstanding under the promissory note. The note was paid in full in January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agreed, commencing on the effective date of the prospectus, to pay an affiliate of the Company’s sponsor</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monthly fee of an aggregate of $10,000 for general and administrative services including office space, utilities and secretarial and administrative support. This arrangement will terminate upon completion of a business combination or the liquidation of the Company. For the period July 1, 2020 (inception) through December 31, 2020, the Company has accrued $34,334 of administrative fees as a due to related party payable.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219" w:name="page220"/>
    <w:bookmarkEnd w:id="219"/>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in order to finance transactions costs in connection with a business combination, the sponsor, or certain of the Company’s officers,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converted into units of the post business combination entity at a price of $10.00 per unit.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&amp;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holders of the founder shares,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September 22, 2020 the effective date of the IPO, requiring us to register such securities for resale (in the case of the founder shares, only after conversion to our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The Company will bear the expenses incurred in connection with the filing of any such registration statements. Notwithstanding the foregoing, the representative and Northland may not exercise their demand and “piggyback” registration rights after five (5) and seven (7) years after the effective date of the registration statement and may not exercise their demand rights on more than one occasion.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Agreement</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On September 22, 2020, the underwriters were paid an underwriting discount of two percent (2.0%) of the gross proceeds of the IPO, or $2,000,000.</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addition, the underwriters are entitled to a deferred underwriting fee of three and a half percent (3.5%) of the gross proceeds of the IPO upon the completion of the Company’s initial business combination. The underwriters have agreed that up to 1% of the deferred underwriting fee may be re-directed to other Financial Industry Regulatory Authority (FINRA) member firms that have provided services in connection with the identification and consummation of a business combination, in the sole discretion of the Company; provided, that all such payments to other FINRA member firms may only be made if permitted under applicable law.</w:t>
      </w:r>
    </w:p>
    <w:p>
      <w:pPr>
        <w:spacing w:after="0" w:line="17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Company may reduce the deferred underwriting fee by up to 50% based on stockholders redeeming their shares for their pro-rata amount of the proceeds in the Trust Account; provided, however, that (a) the underwriters’ maximum deferred underwriting fee reduction based on stockholder redemptions will be 50% regardless of whether stockholder redemptions exceed 50%; and (b) any sums paid to other advisors as discussed above, will be credited against the reduction of and added back to the deferred underwriting fee payable to the underwriters; and (c) under no circumstance will the deferred underwriting fee be less than 1.75% of the gross proceeds of the IPO. As December 31, 2020, the Company accrued a deferred underwriting fee of $1,959,758 assuming no over-allotment is exercised.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20" w:name="page221"/>
    <w:bookmarkEnd w:id="220"/>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&amp;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engaged a law firm to assist the Company with its legal matters in identifying, negotiating, and consummating a Business Combination, as well as assisting with other legal matters. In the event of a successful Business Combination, the amount of fees to be paid will be agreed upon between the Company and the law firm in light of all the facts and circumstances at that point in time. If a Business Combination does not occur, the Company will not be required to pay this contingent fee. Management is unable to determine the amount of the legal fees to be paid at this time. There can be no assurance that the Company will complete a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Deficit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Preferred Stock — </w:t>
      </w:r>
      <w:r>
        <w:rPr>
          <w:rFonts w:ascii="Arial" w:cs="Arial" w:eastAsia="Arial" w:hAnsi="Arial"/>
          <w:sz w:val="16"/>
          <w:szCs w:val="16"/>
          <w:color w:val="auto"/>
        </w:rPr>
        <w:t>The Company is authorized to issue a total of 1,000,000 shares of preferred stock at par value of $0.0001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there were no shares of preferred stock issued or outstanding.</w:t>
      </w:r>
    </w:p>
    <w:p>
      <w:pPr>
        <w:spacing w:after="0" w:line="21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a total of 100,000,000 shares of Class A common stock at par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$0.0001 each. At December 31, 2020, there were 1,553,616 shares issued and outstanding (excluding 8,801,384 shares subject to possible redemption)</w:t>
      </w:r>
    </w:p>
    <w:p>
      <w:pPr>
        <w:spacing w:after="0" w:line="184"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b w:val="1"/>
          <w:bCs w:val="1"/>
          <w:i w:val="1"/>
          <w:iCs w:val="1"/>
          <w:color w:val="auto"/>
        </w:rPr>
        <w:t xml:space="preserve">Class B Common Stock — </w:t>
      </w:r>
      <w:r>
        <w:rPr>
          <w:rFonts w:ascii="Arial" w:cs="Arial" w:eastAsia="Arial" w:hAnsi="Arial"/>
          <w:sz w:val="17"/>
          <w:szCs w:val="17"/>
          <w:color w:val="auto"/>
        </w:rPr>
        <w:t>The Company is authorized to issue a total of 10,000,000 shares of Class B common stock at par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$0.0001 each. At December 31, 2020, there were 2,500,000 shares of Class B common stock issued or outstanding.</w:t>
      </w:r>
    </w:p>
    <w:p>
      <w:pPr>
        <w:spacing w:after="0" w:line="14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Both Class A and B stockholders vote together as a single class on all matters submitted to a vote of the Company stockholders, with each share of common stock entitling the holder to one vote.</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Class B shares are identical to the Class A shares except that Class B shares (founder shares) automatically convert into shares of Class A common stock at the time of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IPO (excluding the placement units and underlying securities)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our sponsor or its affiliates upon conversion of loans made to us). The term “equity-linked securities” refers to any debt or equity securities that are convertible, exercisable or exchangeable for shares of Class A common stock issued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holders of the founder shares have agreed not to transfer, assign or sell any of their founder shares until the earlier to occur of:</w:t>
      </w:r>
    </w:p>
    <w:p>
      <w:pPr>
        <w:spacing w:after="0" w:line="46" w:lineRule="exact"/>
        <w:rPr>
          <w:sz w:val="20"/>
          <w:szCs w:val="20"/>
          <w:color w:val="auto"/>
        </w:rPr>
      </w:pPr>
    </w:p>
    <w:p>
      <w:pPr>
        <w:ind w:firstLine="8"/>
        <w:spacing w:after="0" w:line="252" w:lineRule="auto"/>
        <w:tabs>
          <w:tab w:leader="none" w:pos="2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one year after the completion of our initial business combination and (B) subsequent to our initial business combination, (x) if the reported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the Company completes a liquidation, merger, capital stock exchange or other similar transaction that results in all of our stockholders having the right to exchange their shares of common stock for cash, securities or other. Any permitted transferees will be subject to the same restrictions and other agreements of our initial stockholders with respect to any founder shares.</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21" w:name="page222"/>
    <w:bookmarkEnd w:id="221"/>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Each whole warrant entitles the registered holder to purchase one share of Class A common stock at a price of $11.50 per share, subject to adjustment as discussed below, at any time commencing on the later of 12 months from the closing of the IPO and 30 days after the completion of our initial business combination and will expire five years after the completion of the Company’s initial business combination, or earlier upon redemption or liquidation.</w:t>
      </w:r>
    </w:p>
    <w:p>
      <w:pPr>
        <w:spacing w:after="0" w:line="187"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Company may redeem outstanding warrants (excluding the warrants contained in the private units) at a price of $0.01 per warrant i) at any time while the warrants are exercisable; ii) upon a minimum of 30 days prior written notice of redemption; iii) if, and only if, the reported last sale price of the common stock equals or exceeds $18.00 per share, for any 20 trading days within a 30 trading day period commencing once the warrants become exercisable and ending on the third business day prior to the notice of redemption to warrant holders and iv) if, and only if, there is a current registration statement in effect with respect to the shares of Class A common stock underlying such warrants at the time of redemption and for the entire 30-day trading period, except if the warrants may be exercised on a cashless basis and such cashless exercise is exempt from registration under the Securities Act.</w:t>
      </w:r>
    </w:p>
    <w:p>
      <w:pPr>
        <w:spacing w:after="0" w:line="16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If the Company calls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w:t>
      </w:r>
    </w:p>
    <w:p>
      <w:pPr>
        <w:spacing w:after="0" w:line="2" w:lineRule="exact"/>
        <w:rPr>
          <w:sz w:val="20"/>
          <w:szCs w:val="20"/>
          <w:color w:val="auto"/>
        </w:rPr>
      </w:pPr>
    </w:p>
    <w:p>
      <w:pPr>
        <w:ind w:right="100" w:firstLine="8"/>
        <w:spacing w:after="0" w:line="255" w:lineRule="auto"/>
        <w:tabs>
          <w:tab w:leader="none" w:pos="2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fair market value. The “fair market value” for this purpose shall mean the average reported last sale price of the Class A common stock for the 10 trading days ending on the third trading day prior to the date on which the notice of redemption is sent to the holders of warrants.</w:t>
      </w:r>
    </w:p>
    <w:p>
      <w:pPr>
        <w:spacing w:after="0" w:line="19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stock dividend, extraordinary dividend or the Company’s recapitalization, reorganization, merger or consolidation. If the Company (x) issues additional shares of Class A common stock or equity-linked securities for capital raising purposes in connection with the closing of our initial business combination at an issue price or effective issue price of less than $9.20 per share of Class A common stock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2" w:name="page223"/>
    <w:bookmarkEnd w:id="222"/>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Investment Held in Trust Account</w:t>
      </w:r>
    </w:p>
    <w:p>
      <w:pPr>
        <w:spacing w:after="0" w:line="22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As of December 31, 2020, investment in the Company’s Trust Account consisted of $29,851 in Mutual Funds and $99,986,310 in U.S. Treasury Securities. The Company classifies its United States Treasury securities as held-to-maturity in accordance with FASB ASC 320 “Investments — Debt and Equity Securities”. Held-to-maturity treasury securities are recorded at amortized cost and adjusted for the amortization or accretion of premiums or discounts. The Company considers all investments with original maturities of more than three months but less than one year to be short-term investments. The carrying value approximates the fair value due to its short-</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term maturity. The carrying value, excluding gross unrealized losses and fair value of held to maturity securities on December 31, 2020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Carrying Value as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Gross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29,851</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99,986,310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(3,310)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99,983,000</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100,016,161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100,012,851</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b w:val="1"/>
                <w:bCs w:val="1"/>
                <w:color w:val="auto"/>
              </w:rPr>
              <w:t>Note 11 — Income Tax</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tcPr>
          <w:p>
            <w:pPr>
              <w:ind w:left="340"/>
              <w:spacing w:after="0"/>
              <w:rPr>
                <w:sz w:val="20"/>
                <w:szCs w:val="20"/>
                <w:color w:val="auto"/>
              </w:rPr>
            </w:pPr>
            <w:r>
              <w:rPr>
                <w:rFonts w:ascii="Arial" w:cs="Arial" w:eastAsia="Arial" w:hAnsi="Arial"/>
                <w:sz w:val="18"/>
                <w:szCs w:val="18"/>
                <w:color w:val="auto"/>
              </w:rPr>
              <w:t>The Company’s net deferred tax assets are as follows: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8"/>
                <w:szCs w:val="18"/>
                <w:color w:val="auto"/>
              </w:rPr>
              <w:t>Organizational costs/Startup expenses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28,570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Net Operating loss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8"/>
                <w:szCs w:val="18"/>
                <w:b w:val="1"/>
                <w:bCs w:val="1"/>
                <w:color w:val="auto"/>
              </w:rPr>
              <w:t>Deferred tax asset, net of allowance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Company’s net operating loss carryforward as of December 31, 2020 amounted to $102,284 and will be carried forward indefinitely.</w:t>
      </w:r>
    </w:p>
    <w:p>
      <w:pPr>
        <w:spacing w:after="0" w:line="170"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July 1, 2020 (inception) through December 31, 2020, the change in the valuation allowance was $49,000.</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23" w:name="page224"/>
    <w:bookmarkEnd w:id="223"/>
    <w:tbl>
      <w:tblPr>
        <w:tblLayout w:type="fixed"/>
        <w:tblInd w:w="0" w:type="dxa"/>
        <w:tblCellMar>
          <w:top w:w="0" w:type="dxa"/>
          <w:left w:w="0" w:type="dxa"/>
          <w:bottom w:w="0" w:type="dxa"/>
          <w:right w:w="0" w:type="dxa"/>
        </w:tblCellMar>
      </w:tblPr>
      <w:tr>
        <w:trPr>
          <w:trHeight w:val="207"/>
        </w:trPr>
        <w:tc>
          <w:tcPr>
            <w:tcW w:w="9080" w:type="dxa"/>
            <w:vAlign w:val="bottom"/>
            <w:gridSpan w:val="4"/>
          </w:tcPr>
          <w:p>
            <w:pPr>
              <w:spacing w:after="0"/>
              <w:rPr>
                <w:rFonts w:ascii="Arial" w:cs="Arial" w:eastAsia="Arial" w:hAnsi="Arial"/>
                <w:sz w:val="18"/>
                <w:szCs w:val="18"/>
                <w:color w:val="auto"/>
              </w:rPr>
            </w:pPr>
            <w:hyperlink w:anchor="page170">
              <w:r>
                <w:rPr>
                  <w:rFonts w:ascii="Arial" w:cs="Arial" w:eastAsia="Arial" w:hAnsi="Arial"/>
                  <w:sz w:val="18"/>
                  <w:szCs w:val="18"/>
                  <w:color w:val="auto"/>
                </w:rPr>
                <w:t>Table of Contents</w:t>
              </w:r>
            </w:hyperlink>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7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ALPHA HEALTHCARE ACQUISITION CORP.</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NOTES TO FINANCIAL STATEMENTS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80" w:type="dxa"/>
            <w:vAlign w:val="bottom"/>
            <w:gridSpan w:val="4"/>
          </w:tcPr>
          <w:p>
            <w:pPr>
              <w:spacing w:after="0"/>
              <w:rPr>
                <w:sz w:val="20"/>
                <w:szCs w:val="20"/>
                <w:color w:val="auto"/>
              </w:rPr>
            </w:pPr>
            <w:r>
              <w:rPr>
                <w:rFonts w:ascii="Arial" w:cs="Arial" w:eastAsia="Arial" w:hAnsi="Arial"/>
                <w:sz w:val="18"/>
                <w:szCs w:val="18"/>
                <w:b w:val="1"/>
                <w:bCs w:val="1"/>
                <w:color w:val="auto"/>
              </w:rPr>
              <w:t>Note 11 — Income Tax (continued)</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60" w:type="dxa"/>
            <w:vAlign w:val="bottom"/>
            <w:gridSpan w:val="3"/>
          </w:tcPr>
          <w:p>
            <w:pPr>
              <w:ind w:left="320"/>
              <w:spacing w:after="0"/>
              <w:rPr>
                <w:sz w:val="20"/>
                <w:szCs w:val="20"/>
                <w:color w:val="auto"/>
              </w:rPr>
            </w:pPr>
            <w:r>
              <w:rPr>
                <w:rFonts w:ascii="Arial" w:cs="Arial" w:eastAsia="Arial" w:hAnsi="Arial"/>
                <w:sz w:val="18"/>
                <w:szCs w:val="18"/>
                <w:color w:val="auto"/>
                <w:w w:val="93"/>
              </w:rPr>
              <w:t>A reconciliation of the federal income tax rate to the Company’s effective tax rate at December 31, 2020 is as follows: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68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State taxes, net of federal tax benefit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ind w:left="100"/>
              <w:spacing w:after="0"/>
              <w:rPr>
                <w:sz w:val="20"/>
                <w:szCs w:val="20"/>
                <w:color w:val="auto"/>
              </w:rPr>
            </w:pPr>
            <w:r>
              <w:rPr>
                <w:rFonts w:ascii="Arial" w:cs="Arial" w:eastAsia="Arial" w:hAnsi="Arial"/>
                <w:sz w:val="18"/>
                <w:szCs w:val="18"/>
                <w:color w:val="auto"/>
              </w:rPr>
              <w:t>Offering expenses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Income tax provision</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 since inception.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57" w:lineRule="exact"/>
        <w:rPr>
          <w:sz w:val="20"/>
          <w:szCs w:val="20"/>
          <w:color w:val="auto"/>
        </w:rPr>
      </w:pPr>
    </w:p>
    <w:p>
      <w:pPr>
        <w:ind w:left="680" w:hanging="321"/>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83"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jc w:val="center"/>
        <w:ind w:right="440"/>
        <w:spacing w:after="0" w:line="342" w:lineRule="auto"/>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4"/>
                <w:szCs w:val="14"/>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Significant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Active</w:t>
            </w: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Mutual Funds held in Trust Account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U.S. Treasury Securities held in Trust Account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99,983,000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99,983,000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Warrant liabilities (Restated)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6,038,351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6,038,351</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106,051,202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100,012,851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6,038,351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80" w:type="dxa"/>
            <w:vAlign w:val="bottom"/>
          </w:tcPr>
          <w:p>
            <w:pPr>
              <w:spacing w:after="0"/>
              <w:rPr>
                <w:sz w:val="24"/>
                <w:szCs w:val="24"/>
                <w:color w:val="auto"/>
              </w:rPr>
            </w:pPr>
          </w:p>
        </w:tc>
        <w:tc>
          <w:tcPr>
            <w:tcW w:w="1640" w:type="dxa"/>
            <w:vAlign w:val="bottom"/>
            <w:gridSpan w:val="2"/>
          </w:tcPr>
          <w:p>
            <w:pPr>
              <w:jc w:val="right"/>
              <w:ind w:right="490"/>
              <w:spacing w:after="0"/>
              <w:rPr>
                <w:sz w:val="20"/>
                <w:szCs w:val="20"/>
                <w:color w:val="auto"/>
              </w:rPr>
            </w:pPr>
            <w:r>
              <w:rPr>
                <w:rFonts w:ascii="Arial" w:cs="Arial" w:eastAsia="Arial" w:hAnsi="Arial"/>
                <w:sz w:val="18"/>
                <w:szCs w:val="18"/>
                <w:color w:val="auto"/>
              </w:rPr>
              <w:t>F-55</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24" w:name="page225"/>
    <w:bookmarkEnd w:id="224"/>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ALPHA HEALTHCARE ACQUISITION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 (continued)</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 utilizes a Monte Carlo simulation model to value the warrants at each reporting period, with changes in fair value recognized in the statement of operations. The estimated fair value of the warrant liability is determined using Level 3 inputs. Inherent in a binomial options pricing model are assumptions related to expected share-price volatility, expected life, risk-free interest rate and dividend yield. The Company estimates the volatility of its ordinary shares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aforementioned warrant liabilities are not subject to qualified hedge accounting.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Levels 1, 2 or 3 during the year ended December 31,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22,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At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(Initial</w:t>
            </w:r>
          </w:p>
        </w:tc>
        <w:tc>
          <w:tcPr>
            <w:tcW w:w="40" w:type="dxa"/>
            <w:vAlign w:val="bottom"/>
          </w:tcPr>
          <w:p>
            <w:pPr>
              <w:spacing w:after="0"/>
              <w:rPr>
                <w:sz w:val="12"/>
                <w:szCs w:val="12"/>
                <w:color w:val="auto"/>
              </w:rPr>
            </w:pPr>
          </w:p>
        </w:tc>
        <w:tc>
          <w:tcPr>
            <w:tcW w:w="10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2"/>
                <w:szCs w:val="12"/>
                <w:color w:val="auto"/>
              </w:rPr>
            </w:pPr>
          </w:p>
        </w:tc>
        <w:tc>
          <w:tcPr>
            <w:tcW w:w="10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Measurement)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Strike price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4"/>
          </w:tcPr>
          <w:p>
            <w:pPr>
              <w:jc w:val="right"/>
              <w:ind w:right="4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Volatility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24.4 %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24.4 %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0.32 %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0.38 %</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0.0 %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418"/>
        </w:trPr>
        <w:tc>
          <w:tcPr>
            <w:tcW w:w="6280" w:type="dxa"/>
            <w:vAlign w:val="bottom"/>
          </w:tcPr>
          <w:p>
            <w:pPr>
              <w:ind w:left="340"/>
              <w:spacing w:after="0"/>
              <w:rPr>
                <w:sz w:val="20"/>
                <w:szCs w:val="20"/>
                <w:color w:val="auto"/>
              </w:rPr>
            </w:pPr>
            <w:r>
              <w:rPr>
                <w:rFonts w:ascii="Arial" w:cs="Arial" w:eastAsia="Arial" w:hAnsi="Arial"/>
                <w:sz w:val="18"/>
                <w:szCs w:val="18"/>
                <w:color w:val="auto"/>
                <w:w w:val="95"/>
              </w:rPr>
              <w:t>The following table presents the changes in the fair value of warrant liabilities: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Public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Private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Placement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July 1, 2020</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Initial measurement on September 18, 2020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7,770,722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237,630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8,008,352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(215,870)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(217,979)</w:t>
            </w:r>
          </w:p>
        </w:tc>
        <w:tc>
          <w:tcPr>
            <w:tcW w:w="0" w:type="dxa"/>
            <w:vAlign w:val="bottom"/>
          </w:tcPr>
          <w:p>
            <w:pPr>
              <w:spacing w:after="0"/>
              <w:rPr>
                <w:sz w:val="1"/>
                <w:szCs w:val="1"/>
                <w:color w:val="auto"/>
              </w:rPr>
            </w:pPr>
          </w:p>
        </w:tc>
      </w:tr>
      <w:tr>
        <w:trPr>
          <w:trHeight w:val="209"/>
        </w:trPr>
        <w:tc>
          <w:tcPr>
            <w:tcW w:w="6280" w:type="dxa"/>
            <w:vAlign w:val="bottom"/>
          </w:tcPr>
          <w:p>
            <w:pPr>
              <w:spacing w:after="0"/>
              <w:rPr>
                <w:sz w:val="20"/>
                <w:szCs w:val="20"/>
                <w:color w:val="auto"/>
              </w:rPr>
            </w:pPr>
            <w:r>
              <w:rPr>
                <w:rFonts w:ascii="Arial" w:cs="Arial" w:eastAsia="Arial" w:hAnsi="Arial"/>
                <w:sz w:val="18"/>
                <w:szCs w:val="18"/>
                <w:color w:val="auto"/>
              </w:rPr>
              <w:t>Fair value as of September 30, 2020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7,554,852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230,574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7,790,373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(1,804,852)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52,830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(1,752,022)</w:t>
            </w:r>
          </w:p>
        </w:tc>
        <w:tc>
          <w:tcPr>
            <w:tcW w:w="0" w:type="dxa"/>
            <w:vAlign w:val="bottom"/>
          </w:tcPr>
          <w:p>
            <w:pPr>
              <w:spacing w:after="0"/>
              <w:rPr>
                <w:sz w:val="1"/>
                <w:szCs w:val="1"/>
                <w:color w:val="auto"/>
              </w:rPr>
            </w:pPr>
          </w:p>
        </w:tc>
      </w:tr>
      <w:tr>
        <w:trPr>
          <w:trHeight w:val="209"/>
        </w:trPr>
        <w:tc>
          <w:tcPr>
            <w:tcW w:w="628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4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5,750,000</w:t>
            </w:r>
          </w:p>
        </w:tc>
        <w:tc>
          <w:tcPr>
            <w:tcW w:w="1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288,351</w:t>
            </w:r>
          </w:p>
        </w:tc>
        <w:tc>
          <w:tcPr>
            <w:tcW w:w="60" w:type="dxa"/>
            <w:vAlign w:val="bottom"/>
          </w:tcPr>
          <w:p>
            <w:pPr>
              <w:spacing w:after="0"/>
              <w:rPr>
                <w:sz w:val="18"/>
                <w:szCs w:val="18"/>
                <w:color w:val="auto"/>
              </w:rPr>
            </w:pPr>
          </w:p>
        </w:tc>
        <w:tc>
          <w:tcPr>
            <w:tcW w:w="14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6,038,351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financial statements were issued. Based upon this review, other than as described above, the Company did not identify any subsequent events that would have required adjustment or disclosure in the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5" w:name="page226"/>
    <w:bookmarkEnd w:id="225"/>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ALPHA HEALTHCARE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383,400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79,381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Prepaid expenses, non-current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100,031,414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100,016,161</w:t>
            </w:r>
          </w:p>
        </w:tc>
        <w:tc>
          <w:tcPr>
            <w:tcW w:w="0" w:type="dxa"/>
            <w:vAlign w:val="bottom"/>
          </w:tcPr>
          <w:p>
            <w:pPr>
              <w:spacing w:after="0"/>
              <w:rPr>
                <w:sz w:val="1"/>
                <w:szCs w:val="1"/>
                <w:color w:val="auto"/>
              </w:rPr>
            </w:pPr>
          </w:p>
        </w:tc>
      </w:tr>
      <w:tr>
        <w:trPr>
          <w:trHeight w:val="249"/>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100,509,592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101,259,899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Franchise tax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Due to related party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14,465,458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underwriters’ discount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2,122,723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1,959,758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16,808,020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8,246,054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line="201" w:lineRule="exact"/>
              <w:rPr>
                <w:sz w:val="20"/>
                <w:szCs w:val="20"/>
                <w:color w:val="auto"/>
              </w:rPr>
            </w:pPr>
            <w:r>
              <w:rPr>
                <w:rFonts w:ascii="Arial" w:cs="Arial" w:eastAsia="Arial" w:hAnsi="Arial"/>
                <w:sz w:val="18"/>
                <w:szCs w:val="18"/>
                <w:color w:val="auto"/>
                <w:w w:val="90"/>
              </w:rPr>
              <w:t>Class A common stock subject to possible redemption, 7,870,157 and 8,801,384 shares at redemption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12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78,701,570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88,013,840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97"/>
              </w:rPr>
              <w:t>Preferred stock, $0.0001 par value; 1,000,000 shares authorized; none issued and outstanding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line="201" w:lineRule="exact"/>
              <w:rPr>
                <w:sz w:val="20"/>
                <w:szCs w:val="20"/>
                <w:color w:val="auto"/>
              </w:rPr>
            </w:pPr>
            <w:r>
              <w:rPr>
                <w:rFonts w:ascii="Arial" w:cs="Arial" w:eastAsia="Arial" w:hAnsi="Arial"/>
                <w:sz w:val="18"/>
                <w:szCs w:val="18"/>
                <w:color w:val="auto"/>
                <w:w w:val="94"/>
              </w:rPr>
              <w:t>Class A common stock, $0.0001 par value; 100,000,000 shares authorized; 2,484,843 shares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Arial" w:cs="Arial" w:eastAsia="Arial" w:hAnsi="Arial"/>
                <w:sz w:val="18"/>
                <w:szCs w:val="18"/>
                <w:color w:val="auto"/>
                <w:w w:val="94"/>
              </w:rPr>
              <w:t>1,553,616 shares issued and outstanding at June 30, 2021 and December 31, 2020, respectively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120"/>
              <w:spacing w:after="0"/>
              <w:rPr>
                <w:sz w:val="20"/>
                <w:szCs w:val="20"/>
                <w:color w:val="auto"/>
              </w:rPr>
            </w:pPr>
            <w:r>
              <w:rPr>
                <w:rFonts w:ascii="Arial" w:cs="Arial" w:eastAsia="Arial" w:hAnsi="Arial"/>
                <w:sz w:val="18"/>
                <w:szCs w:val="18"/>
                <w:color w:val="auto"/>
              </w:rPr>
              <w:t>(excluding 7,870,157 and 8,801,384 shares subject to possible redemption, 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B common stock, $0.0001 par value; 10,000,000 shares authorized; 2,500,000 shares issued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outstanding at June 30, 2021 and December 31, 2020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12,729,166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 (deficit)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(7,729,664)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1,419,645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100,509,592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101,259,899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6" w:name="page227"/>
    <w:bookmarkEnd w:id="226"/>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ALPHA HEALTHCARE ACQUISITION CORP.</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For the</w:t>
            </w:r>
          </w:p>
        </w:tc>
        <w:tc>
          <w:tcPr>
            <w:tcW w:w="120" w:type="dxa"/>
            <w:vAlign w:val="bottom"/>
          </w:tcPr>
          <w:p>
            <w:pPr>
              <w:spacing w:after="0"/>
              <w:rPr>
                <w:sz w:val="14"/>
                <w:szCs w:val="14"/>
                <w:color w:val="auto"/>
              </w:rPr>
            </w:pPr>
          </w:p>
        </w:tc>
        <w:tc>
          <w:tcPr>
            <w:tcW w:w="120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2"/>
                <w:szCs w:val="12"/>
                <w:color w:val="auto"/>
              </w:rPr>
            </w:pPr>
          </w:p>
        </w:tc>
        <w:tc>
          <w:tcPr>
            <w:tcW w:w="12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2"/>
                <w:szCs w:val="12"/>
                <w:color w:val="auto"/>
              </w:rPr>
            </w:pPr>
          </w:p>
        </w:tc>
        <w:tc>
          <w:tcPr>
            <w:tcW w:w="12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243,668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(243,668)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(737,486)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Other income (loss)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528,317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(8,427,107)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marketable securities held in Trust account</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income (loss)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529,891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(8,411,823)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286,223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(9,149,309)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 average shares outstanding, Class A common stock subject to possible redemption</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7,841,024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8,315,869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3"/>
              </w:rPr>
              <w:t>Basic and diluted net income per share, Class A common stock subject to possible redemption</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Non-redeemable common stock</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4,984,843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4,539,131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 Non-redeemable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7" w:name="page228"/>
    <w:bookmarkEnd w:id="227"/>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ALPHA HEALTHCARE ACQUISITION CORP. CONDENSED STATEMENT OF CHANGES IN STOCKHOLDERS’ EQUITY FOR THE THREE AND SIX MONTHS ENDED JUNE 30, 2021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80" w:type="dxa"/>
            <w:vAlign w:val="bottom"/>
            <w:tcBorders>
              <w:bottom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rPr>
              <w:t>Class A</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bottom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rPr>
              <w:t>Class B</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2"/>
                <w:szCs w:val="12"/>
                <w:color w:val="auto"/>
              </w:rPr>
            </w:pPr>
          </w:p>
        </w:tc>
        <w:tc>
          <w:tcPr>
            <w:tcW w:w="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1,553,616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2,500,000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3,579,954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1,419,645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5,000,005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Change in deferred underwriter discount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(168,063)</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(168,063)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Class A common stock subject</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possible redemption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960,360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9,603,504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9,603,600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(9,435,532)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(9,435,532)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2,513,976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13,015,395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(8,015,887)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5,000,010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31,2021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2,513,976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13,015,395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(8,015,887)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5,000,010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Change in deferred underwriter discount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w w:val="98"/>
              </w:rPr>
              <w:t>Change in Class A common stock subject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20"/>
              <w:spacing w:after="0"/>
              <w:rPr>
                <w:sz w:val="20"/>
                <w:szCs w:val="20"/>
                <w:color w:val="auto"/>
              </w:rPr>
            </w:pPr>
            <w:r>
              <w:rPr>
                <w:rFonts w:ascii="Arial" w:cs="Arial" w:eastAsia="Arial" w:hAnsi="Arial"/>
                <w:sz w:val="18"/>
                <w:szCs w:val="18"/>
                <w:color w:val="auto"/>
              </w:rPr>
              <w:t>to possible redemption</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(29,133)</w:t>
            </w:r>
          </w:p>
        </w:tc>
        <w:tc>
          <w:tcPr>
            <w:tcW w:w="12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(291,328)</w:t>
            </w: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286,223</w:t>
            </w:r>
          </w:p>
        </w:tc>
        <w:tc>
          <w:tcPr>
            <w:tcW w:w="0" w:type="dxa"/>
            <w:vAlign w:val="bottom"/>
          </w:tcPr>
          <w:p>
            <w:pPr>
              <w:spacing w:after="0"/>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2,484,843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2,500,000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250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12,729,166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(7,729,664)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5,000,002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8" w:name="page229"/>
    <w:bookmarkEnd w:id="228"/>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ALPHA HEALTHCARE ACQUISITION CORP.</w:t>
      </w:r>
    </w:p>
    <w:p>
      <w:pPr>
        <w:spacing w:after="0" w:line="27" w:lineRule="exact"/>
        <w:rPr>
          <w:sz w:val="20"/>
          <w:szCs w:val="20"/>
          <w:color w:val="auto"/>
        </w:rPr>
      </w:pPr>
    </w:p>
    <w:p>
      <w:pPr>
        <w:jc w:val="center"/>
        <w:ind w:left="1960"/>
        <w:spacing w:after="0"/>
        <w:rPr>
          <w:sz w:val="20"/>
          <w:szCs w:val="20"/>
          <w:color w:val="auto"/>
        </w:rPr>
      </w:pPr>
      <w:r>
        <w:rPr>
          <w:rFonts w:ascii="Arial" w:cs="Arial" w:eastAsia="Arial" w:hAnsi="Arial"/>
          <w:sz w:val="17"/>
          <w:szCs w:val="17"/>
          <w:b w:val="1"/>
          <w:bCs w:val="1"/>
          <w:color w:val="auto"/>
        </w:rPr>
        <w:t>CONDENSED STATEMENT OF CASH FLOWS</w:t>
      </w:r>
    </w:p>
    <w:p>
      <w:pPr>
        <w:spacing w:after="0" w:line="21" w:lineRule="exact"/>
        <w:rPr>
          <w:sz w:val="20"/>
          <w:szCs w:val="20"/>
          <w:color w:val="auto"/>
        </w:rPr>
      </w:pPr>
    </w:p>
    <w:p>
      <w:pPr>
        <w:jc w:val="center"/>
        <w:ind w:left="1960"/>
        <w:spacing w:after="0"/>
        <w:rPr>
          <w:sz w:val="20"/>
          <w:szCs w:val="20"/>
          <w:color w:val="auto"/>
        </w:rPr>
      </w:pPr>
      <w:r>
        <w:rPr>
          <w:rFonts w:ascii="Arial" w:cs="Arial" w:eastAsia="Arial" w:hAnsi="Arial"/>
          <w:sz w:val="17"/>
          <w:szCs w:val="17"/>
          <w:b w:val="1"/>
          <w:bCs w:val="1"/>
          <w:color w:val="auto"/>
        </w:rPr>
        <w:t>FOR THE SIX MONTHS ENDED JUNE 30, 2021</w:t>
      </w:r>
    </w:p>
    <w:p>
      <w:pPr>
        <w:spacing w:after="0" w:line="21"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1454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Income on trust account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current assets and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Prepaid assets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Franchise tax payable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45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issuance of promissory note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Repayment of promissory note to related party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46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w:t>
      </w:r>
    </w:p>
    <w:p>
      <w:pPr>
        <w:jc w:val="center"/>
        <w:spacing w:after="0" w:line="226" w:lineRule="auto"/>
        <w:rPr>
          <w:sz w:val="20"/>
          <w:szCs w:val="20"/>
          <w:color w:val="auto"/>
        </w:rPr>
      </w:pPr>
      <w:r>
        <w:rPr>
          <w:rFonts w:ascii="Arial" w:cs="Arial" w:eastAsia="Arial" w:hAnsi="Arial"/>
          <w:sz w:val="14"/>
          <w:szCs w:val="14"/>
          <w:b w:val="1"/>
          <w:bCs w:val="1"/>
          <w:color w:val="auto"/>
        </w:rPr>
        <w:t>six months</w:t>
      </w:r>
    </w:p>
    <w:p>
      <w:pPr>
        <w:jc w:val="center"/>
        <w:spacing w:after="0" w:line="221" w:lineRule="auto"/>
        <w:rPr>
          <w:sz w:val="20"/>
          <w:szCs w:val="20"/>
          <w:color w:val="auto"/>
        </w:rPr>
      </w:pPr>
      <w:r>
        <w:rPr>
          <w:rFonts w:ascii="Arial" w:cs="Arial" w:eastAsia="Arial" w:hAnsi="Arial"/>
          <w:sz w:val="14"/>
          <w:szCs w:val="14"/>
          <w:b w:val="1"/>
          <w:bCs w:val="1"/>
          <w:color w:val="auto"/>
        </w:rPr>
        <w:t>ended,</w:t>
      </w:r>
    </w:p>
    <w:p>
      <w:pPr>
        <w:jc w:val="center"/>
        <w:ind w:right="40"/>
        <w:spacing w:after="0" w:line="222" w:lineRule="auto"/>
        <w:rPr>
          <w:sz w:val="20"/>
          <w:szCs w:val="20"/>
          <w:color w:val="auto"/>
        </w:rPr>
      </w:pPr>
      <w:r>
        <w:rPr>
          <w:rFonts w:ascii="Arial" w:cs="Arial" w:eastAsia="Arial" w:hAnsi="Arial"/>
          <w:sz w:val="14"/>
          <w:szCs w:val="14"/>
          <w:b w:val="1"/>
          <w:bCs w:val="1"/>
          <w:color w:val="auto"/>
        </w:rPr>
        <w:t>June 30,</w:t>
      </w:r>
    </w:p>
    <w:p>
      <w:pPr>
        <w:jc w:val="center"/>
        <w:spacing w:after="0"/>
        <w:rPr>
          <w:sz w:val="20"/>
          <w:szCs w:val="20"/>
          <w:color w:val="auto"/>
        </w:rPr>
      </w:pPr>
      <w:r>
        <w:rPr>
          <w:rFonts w:ascii="Arial" w:cs="Arial" w:eastAsia="Arial" w:hAnsi="Arial"/>
          <w:sz w:val="14"/>
          <w:szCs w:val="14"/>
          <w:b w:val="1"/>
          <w:bCs w:val="1"/>
          <w:color w:val="auto"/>
        </w:rPr>
        <w:t>2021</w:t>
      </w:r>
    </w:p>
    <w:p>
      <w:pPr>
        <w:spacing w:after="0" w:line="209" w:lineRule="exact"/>
        <w:rPr>
          <w:sz w:val="20"/>
          <w:szCs w:val="20"/>
          <w:color w:val="auto"/>
        </w:rPr>
      </w:pPr>
    </w:p>
    <w:p>
      <w:pPr>
        <w:ind w:left="380" w:hanging="377"/>
        <w:spacing w:after="0"/>
        <w:tabs>
          <w:tab w:leader="none" w:pos="3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(9,149,309)</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8,427,107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(15,253)</w:t>
      </w:r>
    </w:p>
    <w:p>
      <w:pPr>
        <w:spacing w:after="0" w:line="21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54,199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1,365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(34,334)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(616,225)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15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52,627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(147,763)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715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(95,136)</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(711,361)</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1,094,761</w:t>
      </w:r>
    </w:p>
    <w:p>
      <w:pPr>
        <w:spacing w:after="0" w:line="47" w:lineRule="exact"/>
        <w:rPr>
          <w:sz w:val="20"/>
          <w:szCs w:val="20"/>
          <w:color w:val="auto"/>
        </w:rPr>
      </w:pPr>
    </w:p>
    <w:p>
      <w:pPr>
        <w:ind w:left="580" w:hanging="577"/>
        <w:spacing w:after="0"/>
        <w:tabs>
          <w:tab w:leader="none" w:pos="5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383,400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715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7715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16" w:lineRule="exact"/>
        <w:rPr>
          <w:sz w:val="20"/>
          <w:szCs w:val="20"/>
          <w:color w:val="auto"/>
        </w:rPr>
      </w:pPr>
    </w:p>
    <w:p>
      <w:pPr>
        <w:sectPr>
          <w:pgSz w:w="11900" w:h="16838" w:orient="portrait"/>
          <w:cols w:equalWidth="0" w:num="2">
            <w:col w:w="7980" w:space="720"/>
            <w:col w:w="1220"/>
          </w:cols>
          <w:pgMar w:left="980" w:top="517" w:right="999" w:bottom="1440" w:gutter="0" w:footer="0" w:header="0"/>
        </w:sectPr>
      </w:pPr>
    </w:p>
    <w:tbl>
      <w:tblPr>
        <w:tblLayout w:type="fixed"/>
        <w:tblInd w:w="0" w:type="dxa"/>
        <w:tblCellMar>
          <w:top w:w="0" w:type="dxa"/>
          <w:left w:w="0" w:type="dxa"/>
          <w:bottom w:w="0" w:type="dxa"/>
          <w:right w:w="0" w:type="dxa"/>
        </w:tblCellMar>
      </w:tblPr>
      <w:tr>
        <w:trPr>
          <w:trHeight w:val="207"/>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9,312,270</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 in deferred underwriter discount payable charged to additional paid in capital</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162,964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29" w:name="page230"/>
    <w:bookmarkEnd w:id="229"/>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ALPHA HEALTHCARE ACQUISITION CORP.</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General</w:t>
      </w:r>
    </w:p>
    <w:p>
      <w:pPr>
        <w:spacing w:after="0" w:line="229"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Alpha Healthcare Acquisition Corp. (the “Company”) was incorporated as a Delaware corporation on July 1, 2020. The Company was incorporated for the purpose of effecting a merger, capital stock exchange, asset acquisition, stock purchase, reorganization or similar business combination with one or more businesses (the “Business Combination”). The Company has not selected any specific business combination target and the Company has not, nor has anyone on its behalf, initiated any substantive discussions, directly or indirectly, with any business combination target. The Company has selected December 31 as its fiscal year end.</w:t>
      </w:r>
    </w:p>
    <w:p>
      <w:pPr>
        <w:spacing w:after="0" w:line="16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February 17, 2021, the Company entered into a business combination agreement (the “Business Combination Agreement”) by and among the Company, Hunter Merger Sub, Inc., a Delaware corporation (“Merger Sub”), and Humacyte, Inc., a Delaware corporation (“Humacyte”). The Business Combination Agreement provides, among other things, that on the terms and subject to the conditions set forth therein, Merger Sub will merge with and into Humacyte, with Humacyte surviving as a wholly-owned subsidiary of the Company (the “Business Combination”). Upon the closing of the Business Combination (the “Closing”), it is anticipated that the Company will change its name to “Humacyte, Inc.”</w:t>
      </w:r>
    </w:p>
    <w:p>
      <w:pPr>
        <w:spacing w:after="0" w:line="19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As of June 30, 2021, the Company had not yet commenced any operations. All activity through June 30, 2021, relates to the Company’s formation and the Initial Public Offering (“IPO”)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registration statement for the Company’s IPO was declared effective on September 17, 2020 (the “Effective Date”). On September 22, 2020, the Company consummated the IPO of 10,000,000 units (the “Units” and, with respect to the shares of Class A common stock included in the Units sold, the “Public Shares”), at $10.00 per Unit, generating gross proceeds of $100,000,000, which is described in Note 3.</w:t>
      </w:r>
    </w:p>
    <w:p>
      <w:pPr>
        <w:spacing w:after="0" w:line="187"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Simultaneously with the closing of the IPO, the Company consummated the sale of 355,000 Units (the “Private Placement Units”) the Sponsor, Oppenheimer &amp; Co. Inc. (“Oppenheimer”) and Northland Securities, Inc. (“Northland”) at a purchase price of $10.00 per Private Placement Unit, generating gross proceeds to the Company of $3,550,000, which is described in Note 4.</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Transaction costs amounted to $4,197,388 consisting of $2,000,000 of underwriting fee, $1,959,758 of deferred underwriting fee and $329,713 of other offering costs. Of the total transaction cost $317,023 was expensed as non-operating expenses in that statement of operations with the rest of the offering cost charged to stockholders’ equity. The transaction costs were allocated based on the relative fair value basis, compared to the total offering proceeds, between the fair value of the public warrant liabilities and the Class A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Account</w:t>
      </w:r>
    </w:p>
    <w:p>
      <w:pPr>
        <w:spacing w:after="0" w:line="22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Following the closing of the IPO on September 22, 2020, an amount of $100,000,000 from the net proceeds of the sale of the Units in the IPO and the sale of the Private Placement Units was placed in a trust account (“Trust Account”) which will be invested in</w:t>
      </w:r>
    </w:p>
    <w:p>
      <w:pPr>
        <w:spacing w:after="0" w:line="287" w:lineRule="auto"/>
        <w:rPr>
          <w:sz w:val="20"/>
          <w:szCs w:val="20"/>
          <w:color w:val="auto"/>
        </w:rPr>
      </w:pPr>
      <w:r>
        <w:rPr>
          <w:rFonts w:ascii="Arial" w:cs="Arial" w:eastAsia="Arial" w:hAnsi="Arial"/>
          <w:sz w:val="16"/>
          <w:szCs w:val="16"/>
          <w:color w:val="auto"/>
        </w:rPr>
        <w:t>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Except with respect to interest earned on the funds held in the trust account that may be released to the Company to pay its tax obligations, the proceeds from the IPO and the sale of the private placement units will not be released from the trust account until the earliest of (a) the completion of the Company’s initial business combination, (b) the redemption of any public shares properly submitted in connection with a stockholder vote to amend the Company’s amended and restated certificate of incorporation, and (c) the redemption of the Company’s public shares if the Company is unable to complete the initial business combination within 24 months from the closing of the IPO, subject to applicable law. The</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0" w:name="page231"/>
    <w:bookmarkEnd w:id="230"/>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proceeds deposited in the trust account could become subject to the claims of the Company’s creditors, if any, which could have priority over the claims of the Company’s public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IPO, although substantially all of the net proceeds are intended to be generally applied toward consummating a business combination.</w:t>
      </w:r>
    </w:p>
    <w:p>
      <w:pPr>
        <w:spacing w:after="0" w:line="124"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The Company’s business combination must be with one or more target businesses that together have a fair market value equal to at least 80% of the balance in the Trust Account (as defined below) (net of taxes payable)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will provide its public stockholders with the opportunity to redeem all or a portion of their public shares upon the completion of the initial business combination either (i) in connection with a stockholder meeting called to approve the initial business combination or (ii) by means of a tender offer. The decision as to whether the Company will seek stockholder approval of a proposed initial business combination or conduct a tender offer will be made by the Company, solely in its discretion. The stockholders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w:t>
      </w:r>
    </w:p>
    <w:p>
      <w:pPr>
        <w:spacing w:after="0" w:line="164" w:lineRule="exact"/>
        <w:rPr>
          <w:sz w:val="20"/>
          <w:szCs w:val="20"/>
          <w:color w:val="auto"/>
        </w:rPr>
      </w:pPr>
    </w:p>
    <w:p>
      <w:pPr>
        <w:ind w:right="300" w:firstLine="324"/>
        <w:spacing w:after="0" w:line="296" w:lineRule="auto"/>
        <w:rPr>
          <w:sz w:val="20"/>
          <w:szCs w:val="20"/>
          <w:color w:val="auto"/>
        </w:rPr>
      </w:pPr>
      <w:r>
        <w:rPr>
          <w:rFonts w:ascii="Arial" w:cs="Arial" w:eastAsia="Arial" w:hAnsi="Arial"/>
          <w:sz w:val="16"/>
          <w:szCs w:val="16"/>
          <w:color w:val="auto"/>
        </w:rPr>
        <w:t>The shares of common stock subject to redemption is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either immediately prior to or upon consummation of a business combination and, if the Company seeks stockholder approval, a majority of the issued and outstanding shares voted are voted in favor of the business combination.</w:t>
      </w:r>
    </w:p>
    <w:p>
      <w:pPr>
        <w:spacing w:after="0" w:line="16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will have 24 months from the closing of the IPO (with the ability to extend with stockholder approval) to consummate a business combination (the “Combination Period”). However, if the Company is unable to complete a business combination within the Combination Period, the Company will redeem 100% of the outstanding public shares for a pro rata portion of the funds held in the Trust Account, equal to the aggregate amount then on deposit in the trust account including interest earned on the funds held in the trust account and not previously released to the Company, divided by the number of then outstanding public shares, subject to applicable law and as further described in the registration statement, and then seek to dissolve and liquidate.</w:t>
      </w:r>
    </w:p>
    <w:p>
      <w:pPr>
        <w:spacing w:after="0" w:line="17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Company’s sponsor, officers and directors have agreed to (i) waive their redemption rights with respect to their founder shares, private placement shares and public shares in connection with the completion of the initial business combination, (ii) waive their redemption rights with respect to their founder shares and public shares in connection with a stockholder vote to approve an amendment to the Company’s amended and restated certificate of incorporation, and (iii) waive their rights to liquidating distributions from the trust account with respect to their founder shares and private placement shares if the Company fails to complete the initial business combination within the Combination Period.</w:t>
      </w:r>
    </w:p>
    <w:p>
      <w:pPr>
        <w:spacing w:after="0" w:line="19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Company’s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IPO against certain liabilities, including liabilities under the Securities Act. However, the Company has not asked its sponsor to reserve for such indemnification obligations, nor has the Company independently verified whether its sponsor has sufficient funds to satisfy its indemnity obligations and believe that the Company’s sponsor’s only assets are securities of the Company. Therefore, the Company cannot assure that its sponsor would be able to satisfy those obligations.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1" w:name="page232"/>
    <w:bookmarkEnd w:id="231"/>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 with Humacyte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Agreement</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If the Business Combination Agreement is approved and adopted and the business combination is subsequently completed, Merger Sub will merge with and into Humacyte, with Humacyte as the surviving company in the merger and, after giving effect to such merger, Humacyte shall be a wholly owned subsidiary of AHAC.</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terms of the Business Combination Agreement, at the effective time of the Business Combination (the “Effective Time”),</w:t>
      </w:r>
    </w:p>
    <w:p>
      <w:pPr>
        <w:spacing w:after="0" w:line="46" w:lineRule="exact"/>
        <w:rPr>
          <w:sz w:val="20"/>
          <w:szCs w:val="20"/>
          <w:color w:val="auto"/>
        </w:rPr>
      </w:pPr>
    </w:p>
    <w:p>
      <w:pPr>
        <w:ind w:right="40" w:firstLine="8"/>
        <w:spacing w:after="0" w:line="267" w:lineRule="auto"/>
        <w:tabs>
          <w:tab w:leader="none" w:pos="21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each outstanding share of Humacyte common stock will be cancelled and converted into the right to receive a number of shares of common stock of New Humacyte (the “New Humacyte common stock”) equal to the Exchange Ratio (as defined in this proxy statement/prospectus); (ii) each outstanding share of Humacyte preferred stock will be cancelled and converted into the right to receive a number of shares of New Humacyte common stock equal to (A) the aggregate number of shares of Humacyte common stock that would be issued upon conversion of the shares of Humacyte preferred stock based on the applicable conversion ratio immediately prior to the Effective Time, multiplied by (B) the Exchange Ratio; and (iii) each outstanding Humacyte option or warrant will be converted into an option or warrant, as applicable, to purchase a number of shares of New Humacyte common stock equal to (A) the number of shares of Humacyte common stock subject to such option or warrant multiplied by (B) the Exchange Ratio at an exercise price per share equal to the current exercise price per share for such option or warrant divided by the Exchange Ratio; in each case, rounded down to the nearest whole share. Holders of shares of Humacyte common stock and Humacyte preferred stock also will be eligible to receive up to an aggregate of 15,000,000 shares of New Humacyte common stock based on the share price performance of the New Humacyte common stock. The Exchange Ratio is approximately 0.26260.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connection with the execution of the Business Combination Agreement, Sponsor and the other holders (the “Company Supporting Stockholders”) of the Class B Common Stock entered into a support agreement with AHAC and Humacyte (the “Sponsor Support Agreement”). Under the Sponsor Support Agreement, each Company Supporting Stockholder agreed to vote, at any meeting of the stockholders of AHAC and in any action by written consent of the stockholders of AHAC, all of such Company Supporting Stockholder’s Class A Common Stock and Class B Common Stock (i) in favor of (a) the Business Combination Agreement and the transactions contemplated thereby and (b) the other proposals that AHAC and Humacyte agreed in the Business Combination Agreement shall be submitted at such meeting for approval by AHAC’s stockholders together with the proposal to obtain the Company Stockholder Approval (the “Required Transaction Proposals”) and (ii) against any proposal that conflicts or materially impedes or interferes with any Required Transaction Proposals or that would adversely affect or delay the Business Combination. The Sponsor Support Agreement also prohibits each Company Supporting Stockholder from, among other things and subject to certain exceptions, selling, assigning or transferring any Class A Common Stock or Class B Common Stock held by such Company Supporting Stockholder or taking any action that would have the effect of preventing or materially delaying such Company Supporting Stockholder from performing his, her or its obligations under the Sponsor Support Agreement. In addition, in the Sponsor Support Agreement, each Company Supporting Stockholder agreed to waive, and not to assert or perfect, among other things, any rights to adjustment or other anti-dilution protections with respect to the rate at which the shares of Class B Common Stock held by the Company Supporting Stockholders convert into shares of Class A Common Stock in connection with the transactions contemplated by the Business Combination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Humacyte Support Agreement</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connection with the execution of the Business Combination Agreement, certain Humacyte stockholders (the “Humacyte Supporting Stockholders”) entered into a support agreement with AHAC (the “Humacyte Support Agreement”). Under the Humacyte Support Agreement, each Humacyte Supporting Stockholder agreed, within two business days following the date that AHAC delivers the proxy statement/prospectus to AHAC’s stockholders (following the date that the proxy statement/prospectus becomes effective), to execute and deliver a written consent with respect to all outstanding shares of Humacyte common stock and preferred stock held by such Humacyte Supporting Stockholder (the “Subject Humacyte Shares”) approving the Business Combination Agreement and the transactions contemplated thereby. In addition to the foregoing, each Humacyte Supporting Stockholder agreed that, at any meeting of the holders of Humacyte capital stock, each such Humacyte Supporting Stockholder will appear at the meeting, in person or by proxy, and cause its Subject Humacyte Shares to be voted (i) to approve and adopt the Business Combination Agreement, the transactions contemplated thereby, and any other matters necessary or reasonably requested by Humacyte for consummation of the Business Combination; and (ii) against any proposal that conflicts or materially impedes or interferes with, or would adversely affect or delay, the consummation of the transactions contemplated by the Business Combination Agreement.</w:t>
      </w:r>
    </w:p>
    <w:p>
      <w:pPr>
        <w:sectPr>
          <w:pgSz w:w="11900" w:h="16838" w:orient="portrait"/>
          <w:cols w:equalWidth="0" w:num="1">
            <w:col w:w="9900"/>
          </w:cols>
          <w:pgMar w:left="980" w:top="517"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32" w:name="page233"/>
    <w:bookmarkEnd w:id="232"/>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Humacyte Support Agreement also prohibits the Humacyte Supporting Stockholders from, among other things, (i) transferring any of the Subject Humacyte Shares; (ii) entering into (a) any option, commitment or other arrangement that would require the Humacyte Support Stockholders to transfer the Subject Humacyte Shares, or (b) any voting trust, proxy or other contract with respect to the voting or transfer of the Subject Humacyte Shares; or (iii) taking any action in furtherance of the foregoing. In addition, under the Humacyte Support Agreement, each Humacyte Supporting Stockholder agreed (i) not to exercise any rights of appraisal or dissenter’s rights relating to the Business Combination Agreement and the transactions contemplated thereby; and (ii) to irrevocably waive, on behalf of itself and each other holder of Humacyte preferred stock, any right to certain payments upon liquidation of Humacyte pursuant to its certificate of incorporation.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connection with the Business Combination, the Company entered into subscription agreements with certain investors (the “Subscription Agreements”), pursuant to which, among other things, certain investors (the “PIPE Investors”) have subscribed to purchase an aggregate of 17,500,000 shares of Class A Common Stock (together, the “PIPE Investment”) for a purchase price of $10.00 per share, or an aggregate purchase price of $175,000,000, which shares are to be issued at the Closing. The obligations of each party to consummate the PIPE Investment are conditioned upon, among other things, customary closing conditions and the consummation of the transactions contemplated by the Business Combination Agreement.</w:t>
      </w:r>
    </w:p>
    <w:p>
      <w:pPr>
        <w:spacing w:after="0" w:line="178"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closing of the PIPE Investment will occur on the date of and immediately prior to the consummation of the Business Combination and is conditioned thereon and on other customary closing conditions. The Class A Common Stock to be issued pursuant to the Subscription Agreements has not been registered under the Securities Act, and will be issued in reliance upon the exemption provided under Section 4(a)(2) of the Securities Act and Regulation D promulgated thereunder. The Subscription Agreements will terminate and be void and of no further force or effect upon the earliest to occur of: (a) such date and time as the Business Combination Agreement is terminated in accordance with its terms, (b) the mutual written consent of each of the parties to each such Subscription Agreement,</w:t>
      </w:r>
    </w:p>
    <w:p>
      <w:pPr>
        <w:spacing w:after="0" w:line="4" w:lineRule="exact"/>
        <w:rPr>
          <w:sz w:val="20"/>
          <w:szCs w:val="20"/>
          <w:color w:val="auto"/>
        </w:rPr>
      </w:pPr>
    </w:p>
    <w:p>
      <w:pPr>
        <w:ind w:right="20" w:firstLine="8"/>
        <w:spacing w:after="0" w:line="295" w:lineRule="auto"/>
        <w:tabs>
          <w:tab w:leader="none" w:pos="23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AHAC’s notification to the PIPE Investors in writing that it has abandoned its plans to move forward with the Business Combination and/or has terminated a PIPE Investor’s obligations, (d) the conditions to closing set forth in the Subscription Agreement not having been satisfied or waived on or prior to the date of the Closing and, as a result thereof, the transactions contemplated by the Subscription Agreement are not consummated at the Closing, or (e) the Termination Date, if the Closing has not occurred on or prior to such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Rights and Lock-up Agreement</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At the Effective Time, AHAC and certain of the Humacyte stockholders and AHAC stockholders will enter into the Investor Rights and Lock-up Agreement, pursuant to which, among other things, (a) such stockholders (i) will agree not to effect any sale or distribution of any shares held by any of them during the one-year lock-up period described therein, (ii) will be granted certain registration rights with respect to certain shares of securities held by them, and (iii) provides for certain provisions related to the New Humacyte Board, in each case, on the terms and subject to the conditions therein. Pursuant to the Investor Rights and Lock-up Agreement, the Sponsor and Messrs. Carlson, Robertson, Springer and Xie, directors of AHAC, will have the right to designate, and the New Humacyte Board will nominate, one individual for election to the New Humacyte Board for so long as the designating stockholders collectively own at least 5.0% of New Humacyte common stock.</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If the volume weighted average price (“VWAP”) of New Humacyte common stock on Nasdaq, or any other national securities exchange on which New Humacyte common stock is then traded, is greater than or equal to $15.00 over any 20 trading days within any 30 trading day period following the Closing, then, commencing at least 180 days after the Closing, the lock-up period shall be deemed to have expired with respect to 50% of the shares of New Humacyte common stock held by each party subject to the Investor Rights and Lock-up Agreement. The lock-up period shall not apply to any shares purchased in the PIPE Investment by parties to the Investor Rights and Lock-up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 xml:space="preserve">At the Effective Time, certain Humacyte stockholders who do not enter into the Investor Rights and Lock-up Agreement will enter into a lock-up agreement (the “Lock-up Agreement”) restricting their ability to transfer. The Lock-up Agreement has substantially the same terms as the Investor Rights and Lock-up Agreement, described above in “— </w:t>
      </w:r>
      <w:r>
        <w:rPr>
          <w:rFonts w:ascii="Arial" w:cs="Arial" w:eastAsia="Arial" w:hAnsi="Arial"/>
          <w:sz w:val="17"/>
          <w:szCs w:val="17"/>
          <w:i w:val="1"/>
          <w:iCs w:val="1"/>
          <w:color w:val="auto"/>
        </w:rPr>
        <w:t>Investor Rights and Lock-up Agreement</w:t>
      </w:r>
      <w:r>
        <w:rPr>
          <w:rFonts w:ascii="Arial" w:cs="Arial" w:eastAsia="Arial" w:hAnsi="Arial"/>
          <w:sz w:val="17"/>
          <w:szCs w:val="17"/>
          <w:color w:val="auto"/>
        </w:rPr>
        <w:t>” (with the exception of the right to designate a member of the New Humacyte Board).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3" w:name="page234"/>
    <w:bookmarkEnd w:id="233"/>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above description of the proposed Business Combination should be read in conjunction with the disclosures contained in the Form S-4 originally filed by the Company with the SEC on March 23, 2021 and declared effective by the SEC on August 4,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of June 30, 2021, the Company had cash outside the Trust Account of $383,400 available for working capital needs. All remaining cash held in the Trust Account are generally unavailable for the Company’s use, prior to an initial business combination, and is restricted for use either in a Business Combination or to redeem common stock. As of June 30, 2021 and December 31, 2020, none of the amount in the Trust Account was available to be withdrawn as described above.</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Through June 30, 2021, the Company’s liquidity needs were satisfied through receipt of $25,000 from the sale of the founder shares, advances from the Sponsor in an aggregate amount of $147,763 and the remaining net proceeds from the IPO and the sale of Private Placement Units.</w:t>
      </w:r>
    </w:p>
    <w:p>
      <w:pPr>
        <w:spacing w:after="0" w:line="18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 anticipates that the $383,400 outside of the Trust Account as of June 30, 2021, will be sufficient to allow the Company to operate for at least the next 12 months from the issuance of the financial statements, assuming that a Business Combination is not consummated during that time. Until consummation of its Business Combination, the Company will be using the funds not held in the Trust Account, and any additional Working Capital Loans (as defined in Note 5) from the initial stockholders, the Company’s officers and directors, or their respective affiliates (which is described in Note 5),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spacing w:after="0" w:line="16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Company does not believe it will need to raise additional funds in order to meet the expenditures required for operating its business. However, if the Company’s estimates of the costs of undertaking in-depth due diligence and negotiating business combination is less than the actual amount necessary to do so, the Company may have insufficient funds available to operate its business prior to the business combination. Moreover, the Company will need to raise additional capital through loans from its Sponsor, officers, directors, or third parties. None of the Sponsor, officers or directors are under any obligation to advance funds to, or to invest in, the Company. If the Company is unable to raise additional capital, it may be required to take additional measures to conserve liquidity, which could include, but not necessarily be limited to, curtailing operations, suspending the pursuit of its business plan, and reducing overhead expenses. The Company cannot provide any assurance that new financing will be available to it on commercially acceptable terms, if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financial position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financial position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w:t>
      </w:r>
    </w:p>
    <w:p>
      <w:pPr>
        <w:sectPr>
          <w:pgSz w:w="11900" w:h="16838" w:orient="portrait"/>
          <w:cols w:equalWidth="0" w:num="1">
            <w:col w:w="9900"/>
          </w:cols>
          <w:pgMar w:left="980" w:top="517" w:right="1019"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34" w:name="page235"/>
    <w:bookmarkEnd w:id="234"/>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instructions to Form 10-Q and Article 8 of Regulation S-X of the U.S.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6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10-K/A filed with the SEC on May 14, 2021, as well as the Company’s Current Reports on Form 8-K. The interim results for the six months ended June 30, 2021 are not necessarily indicative of the results to be expected for the year ending December 31, 2021 or for any future interim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At June 30, 2021, the Trust Account had $100,031,414 held in marketable securities. During period January 1, 2021 to June 30, 2021, the Company did not withdraw any of interest income from the Trust Account to pay its tax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At June 30, 2021 and December 31, 2020, the Company has not experienced losses on this account.</w:t>
      </w:r>
    </w:p>
    <w:p>
      <w:pPr>
        <w:sectPr>
          <w:pgSz w:w="11900" w:h="16838" w:orient="portrait"/>
          <w:cols w:equalWidth="0" w:num="1">
            <w:col w:w="9900"/>
          </w:cols>
          <w:pgMar w:left="980" w:top="517" w:right="101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35" w:name="page236"/>
    <w:bookmarkEnd w:id="235"/>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ASC Topic 480 “Distinguishing Liabilities from Equity.” Class A common stock subject to mandatory redemption (if any) are classified as a liability instrument and are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common stock feature certain redemption rights that are considered to be outside of the Company’s control and subject to the occurrence of uncertain future events. Accordingly, as of June 30, 2021, 7,870,157 shares of Class A common stock subject to possible redemption are presented at redemption value as temporary equity, outside of the stockholders’ equity section of the Company’s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Stock</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Net loss per common share is computed by dividing net loss by the weighted average number of common shares outstanding for the period. The Company applies the two-class method in calculating earnings per share. Shares of common stock subject to possible redemption at June 30, 2021, which are not currently redeemable and are not redeemable at fair value, have been excluded from the calculation of basic net loss per common share since such shares, if redeemed, only participate in their pro rata share of the Trust Account earnings. The Company has not considered the effect of warrants sold in the Initial Public Offering and the private placement to purchase an aggregate 5,177,500 shares of common stock in the calculation of diluted loss per share, since the exercise of the warrants into shares of common stock is contingent upon the occurrence of future events. As a result, diluted net loss per common share is the same as basic net loss per common share for the period presented.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the net income per common share: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For the</w:t>
            </w: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three months</w:t>
            </w:r>
          </w:p>
        </w:tc>
        <w:tc>
          <w:tcPr>
            <w:tcW w:w="14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six months</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9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Numerator Earnings allocable to Class A common stock</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 on Trust account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11,592</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Class A common stock net earnings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1,187</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11,592</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Denominator: Weighted average Class A shares</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basic and diluted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7,841,024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8,315,869</w:t>
            </w:r>
          </w:p>
        </w:tc>
        <w:tc>
          <w:tcPr>
            <w:tcW w:w="0" w:type="dxa"/>
            <w:vAlign w:val="bottom"/>
          </w:tcPr>
          <w:p>
            <w:pPr>
              <w:spacing w:after="0"/>
              <w:rPr>
                <w:sz w:val="1"/>
                <w:szCs w:val="1"/>
                <w:color w:val="auto"/>
              </w:rPr>
            </w:pPr>
          </w:p>
        </w:tc>
      </w:tr>
      <w:tr>
        <w:trPr>
          <w:trHeight w:val="25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Earnings/basic and diluted per share Class A common stock</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 Net income (loss) minus Earnings allocable to Class A common stock</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286,223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(9,149,309)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 Earnings allocable to Class A common stock</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Class B 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285,036</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(9,160,901)</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weighted average Class B common stock</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Class B common stock, basic and diluted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4,984,843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4,539,131</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Income/Basic and diluted per share Class B common stock</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Public Offering and that were charged to stockholders’ equity upon the completion of the IPO. Accordingly, on September 22, 2020, offering costs totaling $4,289,471 have been charged to stockholders’ equity (consisting of $2,000,000 of underwriting fee, $1,959,758 of deferred underwriting fee and $329,713 of other offering costs). Of the total transaction cost $317,023 was expensed as non-operating expenses in that statement of operations with the rest of the offering cost charged to stockholders’ equity. The transaction costs were allocated based on the relative fair value basis, compared to the total offering proceeds, between the fair value of the public warrant liabilities and the Class A common stock.</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6" w:name="page237"/>
    <w:bookmarkEnd w:id="236"/>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Financial Accounting Standards Board (“FASB”) ASC 820, “Fair Value Measurements and Disclosures,” approximates the carrying amounts represented in the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warrant liabilities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accounts for its 5,177,500 common stock warrants issued in connection with its Initial Public Offering (5,000,000) and Private Placement (152,500) as derivative warrant liabilities in accordance with ASC 815-40. 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statement of operations. The fair value of warrants issued by the Company in connection with the Public Offering and Private Placement has been estimated using Monte-Carlo simulations at each measurement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5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8"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The Company recognizes accrued interest and penalties related to unrecognized tax benefits as income tax expense. There were no unrecognized tax benefits and no amounts accrued for interest and penalties as of June 30, 2021. The Company is currently not aware of any issues under review that could result in significant payments, accruals or material deviation from its position.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identified the United States as its only “major” tax jurisdiction.</w:t>
      </w:r>
    </w:p>
    <w:p>
      <w:pPr>
        <w:spacing w:after="0" w:line="22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Company may be subject to potential examination by federal and state taxing authorities in the areas of income taxes. These potential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Pursuant to the IPO on September 22, 2020, the Company sold 10,000,000 Units, at a purchase price of $10.00 per Unit. Each unit that the Company is offering has a price of $10.00 and consists of one share of Class A common stock and one-half of one</w:t>
      </w:r>
    </w:p>
    <w:p>
      <w:pPr>
        <w:sectPr>
          <w:pgSz w:w="11900" w:h="16838" w:orient="portrait"/>
          <w:cols w:equalWidth="0" w:num="1">
            <w:col w:w="9900"/>
          </w:cols>
          <w:pgMar w:left="980" w:top="517"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37" w:name="page238"/>
    <w:bookmarkEnd w:id="237"/>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redeemable warrant. Only whole warrants are exercisable. Each whole warrant entitles the holder to purchase one share of Class A common stock at a price of $11.50 per share (see Note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Placement</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Simultaneously with the closing of the IPO, the Company consummated the Private Placement with the Company’s Sponsor, AHAC Sponsor LLC, Oppenheimer, the representative of the underwriters, who is referred to as the representative, and Northland purchased an aggregate of 355,000 placement units at a price of $10.00 per unit, for an aggregate purchase price of $3,550,000. Each placement unit is identical to the units sold in the IPO.</w:t>
      </w:r>
    </w:p>
    <w:p>
      <w:pPr>
        <w:spacing w:after="0" w:line="18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private placement warrants will be non-redeemable and exercisable on a cashless basis so long as they are held by the sponsor, the representative, Northland or their permitted transferees. If the private placement warrants are held by holders other than the sponsor, the representative, Northland or their permitted transferees, the private placement warrants will be redeemable by the Company and exercisable by the holders on the same basis as the warrants included in the units being sold in the IPO. In addition, for as long as the private placement warrants are held by the representative, Northland or their designees or affiliates, they may not be exercised after five years from the effective date of the registration statement.</w:t>
      </w:r>
    </w:p>
    <w:p>
      <w:pPr>
        <w:spacing w:after="0" w:line="178"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The Company’s sponsor, the representative and Northland have agreed to (i) waive their redemption rights with respect to their private placement shares in connection with the completion of the Company’s initial business combination, (ii) waive their redemption rights with respect to their private placement shares in connection with a stockholder vote to approve an amendment to the Company’s amended and restated certificate of incorporation (A) to modify the substance or timing of the Company’s obligation to redeem 100% of its public shares if the Company does not complete its initial business combination within 24 months from the closing of the IPO or</w:t>
      </w:r>
    </w:p>
    <w:p>
      <w:pPr>
        <w:spacing w:after="0" w:line="2" w:lineRule="exact"/>
        <w:rPr>
          <w:sz w:val="20"/>
          <w:szCs w:val="20"/>
          <w:color w:val="auto"/>
        </w:rPr>
      </w:pPr>
    </w:p>
    <w:p>
      <w:pPr>
        <w:ind w:right="40" w:firstLine="8"/>
        <w:spacing w:after="0" w:line="295" w:lineRule="auto"/>
        <w:tabs>
          <w:tab w:leader="none" w:pos="28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with respect to any other provision relating to stockholders’ rights or pre-initial business combination activity and (iii) waive their rights to liquidating distributions from the trust account with respect to their private placement shares if the Company fails to complete its initial business combination within 24 months from the closing of the IPO. In addition, the Company’s Sponsor, officers and directors have agreed to vote any founder shares or private placement shares held by them in favor of the Company’s initial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On July 20, 2020, the Company issued 2,875,000 shares of Class B common stock to its initial stockholder, AHAC Sponsor, LLC for $25,000, or approximately $0.01 per share. The founder shares include an aggregate of up to 375,000 shares subject to forfeiture if the over-allotment option is not exercised by the underwriters in full. The over-allotment option was not exercised by the underwriters during the 45-day option period; thus, 375,000 shares were forfeited accordingly as of November 1, 2020. As of June 30, 2021 and December 31, 2020, 2,500,000 shares of common stock (the “Founder Shares”) are issued and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July 1, 2020, the Company issued an unsecured promissory note to the sponsor, pursuant to which the Company may borrow up to an aggregate principal amount of $300,000 to be used for a portion of the expenses of the IPO. This loan is non-interest bearing, unsecured, and due on the earlier of (a) June 30, 2021 or (b) the date on which the Company completes the IPO. The loan was paid off on June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agreed, commencing on the effective date of the prospectus, to pay an affiliate of the Company’s sponsor</w:t>
      </w:r>
    </w:p>
    <w:p>
      <w:pPr>
        <w:spacing w:after="0" w:line="35"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a monthly fee of an aggregate of $10,000 for general and administrative services including office space, utilities and secretarial and administrative support. This arrangement will terminate upon completion of a business combination or the liquidation of the Company. For the six months ended June 30, 2021, the Company incurred $60,000 in administrative service fee.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In addition, in order to finance transactions costs in connection with a business combination, the sponsor, or certain of the Company’s officers, directors, or their affiliates may, but are not obligated to, loan the Company funds as may be required (“Working</w:t>
      </w:r>
    </w:p>
    <w:p>
      <w:pPr>
        <w:sectPr>
          <w:pgSz w:w="11900" w:h="16838" w:orient="portrait"/>
          <w:cols w:equalWidth="0" w:num="1">
            <w:col w:w="9900"/>
          </w:cols>
          <w:pgMar w:left="980" w:top="517"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38" w:name="page239"/>
    <w:bookmarkEnd w:id="238"/>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converted into units of the post business combination entity at a price of $10.00 per unit.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&amp;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holders of the founder shares,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September 22, 2020 the effective date of the IPO, requiring us to register such securities for resale (in the case of the founder shares, only after conversion to our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The Company will bear the expenses incurred in connection with the filing of any such registration statements. Notwithstanding the foregoing, the representative and Northland may not exercise their demand and “piggyback” registration rights after five (5) and seven (7) years after the effective date of the registration statement and may not exercise their demand rights on more than one occasion.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Agreement</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On September 22, 2020, the underwriters were paid an underwriting discount of two percent (2.0%) of the gross proceeds of the IPO, or $2,000,000.</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addition, the underwriters are entitled to a deferred underwriting fee of three and a half percent (3.5%) of the gross proceeds of the IPO upon the completion of the Company’s initial business combination. The underwriters have agreed that up to 1% of the deferred underwriting fee may be re-directed to other Financial Industry Regulatory Authority (FINRA) member firms that have provided services in connection with the identification and consummation of a business combination, in the sole discretion of the Company; provided, that all such payments to other FINRA member firms may only be made if permitted under applicable law.</w:t>
      </w:r>
    </w:p>
    <w:p>
      <w:pPr>
        <w:spacing w:after="0" w:line="17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 may reduce the deferred underwriting fee by up to 50% based on stockholders redeeming their shares for their pro-rata amount of the proceeds in the Trust Account; provided, however, that (a) the underwriters’ maximum deferred underwriting fee reduction based on stockholder redemptions will be 50% regardless of whether stockholder redemptions exceed 50%; and (b) any sums paid to other advisors as discussed above, will be credited against the reduction of and added back to the deferred underwriting fee payable to the underwriters; and (c) under no circumstance will the deferred underwriting fee be less than 1.75% of the gross proceeds of the IPO. As June 30, 2021, the Company accrued a deferred underwriting fee of $2,122,723.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has engaged a law firm to assist the Company with its legal matters in identifying, negotiating, and consummating a Business Combination, as well as assisting with other legal matters. In the event of a successful Business Combination, the amount of fees to be paid will be agreed upon between the Company and the law firm in light of all the facts and circumstances at that point in time. If a Business Combination does not occur, the Company will not be required to pay this contingent fee. Management is unable to determine the amount of the legal fees to be paid at this time. There can be no assurance that the Company will complete a Business Combination.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9" w:name="page240"/>
    <w:bookmarkEnd w:id="239"/>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Preferred Stock — </w:t>
      </w:r>
      <w:r>
        <w:rPr>
          <w:rFonts w:ascii="Arial" w:cs="Arial" w:eastAsia="Arial" w:hAnsi="Arial"/>
          <w:sz w:val="16"/>
          <w:szCs w:val="16"/>
          <w:color w:val="auto"/>
        </w:rPr>
        <w:t>The Company is authorized to issue a total of 1,000,000 shares of preferred stock at par value of $0.0001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and December 31, 2020, there were no shares of preferred stock issued or outstanding.</w:t>
      </w:r>
    </w:p>
    <w:p>
      <w:pPr>
        <w:spacing w:after="0" w:line="21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A Common Stock — </w:t>
      </w:r>
      <w:r>
        <w:rPr>
          <w:rFonts w:ascii="Arial" w:cs="Arial" w:eastAsia="Arial" w:hAnsi="Arial"/>
          <w:sz w:val="18"/>
          <w:szCs w:val="18"/>
          <w:color w:val="auto"/>
        </w:rPr>
        <w:t>The Company is authorized to issue a total of 100,000,000 shares of Class A common stock at par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$0.0001 each. At June 30, 2021 and December 31, 2020, there were 2,484,843 and 1,553,616 shares issued and outstanding (excluding 7,870,157 and 8,801,384 shares subject to possible redemption)</w:t>
      </w:r>
    </w:p>
    <w:p>
      <w:pPr>
        <w:spacing w:after="0" w:line="184"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b w:val="1"/>
          <w:bCs w:val="1"/>
          <w:i w:val="1"/>
          <w:iCs w:val="1"/>
          <w:color w:val="auto"/>
        </w:rPr>
        <w:t xml:space="preserve">Class B Common Stock — </w:t>
      </w:r>
      <w:r>
        <w:rPr>
          <w:rFonts w:ascii="Arial" w:cs="Arial" w:eastAsia="Arial" w:hAnsi="Arial"/>
          <w:sz w:val="16"/>
          <w:szCs w:val="16"/>
          <w:color w:val="auto"/>
        </w:rPr>
        <w:t>The Company is authorized to issue a total of 10,000,000 shares of Class B common stock at par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$0.0001 each. At June 30, 2021 and December 31, 2020, there were 2,500,000 shares of Class B common stock issued or outstanding.</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Both Class A and B stockholders vote together as a single class on all matters submitted to a vote of the Company stockholders, with each share of common stock entitling the holder to one vote.</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Class B shares are identical to the Class A shares except that Class B shares (founder shares) automatically convert into shares of Class A common stock at the time of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IPO (excluding the placement units and underlying securities)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our sponsor or its affiliates upon conversion of loans made to us). The term “equity-linked securities” refers to any debt or equity securities that are convertible, exercisable or exchangeable for shares of Class A common stock issued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holders of the founder shares have agreed not to transfer, assign or sell any of their founder shares until the earlier to occur</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of: (A) one year after the completion of our initial business combination and (B) subsequent to our initial business combination, (x) if the reported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the Company completes a liquidation, merger, capital stock exchange or other similar transaction that results in all of our stockholders having the right to exchange their shares of common stock for cash, securities or other. Any permitted transferees will be subject to the same restrictions and other agreements of our initial stockholders with respect to any founder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Warrants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Each whole warrant entitles the registered holder to purchase one share of Class A common stock at a price of $11.50 per share, subject to adjustment as discussed below, at any time commencing on the later of 12 months from the closing of the IPO and 30 days after the completion of our initial business combination and will expire five years after the completion of the Company’s initial business combination, or earlier upon redemption or liquidation.</w:t>
      </w:r>
    </w:p>
    <w:p>
      <w:pPr>
        <w:spacing w:after="0" w:line="187"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 Company may redeem outstanding warrants (excluding the warrants contained in the private units) at a price of $0.01 per warrant i) at any time while the warrants are exercisable; ii) upon a minimum of 30 days prior written notice of redemption; iii) if, and only if, the reported last sale price of the common stock equals or exceeds $18.00 per share, for any 20 trading days within a 30 trading day period commencing once the warrants become exercisable and ending on the third business day prior to the notice of redemption to warrant holders and iv) if, and only if, there is a current registration statement in effect with respect to the shares of</w:t>
      </w:r>
    </w:p>
    <w:p>
      <w:pPr>
        <w:sectPr>
          <w:pgSz w:w="11900" w:h="16838" w:orient="portrait"/>
          <w:cols w:equalWidth="0" w:num="1">
            <w:col w:w="9900"/>
          </w:cols>
          <w:pgMar w:left="980" w:top="517"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40" w:name="page241"/>
    <w:bookmarkEnd w:id="240"/>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Class A common stock underlying such warrants at the time of redemption and for the entire 30-day trading period, except if the warrants may be exercised on a cashless basis and such cashless exercise is exempt from registration under the Securities Act.</w:t>
      </w:r>
    </w:p>
    <w:p>
      <w:pPr>
        <w:spacing w:after="0" w:line="14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If the Company calls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w:t>
      </w:r>
    </w:p>
    <w:p>
      <w:pPr>
        <w:spacing w:after="0" w:line="2" w:lineRule="exact"/>
        <w:rPr>
          <w:sz w:val="20"/>
          <w:szCs w:val="20"/>
          <w:color w:val="auto"/>
        </w:rPr>
      </w:pPr>
    </w:p>
    <w:p>
      <w:pPr>
        <w:ind w:right="100" w:firstLine="8"/>
        <w:spacing w:after="0" w:line="255"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fair market value. The “fair market value” for this purpose shall mean the average reported last sale price of the Class A common stock for the 10 trading days ending on the third trading day prior to the date on which the notice of redemption is sent to the holders of warrants.</w:t>
      </w:r>
    </w:p>
    <w:p>
      <w:pPr>
        <w:spacing w:after="0" w:line="19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stock dividend, extraordinary dividend or the Company’s recapitalization, reorganization, merger or consolidation. If the Company (x) issues additional shares of Class A common stock or equity-linked securities for capital raising purposes in connection with the closing of our initial business combination at an issue price or effective issue price of less than $9.20 per share of Class A common stock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57" w:lineRule="exact"/>
        <w:rPr>
          <w:sz w:val="20"/>
          <w:szCs w:val="20"/>
          <w:color w:val="auto"/>
        </w:rPr>
      </w:pPr>
    </w:p>
    <w:p>
      <w:pPr>
        <w:ind w:left="900" w:hanging="433"/>
        <w:spacing w:after="0"/>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Level 1, defined as observable inputs such as quoted prices (unadjusted) for identical instruments in active markets;</w:t>
      </w:r>
    </w:p>
    <w:p>
      <w:pPr>
        <w:spacing w:after="0" w:line="196" w:lineRule="exact"/>
        <w:rPr>
          <w:rFonts w:ascii="Arial" w:cs="Arial" w:eastAsia="Arial" w:hAnsi="Arial"/>
          <w:sz w:val="17"/>
          <w:szCs w:val="17"/>
          <w:color w:val="auto"/>
        </w:rPr>
      </w:pPr>
    </w:p>
    <w:p>
      <w:pPr>
        <w:ind w:left="900" w:right="160" w:hanging="433"/>
        <w:spacing w:after="0" w:line="263"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56" w:lineRule="exact"/>
        <w:rPr>
          <w:rFonts w:ascii="Arial" w:cs="Arial" w:eastAsia="Arial" w:hAnsi="Arial"/>
          <w:sz w:val="18"/>
          <w:szCs w:val="18"/>
          <w:color w:val="auto"/>
        </w:rPr>
      </w:pPr>
    </w:p>
    <w:p>
      <w:pPr>
        <w:ind w:left="900" w:right="220" w:hanging="433"/>
        <w:spacing w:after="0" w:line="263"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Company’s Private Placement Warrant liability at June 30, 2021 and December 31, 2020 and Public Warrant liability at December 31, 2020 is based on a valuation model utilizing management judgment and pricing inputs from observable and unobservable markets with less volume and transaction frequency than active markets. Significant deviations from these estimates and inputs could result in a material change in fair value. The Company’s warrant liability for the Public Warrants at June 30, 2021 is based on quoted prices (unadjusted) with less volume and transaction frequency than active markets. The fair value of the Public Warrant liability is classified within Level 1 of the fair value hierarchy. For the period ended December 31, 2020 there were no reclassifications into Level 1, Level 2 or Level 3. For the period ending March 31, 2021 the Public Warrants were reclassified from a Level 3 to a Level 1 classification. No other reclassifications occurred during the period ending June 30, 2021.</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1" w:name="page242"/>
    <w:bookmarkEnd w:id="241"/>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following tables presents fair value information as of June 30, 2021 and December 31, 2020 of the Company’s financial assets and liabilities that were accounted for at fair value on a recurring basis and indicates the fair value hierarchy of the valuation techniques the Company utilized to determine such fair value.</w:t>
      </w:r>
    </w:p>
    <w:p>
      <w:pPr>
        <w:spacing w:after="0" w:line="184"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June 30, 2021 and indicates the fair value hierarchy of the valuation inputs the Company utilized to determine such fair value: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Quoted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Prices In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Active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Description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held in Trust Account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100,031,414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100,031,414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100,031,414</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100,031,414</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Warrant liabilities - Public 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14,000,000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 liabilities – Private Warrants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14,465,458</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14,000,000</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Quoted</w:t>
            </w:r>
          </w:p>
        </w:tc>
        <w:tc>
          <w:tcPr>
            <w:tcW w:w="120" w:type="dxa"/>
            <w:vAlign w:val="bottom"/>
          </w:tcPr>
          <w:p>
            <w:pPr>
              <w:spacing w:after="0"/>
              <w:rPr>
                <w:sz w:val="24"/>
                <w:szCs w:val="24"/>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w:t>
            </w:r>
          </w:p>
        </w:tc>
        <w:tc>
          <w:tcPr>
            <w:tcW w:w="880" w:type="dxa"/>
            <w:vAlign w:val="bottom"/>
            <w:gridSpan w:val="5"/>
          </w:tcPr>
          <w:p>
            <w:pPr>
              <w:jc w:val="right"/>
              <w:ind w:right="60"/>
              <w:spacing w:after="0" w:line="149" w:lineRule="exact"/>
              <w:rPr>
                <w:sz w:val="20"/>
                <w:szCs w:val="20"/>
                <w:color w:val="auto"/>
              </w:rPr>
            </w:pPr>
            <w:r>
              <w:rPr>
                <w:rFonts w:ascii="Arial" w:cs="Arial" w:eastAsia="Arial" w:hAnsi="Arial"/>
                <w:sz w:val="14"/>
                <w:szCs w:val="14"/>
                <w:b w:val="1"/>
                <w:bCs w:val="1"/>
                <w:color w:val="auto"/>
              </w:rPr>
              <w:t>Observable</w:t>
            </w:r>
          </w:p>
        </w:tc>
        <w:tc>
          <w:tcPr>
            <w:tcW w:w="8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w:t>
            </w:r>
          </w:p>
        </w:tc>
        <w:tc>
          <w:tcPr>
            <w:tcW w:w="120" w:type="dxa"/>
            <w:vAlign w:val="bottom"/>
            <w:tcBorders>
              <w:top w:val="single" w:sz="8" w:color="auto"/>
            </w:tcBorders>
            <w:gridSpan w:val="2"/>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held in Trust Account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U.S. Treasury Securities</w:t>
            </w:r>
          </w:p>
        </w:tc>
        <w:tc>
          <w:tcPr>
            <w:tcW w:w="1000" w:type="dxa"/>
            <w:vAlign w:val="bottom"/>
          </w:tcPr>
          <w:p>
            <w:pPr>
              <w:jc w:val="right"/>
              <w:spacing w:after="0"/>
              <w:rPr>
                <w:sz w:val="20"/>
                <w:szCs w:val="20"/>
                <w:color w:val="auto"/>
              </w:rPr>
            </w:pPr>
            <w:r>
              <w:rPr>
                <w:rFonts w:ascii="Arial" w:cs="Arial" w:eastAsia="Arial" w:hAnsi="Arial"/>
                <w:sz w:val="18"/>
                <w:szCs w:val="18"/>
                <w:color w:val="auto"/>
              </w:rPr>
              <w:t>99,983,000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99,983,000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100,012,851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100,012,851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Warrant liabilities - Public 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 liabilities – Private Warrants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6,038,351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$ 6,038,351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 utilizes a Monte Carlo simulation model to value the Private Warrants at each reporting period, with changes in fair value recognized in the statement of operations. The estimated fair value of the warrant liability is determined using Level 3 inputs. Inherent in a binomial options pricing model are assumptions related to expected share-price volatility, expected life, risk-free interest rate and dividend yield. The Company estimates the volatility of its ordinary shares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aforementioned warrant liabilities are not subject to qualified hedge accounting.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2" w:name="page243"/>
    <w:bookmarkEnd w:id="242"/>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At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w:t>
            </w:r>
          </w:p>
        </w:tc>
        <w:tc>
          <w:tcPr>
            <w:tcW w:w="112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Strike price</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Volatility</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36.0 %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0.74 %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0.38 %</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Dividend yield</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0.0 %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418"/>
        </w:trPr>
        <w:tc>
          <w:tcPr>
            <w:tcW w:w="5760" w:type="dxa"/>
            <w:vAlign w:val="bottom"/>
            <w:gridSpan w:val="2"/>
          </w:tcPr>
          <w:p>
            <w:pPr>
              <w:spacing w:after="0"/>
              <w:rPr>
                <w:sz w:val="20"/>
                <w:szCs w:val="20"/>
                <w:color w:val="auto"/>
              </w:rPr>
            </w:pPr>
            <w:r>
              <w:rPr>
                <w:rFonts w:ascii="Arial" w:cs="Arial" w:eastAsia="Arial" w:hAnsi="Arial"/>
                <w:sz w:val="18"/>
                <w:szCs w:val="18"/>
                <w:color w:val="auto"/>
                <w:w w:val="92"/>
              </w:rPr>
              <w:t>The following table presents the changes in the fair value of warrant liabilities:</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Public</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Private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9"/>
              </w:rPr>
              <w:t>Placement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288,351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6,038,351</w:t>
            </w: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8,250,000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w w:val="98"/>
              </w:rPr>
              <w:t>177,107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8,427,107</w:t>
            </w:r>
          </w:p>
        </w:tc>
        <w:tc>
          <w:tcPr>
            <w:tcW w:w="0" w:type="dxa"/>
            <w:vAlign w:val="bottom"/>
          </w:tcPr>
          <w:p>
            <w:pPr>
              <w:spacing w:after="0"/>
              <w:rPr>
                <w:sz w:val="1"/>
                <w:szCs w:val="1"/>
                <w:color w:val="auto"/>
              </w:rPr>
            </w:pPr>
          </w:p>
        </w:tc>
      </w:tr>
      <w:tr>
        <w:trPr>
          <w:trHeight w:val="197"/>
        </w:trPr>
        <w:tc>
          <w:tcPr>
            <w:tcW w:w="1000" w:type="dxa"/>
            <w:vAlign w:val="bottom"/>
          </w:tcPr>
          <w:p>
            <w:pPr>
              <w:spacing w:after="0"/>
              <w:rPr>
                <w:sz w:val="17"/>
                <w:szCs w:val="17"/>
                <w:color w:val="auto"/>
              </w:rPr>
            </w:pPr>
          </w:p>
        </w:tc>
        <w:tc>
          <w:tcPr>
            <w:tcW w:w="47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as of June 30, 2021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$ 14,000,000</w:t>
            </w: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w w:val="98"/>
              </w:rPr>
              <w:t>465,458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0"/>
              </w:rPr>
              <w:t>14,465,458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Investment Held in Trust Account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Company’s Trust Account consisted of Mutual Funds solely.</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2020, investment in the Company’s Trust Account consisted of $29,851 in Mutual Funds and $99,986,310 in U.S. Treasury Securities. The Company classifies its United States Treasury securities as held-to-maturity in accordance with FASB ASC 320 “Investments — Debt and Equity Securities”. Held-to-maturity treasury securities are recorded at amortized cost and adjusted for the amortization or accretion of premiums or discounts. The Company considers all investments with original maturities of more than three months but less than one year to be short-term investments. The carrying value approximates the fair value due to its short-term maturity. The carrying value, excluding gross unrealized losses and fair value of held to maturity securities on December 31, 2020 are as follows:</w:t>
      </w:r>
    </w:p>
    <w:p>
      <w:pPr>
        <w:spacing w:after="0" w:line="17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6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Value as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6"/>
              </w:rPr>
              <w:t>Losses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29,851</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U.S.Treasury Securities</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99,986,310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(3,310)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99,983,000</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100,016,161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(3,310)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100,012,851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financial statements were issued. Based upon this review, other than as described above,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43" w:name="page244"/>
    <w:bookmarkEnd w:id="243"/>
    <w:p>
      <w:pPr>
        <w:spacing w:after="0"/>
        <w:rPr>
          <w:rFonts w:ascii="Arial" w:cs="Arial" w:eastAsia="Arial" w:hAnsi="Arial"/>
          <w:sz w:val="16"/>
          <w:szCs w:val="16"/>
          <w:u w:val="single" w:color="auto"/>
          <w:color w:val="auto"/>
        </w:rPr>
      </w:pPr>
      <w:hyperlink w:anchor="page170">
        <w:r>
          <w:rPr>
            <w:rFonts w:ascii="Arial" w:cs="Arial" w:eastAsia="Arial" w:hAnsi="Arial"/>
            <w:sz w:val="16"/>
            <w:szCs w:val="16"/>
            <w:u w:val="single" w:color="auto"/>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4855845</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398145</wp:posOffset>
            </wp:positionV>
            <wp:extent cx="6292215"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466725</wp:posOffset>
            </wp:positionV>
            <wp:extent cx="62922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3775710</wp:posOffset>
            </wp:positionV>
            <wp:extent cx="62922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3818255</wp:posOffset>
            </wp:positionV>
            <wp:extent cx="6292215"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1846580</wp:posOffset>
            </wp:positionV>
            <wp:extent cx="2983230" cy="5575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983230" cy="55753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44" w:name="page245"/>
    <w:bookmarkEnd w:id="244"/>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sets forth all expenses to be paid by us in connection with the issuance and distribution of the securities being registered hereby. All amounts shown are estimates except for the SEC registration fee.</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$ 144,483.41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Printing fees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24"/>
        </w:trPr>
        <w:tc>
          <w:tcPr>
            <w:tcW w:w="454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$ 304,483.41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89"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Our second amended and restated certificate of incorporation (our “Charter”) provides that all of our directors, officers, employees and agents shall be entitled to be indemnified by us to the fullest extent permitted by Section 145 of the Delaware General Corporation Law (“DGCL”). Section 145 of the DGCL concerning indemnification of officers, directors, employees and agents is set forth below.</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98" w:lineRule="exact"/>
        <w:rPr>
          <w:sz w:val="20"/>
          <w:szCs w:val="20"/>
          <w:color w:val="auto"/>
        </w:rPr>
      </w:pPr>
    </w:p>
    <w:p>
      <w:pPr>
        <w:ind w:left="340" w:right="20" w:firstLine="316"/>
        <w:spacing w:after="0" w:line="287" w:lineRule="auto"/>
        <w:tabs>
          <w:tab w:leader="none" w:pos="131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27" w:lineRule="exact"/>
        <w:rPr>
          <w:rFonts w:ascii="Arial" w:cs="Arial" w:eastAsia="Arial" w:hAnsi="Arial"/>
          <w:sz w:val="16"/>
          <w:szCs w:val="16"/>
          <w:color w:val="auto"/>
        </w:rPr>
      </w:pPr>
    </w:p>
    <w:p>
      <w:pPr>
        <w:ind w:left="340" w:firstLine="316"/>
        <w:spacing w:after="0" w:line="269" w:lineRule="auto"/>
        <w:tabs>
          <w:tab w:leader="none" w:pos="131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41" w:lineRule="exact"/>
        <w:rPr>
          <w:rFonts w:ascii="Arial" w:cs="Arial" w:eastAsia="Arial" w:hAnsi="Arial"/>
          <w:sz w:val="17"/>
          <w:szCs w:val="17"/>
          <w:color w:val="auto"/>
        </w:rPr>
      </w:pPr>
    </w:p>
    <w:p>
      <w:pPr>
        <w:ind w:left="340" w:right="60" w:firstLine="316"/>
        <w:spacing w:after="0" w:line="259" w:lineRule="auto"/>
        <w:tabs>
          <w:tab w:leader="none" w:pos="131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59" w:lineRule="exact"/>
        <w:rPr>
          <w:rFonts w:ascii="Arial" w:cs="Arial" w:eastAsia="Arial" w:hAnsi="Arial"/>
          <w:sz w:val="18"/>
          <w:szCs w:val="18"/>
          <w:color w:val="auto"/>
        </w:rPr>
      </w:pPr>
    </w:p>
    <w:p>
      <w:pPr>
        <w:ind w:left="340" w:right="360" w:firstLine="316"/>
        <w:spacing w:after="0" w:line="311" w:lineRule="auto"/>
        <w:tabs>
          <w:tab w:leader="none" w:pos="131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5" w:name="page246"/>
    <w:bookmarkEnd w:id="245"/>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140"/>
        <w:spacing w:after="0" w:line="257" w:lineRule="auto"/>
        <w:rPr>
          <w:sz w:val="20"/>
          <w:szCs w:val="20"/>
          <w:color w:val="auto"/>
        </w:rPr>
      </w:pPr>
      <w:r>
        <w:rPr>
          <w:rFonts w:ascii="Arial" w:cs="Arial" w:eastAsia="Arial" w:hAnsi="Arial"/>
          <w:sz w:val="18"/>
          <w:szCs w:val="18"/>
          <w:color w:val="auto"/>
        </w:rPr>
        <w:t>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47" w:lineRule="exact"/>
        <w:rPr>
          <w:sz w:val="20"/>
          <w:szCs w:val="20"/>
          <w:color w:val="auto"/>
        </w:rPr>
      </w:pPr>
    </w:p>
    <w:p>
      <w:pPr>
        <w:ind w:left="340" w:right="100" w:firstLine="316"/>
        <w:spacing w:after="0" w:line="273" w:lineRule="auto"/>
        <w:tabs>
          <w:tab w:leader="none" w:pos="1312"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50" w:lineRule="exact"/>
        <w:rPr>
          <w:rFonts w:ascii="Arial" w:cs="Arial" w:eastAsia="Arial" w:hAnsi="Arial"/>
          <w:sz w:val="17"/>
          <w:szCs w:val="17"/>
          <w:color w:val="auto"/>
        </w:rPr>
      </w:pPr>
    </w:p>
    <w:p>
      <w:pPr>
        <w:ind w:left="340" w:firstLine="316"/>
        <w:spacing w:after="0" w:line="253" w:lineRule="auto"/>
        <w:tabs>
          <w:tab w:leader="none" w:pos="131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55" w:lineRule="exact"/>
        <w:rPr>
          <w:rFonts w:ascii="Arial" w:cs="Arial" w:eastAsia="Arial" w:hAnsi="Arial"/>
          <w:sz w:val="18"/>
          <w:szCs w:val="18"/>
          <w:color w:val="auto"/>
        </w:rPr>
      </w:pPr>
    </w:p>
    <w:p>
      <w:pPr>
        <w:ind w:left="340" w:firstLine="316"/>
        <w:spacing w:after="0" w:line="275" w:lineRule="auto"/>
        <w:tabs>
          <w:tab w:leader="none" w:pos="1312"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35" w:lineRule="exact"/>
        <w:rPr>
          <w:rFonts w:ascii="Arial" w:cs="Arial" w:eastAsia="Arial" w:hAnsi="Arial"/>
          <w:sz w:val="17"/>
          <w:szCs w:val="17"/>
          <w:color w:val="auto"/>
        </w:rPr>
      </w:pPr>
    </w:p>
    <w:p>
      <w:pPr>
        <w:ind w:left="340" w:right="60" w:firstLine="316"/>
        <w:spacing w:after="0" w:line="291" w:lineRule="auto"/>
        <w:tabs>
          <w:tab w:leader="none" w:pos="131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39" w:lineRule="exact"/>
        <w:rPr>
          <w:rFonts w:ascii="Arial" w:cs="Arial" w:eastAsia="Arial" w:hAnsi="Arial"/>
          <w:sz w:val="16"/>
          <w:szCs w:val="16"/>
          <w:color w:val="auto"/>
        </w:rPr>
      </w:pPr>
    </w:p>
    <w:p>
      <w:pPr>
        <w:ind w:left="340" w:right="80" w:firstLine="316"/>
        <w:spacing w:after="0" w:line="272" w:lineRule="auto"/>
        <w:tabs>
          <w:tab w:leader="none" w:pos="1312"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36" w:lineRule="exact"/>
        <w:rPr>
          <w:rFonts w:ascii="Arial" w:cs="Arial" w:eastAsia="Arial" w:hAnsi="Arial"/>
          <w:sz w:val="17"/>
          <w:szCs w:val="17"/>
          <w:color w:val="auto"/>
        </w:rPr>
      </w:pPr>
    </w:p>
    <w:p>
      <w:pPr>
        <w:ind w:left="340" w:right="180" w:firstLine="316"/>
        <w:spacing w:after="0" w:line="263" w:lineRule="auto"/>
        <w:tabs>
          <w:tab w:leader="none" w:pos="131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43" w:lineRule="exact"/>
        <w:rPr>
          <w:rFonts w:ascii="Arial" w:cs="Arial" w:eastAsia="Arial" w:hAnsi="Arial"/>
          <w:sz w:val="18"/>
          <w:szCs w:val="18"/>
          <w:color w:val="auto"/>
        </w:rPr>
      </w:pPr>
    </w:p>
    <w:p>
      <w:pPr>
        <w:ind w:left="340" w:right="80" w:firstLine="316"/>
        <w:spacing w:after="0" w:line="259" w:lineRule="auto"/>
        <w:tabs>
          <w:tab w:leader="none" w:pos="131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6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w:t>
      </w:r>
    </w:p>
    <w:p>
      <w:pPr>
        <w:sectPr>
          <w:pgSz w:w="11900" w:h="16838" w:orient="portrait"/>
          <w:cols w:equalWidth="0" w:num="1">
            <w:col w:w="9900"/>
          </w:cols>
          <w:pgMar w:left="980" w:top="517" w:right="101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46" w:name="page247"/>
    <w:bookmarkEnd w:id="246"/>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4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accordance with Section 102(b)(7) of the DGCL, our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Charter, the liability of our directors to us or our stockholders will be eliminated or limited to the fullest extent authorized by the DGCL, as so amended. Any repeal or amendment of provisions of our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5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Our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2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Notwithstanding the foregoing, a person eligible for indemnification pursuant to our Charter will be indemnified by us in connection with a proceeding initiated by such person only if such proceeding was authorized by our board of directors, except for proceedings to enforce rights to indemnification.</w:t>
      </w:r>
    </w:p>
    <w:p>
      <w:pPr>
        <w:spacing w:after="0" w:line="1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right to indemnification which is conferred by our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Charter or otherwise.</w:t>
      </w:r>
    </w:p>
    <w:p>
      <w:pPr>
        <w:spacing w:after="0" w:line="152"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Charter may have or hereafter acquire under law, our Charter, our bylaws (the “Bylaws”), an agreement, vote of stockholders or disinterested directors, or otherwise.</w:t>
      </w:r>
    </w:p>
    <w:p>
      <w:pPr>
        <w:spacing w:after="0" w:line="14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Any repeal or amendment of provisions of our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Charter will also permit us, to the extent and in the manner authorized or permitted by law, to indemnify and to advance expenses to persons other that those specifically covered by our Charter.</w:t>
      </w:r>
    </w:p>
    <w:p>
      <w:pPr>
        <w:spacing w:after="0" w:line="1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Bylaws include the provisions relating to advancement of expenses and indemnification rights consistent with those which are set forth in our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47" w:name="page248"/>
    <w:bookmarkEnd w:id="247"/>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our consummation of the Business Combination, we entered into customary indemnification agreements with our directors and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 of Unregistered Securities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list sets forth information regarding all unregistered securities sold by us since July 1, 2020 (inception):</w:t>
      </w:r>
    </w:p>
    <w:p>
      <w:pPr>
        <w:spacing w:after="0" w:line="185" w:lineRule="exact"/>
        <w:rPr>
          <w:sz w:val="20"/>
          <w:szCs w:val="20"/>
          <w:color w:val="auto"/>
        </w:rPr>
      </w:pPr>
    </w:p>
    <w:p>
      <w:pPr>
        <w:ind w:left="680" w:right="80" w:hanging="321"/>
        <w:spacing w:after="0" w:line="257" w:lineRule="auto"/>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July 20, 2020, AHAC issued 2,875,000 shares of its Class B Common Stock to the Sponsor for $25,000, or approximately $0.01 per share. These Founder Shares included an aggregate of up to 375,000 shares subject to forfeiture if the over-allotment option was not exercised by the underwriters in full in connection with AHAC’s initial public offering. The over-allotment option was not exercised by the underwriters during the 45-day option period; thus, these shares were forfeited accordingly as of November 1, 2020.</w:t>
      </w:r>
    </w:p>
    <w:p>
      <w:pPr>
        <w:spacing w:after="0" w:line="147" w:lineRule="exact"/>
        <w:rPr>
          <w:rFonts w:ascii="Arial" w:cs="Arial" w:eastAsia="Arial" w:hAnsi="Arial"/>
          <w:sz w:val="18"/>
          <w:szCs w:val="18"/>
          <w:color w:val="auto"/>
        </w:rPr>
      </w:pPr>
    </w:p>
    <w:p>
      <w:pPr>
        <w:ind w:left="680" w:hanging="321"/>
        <w:spacing w:after="0" w:line="279" w:lineRule="auto"/>
        <w:tabs>
          <w:tab w:leader="none" w:pos="6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On September 22, 2020, AHAC issued an aggregate of 355,000 units, each consisting of one share of AHAC’s Class A Common Stock and one-half of one warrant, with each warrant exercisable for one share of Class A Common Stock at an exercise price of $11.50 per share. The units were issued to the Sponsor, Oppenheimer &amp; Co. Inc. and Northland Securities, Inc. at a purchase price of $10.00 per unit, generating gross proceeds to the AHAC of $3,550,000.</w:t>
      </w:r>
    </w:p>
    <w:p>
      <w:pPr>
        <w:spacing w:after="0" w:line="144" w:lineRule="exact"/>
        <w:rPr>
          <w:rFonts w:ascii="Arial" w:cs="Arial" w:eastAsia="Arial" w:hAnsi="Arial"/>
          <w:sz w:val="17"/>
          <w:szCs w:val="17"/>
          <w:color w:val="auto"/>
        </w:rPr>
      </w:pPr>
    </w:p>
    <w:p>
      <w:pPr>
        <w:ind w:left="680" w:hanging="321"/>
        <w:spacing w:after="0" w:line="263" w:lineRule="auto"/>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August 26, 2021, concurrently with the closing of the Business Combination, we issued 17,500,000 shares of common stock for an aggregate purchase price of $175.0 million to certain qualified institutional buyers and accredited investors, at a price of $10.00 per share.</w:t>
      </w:r>
    </w:p>
    <w:p>
      <w:pPr>
        <w:spacing w:after="0" w:line="143" w:lineRule="exact"/>
        <w:rPr>
          <w:rFonts w:ascii="Arial" w:cs="Arial" w:eastAsia="Arial" w:hAnsi="Arial"/>
          <w:sz w:val="18"/>
          <w:szCs w:val="18"/>
          <w:color w:val="auto"/>
        </w:rPr>
      </w:pPr>
    </w:p>
    <w:p>
      <w:pPr>
        <w:ind w:left="680" w:right="280" w:hanging="321"/>
        <w:spacing w:after="0" w:line="301" w:lineRule="auto"/>
        <w:tabs>
          <w:tab w:leader="none" w:pos="6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Upon the closing of the Business Combination, unvested options to purchase an aggregate of 8,949,680 shares of Legacy Humacyte common stock at exercise prices of $2.226 to $2.699 per share under the 2015 Plan and the 2005 Plan were automatically and without any required action on the part of any holder or beneficiary thereof, assumed by us and converted into options to purchase an aggregate of 2,350,003 shares of common stock at exercise prices of $8.48 to $10.28.</w:t>
      </w:r>
    </w:p>
    <w:p>
      <w:pPr>
        <w:spacing w:after="0" w:line="11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We believe each of these transactions was exempt from registration under the Securities Act in reliance on Section 4(a)(2) of the Securities Act (and Regulation D promulgated thereunder) as transactions by an issuer not involving any public offering or Rule 701 promulgated under Section 3(b) of the Securities Act as transactions by an issuer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48" w:name="page249"/>
    <w:bookmarkEnd w:id="248"/>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20" w:type="dxa"/>
            <w:vAlign w:val="bottom"/>
            <w:gridSpan w:val="26"/>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20" w:type="dxa"/>
            <w:vAlign w:val="bottom"/>
            <w:gridSpan w:val="2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2.1*</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500" w:type="dxa"/>
            <w:vAlign w:val="bottom"/>
            <w:tcBorders>
              <w:top w:val="single" w:sz="8" w:color="auto"/>
              <w:bottom w:val="single" w:sz="8" w:color="0000EE"/>
            </w:tcBorders>
            <w:gridSpan w:val="24"/>
          </w:tcPr>
          <w:p>
            <w:pPr>
              <w:spacing w:after="0" w:line="169" w:lineRule="exact"/>
              <w:rPr>
                <w:rFonts w:ascii="Arial" w:cs="Arial" w:eastAsia="Arial" w:hAnsi="Arial"/>
                <w:sz w:val="18"/>
                <w:szCs w:val="18"/>
                <w:color w:val="0000EE"/>
                <w:w w:val="90"/>
              </w:rPr>
            </w:pPr>
            <w:hyperlink r:id="rId331">
              <w:r>
                <w:rPr>
                  <w:rFonts w:ascii="Arial" w:cs="Arial" w:eastAsia="Arial" w:hAnsi="Arial"/>
                  <w:sz w:val="18"/>
                  <w:szCs w:val="18"/>
                  <w:color w:val="0000EE"/>
                  <w:w w:val="90"/>
                </w:rPr>
                <w:t>Business Combination Agreement, dated as of February 17, 2021, by and among Alpha Healthcare Acquisition Corp.,</w:t>
              </w:r>
            </w:hyperlink>
          </w:p>
        </w:tc>
        <w:tc>
          <w:tcPr>
            <w:tcW w:w="180" w:type="dxa"/>
            <w:vAlign w:val="bottom"/>
            <w:tcBorders>
              <w:top w:val="single" w:sz="8" w:color="auto"/>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331">
              <w:r>
                <w:rPr>
                  <w:rFonts w:ascii="Arial" w:cs="Arial" w:eastAsia="Arial" w:hAnsi="Arial"/>
                  <w:sz w:val="18"/>
                  <w:szCs w:val="18"/>
                  <w:color w:val="0000EE"/>
                  <w:w w:val="90"/>
                </w:rPr>
                <w:t>Hunter Merger Sub, Inc. and Humacyte, Inc. (incorporated by reference to Annex A to the proxy statement/prospectus</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331">
              <w:r>
                <w:rPr>
                  <w:rFonts w:ascii="Arial" w:cs="Arial" w:eastAsia="Arial" w:hAnsi="Arial"/>
                  <w:sz w:val="18"/>
                  <w:szCs w:val="18"/>
                  <w:color w:val="0000EE"/>
                  <w:w w:val="91"/>
                </w:rPr>
                <w:t>contained in Humacyte, Inc.’s Registration Statement on S-4/A, filed with the SEC on August 2, 2021).</w:t>
              </w:r>
            </w:hyperlink>
          </w:p>
        </w:tc>
        <w:tc>
          <w:tcPr>
            <w:tcW w:w="12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0" w:type="dxa"/>
            <w:vAlign w:val="bottom"/>
            <w:tcBorders>
              <w:bottom w:val="single" w:sz="8" w:color="0000EE"/>
            </w:tcBorders>
            <w:gridSpan w:val="28"/>
          </w:tcPr>
          <w:p>
            <w:pPr>
              <w:spacing w:after="0"/>
              <w:rPr>
                <w:rFonts w:ascii="Arial" w:cs="Arial" w:eastAsia="Arial" w:hAnsi="Arial"/>
                <w:sz w:val="18"/>
                <w:szCs w:val="18"/>
                <w:color w:val="0000EE"/>
                <w:w w:val="91"/>
              </w:rPr>
            </w:pPr>
            <w:hyperlink r:id="rId332">
              <w:r>
                <w:rPr>
                  <w:rFonts w:ascii="Arial" w:cs="Arial" w:eastAsia="Arial" w:hAnsi="Arial"/>
                  <w:sz w:val="18"/>
                  <w:szCs w:val="18"/>
                  <w:color w:val="0000EE"/>
                  <w:w w:val="91"/>
                </w:rPr>
                <w:t>Second Amended and Restated Certificate of Incorporation of Humacyte, Inc. (incorporated by reference to Exhibit 3.1</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332">
              <w:r>
                <w:rPr>
                  <w:rFonts w:ascii="Arial" w:cs="Arial" w:eastAsia="Arial" w:hAnsi="Arial"/>
                  <w:sz w:val="18"/>
                  <w:szCs w:val="18"/>
                  <w:color w:val="0000EE"/>
                  <w:w w:val="92"/>
                </w:rPr>
                <w:t>to Humacyte, Inc.’s Current Report on Form 8-K, filed with the SEC on August 27, 2021).</w:t>
              </w:r>
            </w:hyperlink>
          </w:p>
        </w:tc>
        <w:tc>
          <w:tcPr>
            <w:tcW w:w="21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tcBorders>
              <w:bottom w:val="single" w:sz="8" w:color="0000EE"/>
            </w:tcBorders>
            <w:gridSpan w:val="27"/>
          </w:tcPr>
          <w:p>
            <w:pPr>
              <w:spacing w:after="0"/>
              <w:rPr>
                <w:rFonts w:ascii="Arial" w:cs="Arial" w:eastAsia="Arial" w:hAnsi="Arial"/>
                <w:sz w:val="18"/>
                <w:szCs w:val="18"/>
                <w:color w:val="0000EE"/>
                <w:w w:val="92"/>
              </w:rPr>
            </w:pPr>
            <w:hyperlink r:id="rId333">
              <w:r>
                <w:rPr>
                  <w:rFonts w:ascii="Arial" w:cs="Arial" w:eastAsia="Arial" w:hAnsi="Arial"/>
                  <w:sz w:val="18"/>
                  <w:szCs w:val="18"/>
                  <w:color w:val="0000EE"/>
                  <w:w w:val="92"/>
                </w:rPr>
                <w:t>By Laws of Humacyte, Inc. (incorporated by reference to Exhibit 3.2 to Humacyte, Inc.’s Current Report on Form 8-K,</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333">
              <w:r>
                <w:rPr>
                  <w:rFonts w:ascii="Arial" w:cs="Arial" w:eastAsia="Arial" w:hAnsi="Arial"/>
                  <w:sz w:val="18"/>
                  <w:szCs w:val="18"/>
                  <w:color w:val="0000EE"/>
                  <w:w w:val="91"/>
                </w:rPr>
                <w:t>filed with the SEC on August 27, 2021).</w:t>
              </w:r>
            </w:hyperlink>
          </w:p>
        </w:tc>
        <w:tc>
          <w:tcPr>
            <w:tcW w:w="57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tcBorders>
              <w:bottom w:val="single" w:sz="8" w:color="0000EE"/>
            </w:tcBorders>
            <w:gridSpan w:val="23"/>
          </w:tcPr>
          <w:p>
            <w:pPr>
              <w:spacing w:after="0"/>
              <w:rPr>
                <w:rFonts w:ascii="Arial" w:cs="Arial" w:eastAsia="Arial" w:hAnsi="Arial"/>
                <w:sz w:val="18"/>
                <w:szCs w:val="18"/>
                <w:color w:val="0000EE"/>
                <w:w w:val="90"/>
              </w:rPr>
            </w:pPr>
            <w:hyperlink r:id="rId334">
              <w:r>
                <w:rPr>
                  <w:rFonts w:ascii="Arial" w:cs="Arial" w:eastAsia="Arial" w:hAnsi="Arial"/>
                  <w:sz w:val="18"/>
                  <w:szCs w:val="18"/>
                  <w:color w:val="0000EE"/>
                  <w:w w:val="90"/>
                </w:rPr>
                <w:t>Warrant Agreement, dated September 17, 2020, by and between Alpha Healthcare Acquisition Corp. and Continental</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334">
              <w:r>
                <w:rPr>
                  <w:rFonts w:ascii="Arial" w:cs="Arial" w:eastAsia="Arial" w:hAnsi="Arial"/>
                  <w:sz w:val="18"/>
                  <w:szCs w:val="18"/>
                  <w:color w:val="0000EE"/>
                  <w:w w:val="90"/>
                </w:rPr>
                <w:t>Stock Transfer &amp; Trust Company, as warrant agent (incorporated by reference to Exhibit 4.1 to Alpha Healthcare</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334">
              <w:r>
                <w:rPr>
                  <w:rFonts w:ascii="Arial" w:cs="Arial" w:eastAsia="Arial" w:hAnsi="Arial"/>
                  <w:sz w:val="18"/>
                  <w:szCs w:val="18"/>
                  <w:color w:val="0000EE"/>
                  <w:w w:val="93"/>
                </w:rPr>
                <w:t>Acquisition Corp.’s Annual Report on Form 10-K/A, filed with the SEC on May 14, 2021).</w:t>
              </w:r>
            </w:hyperlink>
          </w:p>
        </w:tc>
        <w:tc>
          <w:tcPr>
            <w:tcW w:w="21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tcBorders>
              <w:bottom w:val="single" w:sz="8" w:color="0000EE"/>
            </w:tcBorders>
            <w:gridSpan w:val="29"/>
          </w:tcPr>
          <w:p>
            <w:pPr>
              <w:spacing w:after="0"/>
              <w:rPr>
                <w:rFonts w:ascii="Arial" w:cs="Arial" w:eastAsia="Arial" w:hAnsi="Arial"/>
                <w:sz w:val="18"/>
                <w:szCs w:val="18"/>
                <w:color w:val="0000EE"/>
                <w:w w:val="91"/>
              </w:rPr>
            </w:pPr>
            <w:hyperlink r:id="rId335">
              <w:r>
                <w:rPr>
                  <w:rFonts w:ascii="Arial" w:cs="Arial" w:eastAsia="Arial" w:hAnsi="Arial"/>
                  <w:sz w:val="18"/>
                  <w:szCs w:val="18"/>
                  <w:color w:val="0000EE"/>
                  <w:w w:val="91"/>
                </w:rPr>
                <w:t>Form of Subscription Agreement (incorporated by reference to Exhibit 10.3 to Humacyte, Inc.’s Registration Statement</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335">
              <w:r>
                <w:rPr>
                  <w:rFonts w:ascii="Arial" w:cs="Arial" w:eastAsia="Arial" w:hAnsi="Arial"/>
                  <w:sz w:val="18"/>
                  <w:szCs w:val="18"/>
                  <w:color w:val="0000EE"/>
                  <w:w w:val="92"/>
                </w:rPr>
                <w:t>on S-4/A, filed with the SEC on August 2, 2021).</w:t>
              </w:r>
            </w:hyperlink>
          </w:p>
        </w:tc>
        <w:tc>
          <w:tcPr>
            <w:tcW w:w="51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bottom w:val="single" w:sz="8" w:color="0000EE"/>
            </w:tcBorders>
            <w:gridSpan w:val="8"/>
          </w:tcPr>
          <w:p>
            <w:pPr>
              <w:spacing w:after="0"/>
              <w:rPr>
                <w:rFonts w:ascii="Arial" w:cs="Arial" w:eastAsia="Arial" w:hAnsi="Arial"/>
                <w:sz w:val="18"/>
                <w:szCs w:val="18"/>
                <w:color w:val="0000EE"/>
                <w:w w:val="92"/>
              </w:rPr>
            </w:pPr>
            <w:hyperlink r:id="rId331">
              <w:r>
                <w:rPr>
                  <w:rFonts w:ascii="Arial" w:cs="Arial" w:eastAsia="Arial" w:hAnsi="Arial"/>
                  <w:sz w:val="18"/>
                  <w:szCs w:val="18"/>
                  <w:color w:val="0000EE"/>
                  <w:w w:val="92"/>
                </w:rPr>
                <w:t>Form of Investor Rights and Lock-up Agreement (included in Exhibit 2.1).</w:t>
              </w:r>
            </w:hyperlink>
          </w:p>
        </w:tc>
        <w:tc>
          <w:tcPr>
            <w:tcW w:w="32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Borders>
              <w:bottom w:val="single" w:sz="8" w:color="0000EE"/>
            </w:tcBorders>
            <w:gridSpan w:val="16"/>
          </w:tcPr>
          <w:p>
            <w:pPr>
              <w:spacing w:after="0"/>
              <w:rPr>
                <w:rFonts w:ascii="Arial" w:cs="Arial" w:eastAsia="Arial" w:hAnsi="Arial"/>
                <w:sz w:val="18"/>
                <w:szCs w:val="18"/>
                <w:color w:val="0000EE"/>
                <w:w w:val="90"/>
              </w:rPr>
            </w:pPr>
            <w:hyperlink r:id="rId336">
              <w:r>
                <w:rPr>
                  <w:rFonts w:ascii="Arial" w:cs="Arial" w:eastAsia="Arial" w:hAnsi="Arial"/>
                  <w:sz w:val="18"/>
                  <w:szCs w:val="18"/>
                  <w:color w:val="0000EE"/>
                  <w:w w:val="90"/>
                </w:rPr>
                <w:t>Warrant to Purchase Common Stock, dated March 30, 2021 (incorporated by reference to Exhibit 10.6.1 to</w:t>
              </w:r>
            </w:hyperlink>
          </w:p>
        </w:tc>
        <w:tc>
          <w:tcPr>
            <w:tcW w:w="10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336">
              <w:r>
                <w:rPr>
                  <w:rFonts w:ascii="Arial" w:cs="Arial" w:eastAsia="Arial" w:hAnsi="Arial"/>
                  <w:sz w:val="18"/>
                  <w:szCs w:val="18"/>
                  <w:color w:val="0000EE"/>
                  <w:w w:val="90"/>
                </w:rPr>
                <w:t>Humacyte, Inc.’s Registration Statement on S-4/A, filed with the SEC on June 14, 2021).</w:t>
              </w:r>
            </w:hyperlink>
          </w:p>
        </w:tc>
        <w:tc>
          <w:tcPr>
            <w:tcW w:w="22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Borders>
              <w:bottom w:val="single" w:sz="8" w:color="0000EE"/>
            </w:tcBorders>
            <w:gridSpan w:val="16"/>
          </w:tcPr>
          <w:p>
            <w:pPr>
              <w:spacing w:after="0"/>
              <w:rPr>
                <w:rFonts w:ascii="Arial" w:cs="Arial" w:eastAsia="Arial" w:hAnsi="Arial"/>
                <w:sz w:val="18"/>
                <w:szCs w:val="18"/>
                <w:color w:val="0000EE"/>
                <w:w w:val="90"/>
              </w:rPr>
            </w:pPr>
            <w:hyperlink r:id="rId337">
              <w:r>
                <w:rPr>
                  <w:rFonts w:ascii="Arial" w:cs="Arial" w:eastAsia="Arial" w:hAnsi="Arial"/>
                  <w:sz w:val="18"/>
                  <w:szCs w:val="18"/>
                  <w:color w:val="0000EE"/>
                  <w:w w:val="90"/>
                </w:rPr>
                <w:t>Warrant to Purchase Common Stock, dated March 30, 2021 (incorporated by reference to Exhibit 10.6.2 to</w:t>
              </w:r>
            </w:hyperlink>
          </w:p>
        </w:tc>
        <w:tc>
          <w:tcPr>
            <w:tcW w:w="10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31"/>
          </w:tcPr>
          <w:p>
            <w:pPr>
              <w:spacing w:after="0" w:line="196" w:lineRule="exact"/>
              <w:rPr>
                <w:rFonts w:ascii="Arial" w:cs="Arial" w:eastAsia="Arial" w:hAnsi="Arial"/>
                <w:sz w:val="18"/>
                <w:szCs w:val="18"/>
                <w:color w:val="0000EE"/>
              </w:rPr>
            </w:pPr>
            <w:hyperlink r:id="rId337">
              <w:r>
                <w:rPr>
                  <w:rFonts w:ascii="Arial" w:cs="Arial" w:eastAsia="Arial" w:hAnsi="Arial"/>
                  <w:sz w:val="18"/>
                  <w:szCs w:val="18"/>
                  <w:color w:val="0000EE"/>
                </w:rPr>
                <w:t>Humacyte, Inc.’s Registration Statement on S-4/A, filed with the SEC on June 14, 2021).</w:t>
              </w:r>
            </w:hyperlink>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3"/>
              </w:rPr>
              <w:t>5.1!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257">
              <w:r>
                <w:rPr>
                  <w:rFonts w:ascii="Arial" w:cs="Arial" w:eastAsia="Arial" w:hAnsi="Arial"/>
                  <w:sz w:val="18"/>
                  <w:szCs w:val="18"/>
                  <w:color w:val="0000EE"/>
                  <w:w w:val="95"/>
                </w:rPr>
                <w:t>Opinion of Covington &amp; Burling LLP.</w:t>
              </w:r>
            </w:hyperlink>
          </w:p>
        </w:tc>
        <w:tc>
          <w:tcPr>
            <w:tcW w:w="3640" w:type="dxa"/>
            <w:vAlign w:val="bottom"/>
            <w:tcBorders>
              <w:top w:val="single" w:sz="8" w:color="0000EE"/>
            </w:tcBorders>
            <w:gridSpan w:val="9"/>
          </w:tcPr>
          <w:p>
            <w:pPr>
              <w:spacing w:after="0"/>
              <w:rPr>
                <w:sz w:val="24"/>
                <w:szCs w:val="24"/>
                <w:color w:val="auto"/>
              </w:rPr>
            </w:pPr>
          </w:p>
        </w:tc>
        <w:tc>
          <w:tcPr>
            <w:tcW w:w="22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EE"/>
            </w:tcBorders>
            <w:gridSpan w:val="26"/>
          </w:tcPr>
          <w:p>
            <w:pPr>
              <w:spacing w:after="0"/>
              <w:rPr>
                <w:rFonts w:ascii="Arial" w:cs="Arial" w:eastAsia="Arial" w:hAnsi="Arial"/>
                <w:sz w:val="18"/>
                <w:szCs w:val="18"/>
                <w:color w:val="0000EE"/>
                <w:w w:val="91"/>
              </w:rPr>
            </w:pPr>
            <w:hyperlink r:id="rId338">
              <w:r>
                <w:rPr>
                  <w:rFonts w:ascii="Arial" w:cs="Arial" w:eastAsia="Arial" w:hAnsi="Arial"/>
                  <w:sz w:val="18"/>
                  <w:szCs w:val="18"/>
                  <w:color w:val="0000EE"/>
                  <w:w w:val="91"/>
                </w:rPr>
                <w:t>Form of Lock-up Agreement (incorporated by reference to Exhibit 10.1 to Humacyte, Inc.’s Registration Statement on</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31"/>
          </w:tcPr>
          <w:p>
            <w:pPr>
              <w:spacing w:after="0" w:line="196" w:lineRule="exact"/>
              <w:rPr>
                <w:rFonts w:ascii="Arial" w:cs="Arial" w:eastAsia="Arial" w:hAnsi="Arial"/>
                <w:sz w:val="18"/>
                <w:szCs w:val="18"/>
                <w:color w:val="0000EE"/>
              </w:rPr>
            </w:pPr>
            <w:hyperlink r:id="rId338">
              <w:r>
                <w:rPr>
                  <w:rFonts w:ascii="Arial" w:cs="Arial" w:eastAsia="Arial" w:hAnsi="Arial"/>
                  <w:sz w:val="18"/>
                  <w:szCs w:val="18"/>
                  <w:color w:val="0000EE"/>
                </w:rPr>
                <w:t>S-4/A, filed with the SEC on August 2,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tcBorders>
              <w:bottom w:val="single" w:sz="8" w:color="0000EE"/>
            </w:tcBorders>
            <w:gridSpan w:val="29"/>
          </w:tcPr>
          <w:p>
            <w:pPr>
              <w:spacing w:after="0"/>
              <w:rPr>
                <w:rFonts w:ascii="Arial" w:cs="Arial" w:eastAsia="Arial" w:hAnsi="Arial"/>
                <w:sz w:val="18"/>
                <w:szCs w:val="18"/>
                <w:color w:val="0000EE"/>
                <w:w w:val="91"/>
              </w:rPr>
            </w:pPr>
            <w:hyperlink r:id="rId339">
              <w:r>
                <w:rPr>
                  <w:rFonts w:ascii="Arial" w:cs="Arial" w:eastAsia="Arial" w:hAnsi="Arial"/>
                  <w:sz w:val="18"/>
                  <w:szCs w:val="18"/>
                  <w:color w:val="0000EE"/>
                  <w:w w:val="91"/>
                </w:rPr>
                <w:t>Loan and Security Agreement, dated March 30, 2021, by and among Silicon Valley Bank, SVB Innovation Credit Fund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339">
              <w:r>
                <w:rPr>
                  <w:rFonts w:ascii="Arial" w:cs="Arial" w:eastAsia="Arial" w:hAnsi="Arial"/>
                  <w:sz w:val="18"/>
                  <w:szCs w:val="18"/>
                  <w:color w:val="0000EE"/>
                  <w:w w:val="91"/>
                </w:rPr>
                <w:t>VIII, L.P. and Humacyte Global, Inc. (incorporated by reference to Exhibit 10.6 to Humacyte, Inc.’s Registration</w:t>
              </w:r>
            </w:hyperlink>
          </w:p>
        </w:tc>
        <w:tc>
          <w:tcPr>
            <w:tcW w:w="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339">
              <w:r>
                <w:rPr>
                  <w:rFonts w:ascii="Arial" w:cs="Arial" w:eastAsia="Arial" w:hAnsi="Arial"/>
                  <w:sz w:val="18"/>
                  <w:szCs w:val="18"/>
                  <w:color w:val="0000EE"/>
                  <w:w w:val="90"/>
                </w:rPr>
                <w:t>Statement on S-4/A, filed with the SEC on June 14, 2021).</w:t>
              </w:r>
            </w:hyperlink>
          </w:p>
        </w:tc>
        <w:tc>
          <w:tcPr>
            <w:tcW w:w="44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7"/>
              </w:rPr>
              <w:t>10.2.1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20" w:type="dxa"/>
            <w:vAlign w:val="bottom"/>
            <w:tcBorders>
              <w:bottom w:val="single" w:sz="8" w:color="0000EE"/>
            </w:tcBorders>
            <w:gridSpan w:val="21"/>
          </w:tcPr>
          <w:p>
            <w:pPr>
              <w:spacing w:after="0"/>
              <w:rPr>
                <w:rFonts w:ascii="Arial" w:cs="Arial" w:eastAsia="Arial" w:hAnsi="Arial"/>
                <w:sz w:val="18"/>
                <w:szCs w:val="18"/>
                <w:color w:val="0000EE"/>
                <w:w w:val="90"/>
              </w:rPr>
            </w:pPr>
            <w:hyperlink r:id="rId340">
              <w:r>
                <w:rPr>
                  <w:rFonts w:ascii="Arial" w:cs="Arial" w:eastAsia="Arial" w:hAnsi="Arial"/>
                  <w:sz w:val="18"/>
                  <w:szCs w:val="18"/>
                  <w:color w:val="0000EE"/>
                  <w:w w:val="90"/>
                </w:rPr>
                <w:t>First Amendment to Loan and Security Agreement, dated June 30, 2021, by and among Silicon Valley Bank, SVB</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31"/>
          </w:tcPr>
          <w:p>
            <w:pPr>
              <w:spacing w:after="0" w:line="196" w:lineRule="exact"/>
              <w:rPr>
                <w:rFonts w:ascii="Arial" w:cs="Arial" w:eastAsia="Arial" w:hAnsi="Arial"/>
                <w:sz w:val="18"/>
                <w:szCs w:val="18"/>
                <w:color w:val="0000EE"/>
              </w:rPr>
            </w:pPr>
            <w:hyperlink r:id="rId340">
              <w:r>
                <w:rPr>
                  <w:rFonts w:ascii="Arial" w:cs="Arial" w:eastAsia="Arial" w:hAnsi="Arial"/>
                  <w:sz w:val="18"/>
                  <w:szCs w:val="18"/>
                  <w:color w:val="0000EE"/>
                </w:rPr>
                <w:t>Innovation Credit Fund VIII, L.P. and Humacyte Global, Inc. (incorporated by reference to Exhibit 10.6.1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340">
              <w:r>
                <w:rPr>
                  <w:rFonts w:ascii="Arial" w:cs="Arial" w:eastAsia="Arial" w:hAnsi="Arial"/>
                  <w:sz w:val="18"/>
                  <w:szCs w:val="18"/>
                  <w:color w:val="0000EE"/>
                  <w:w w:val="91"/>
                </w:rPr>
                <w:t>Humacyte, Inc.’s Registration Statement on S-4/A, filed with the SEC on July 23, 2021).</w:t>
              </w:r>
            </w:hyperlink>
          </w:p>
        </w:tc>
        <w:tc>
          <w:tcPr>
            <w:tcW w:w="1400" w:type="dxa"/>
            <w:vAlign w:val="bottom"/>
            <w:tcBorders>
              <w:top w:val="single" w:sz="8" w:color="0000EE"/>
            </w:tcBorders>
            <w:gridSpan w:val="7"/>
          </w:tcPr>
          <w:p>
            <w:pPr>
              <w:spacing w:after="0"/>
              <w:rPr>
                <w:sz w:val="17"/>
                <w:szCs w:val="17"/>
                <w:color w:val="auto"/>
              </w:rPr>
            </w:pPr>
          </w:p>
        </w:tc>
        <w:tc>
          <w:tcPr>
            <w:tcW w:w="9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4"/>
              </w:rPr>
              <w:t>10.2.2!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2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259">
              <w:r>
                <w:rPr>
                  <w:rFonts w:ascii="Arial" w:cs="Arial" w:eastAsia="Arial" w:hAnsi="Arial"/>
                  <w:sz w:val="18"/>
                  <w:szCs w:val="18"/>
                  <w:color w:val="0000EE"/>
                  <w:w w:val="89"/>
                </w:rPr>
                <w:t>Second Amendment to Loan and Security Agreement, dated as of September 17, 2021, by and among Humacyte, Inc.,</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259">
              <w:r>
                <w:rPr>
                  <w:rFonts w:ascii="Arial" w:cs="Arial" w:eastAsia="Arial" w:hAnsi="Arial"/>
                  <w:sz w:val="18"/>
                  <w:szCs w:val="18"/>
                  <w:color w:val="0000EE"/>
                  <w:w w:val="93"/>
                </w:rPr>
                <w:t>Humacyte Global, Inc., Silicon Valley Bank and SVB Innovation Credit Fund VIII, L.P.</w:t>
              </w:r>
            </w:hyperlink>
          </w:p>
        </w:tc>
        <w:tc>
          <w:tcPr>
            <w:tcW w:w="23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10.3</w:t>
            </w:r>
            <w:r>
              <w:rPr>
                <w:rFonts w:ascii="Arial" w:cs="Arial" w:eastAsia="Arial" w:hAnsi="Arial"/>
                <w:sz w:val="26"/>
                <w:szCs w:val="26"/>
                <w:color w:val="auto"/>
                <w:w w:val="84"/>
                <w:vertAlign w:val="superscript"/>
              </w:rPr>
              <w:t>˄</w:t>
            </w:r>
          </w:p>
        </w:tc>
        <w:tc>
          <w:tcPr>
            <w:tcW w:w="20" w:type="dxa"/>
            <w:vAlign w:val="bottom"/>
          </w:tcPr>
          <w:p>
            <w:pPr>
              <w:spacing w:after="0"/>
              <w:rPr>
                <w:sz w:val="24"/>
                <w:szCs w:val="24"/>
                <w:color w:val="auto"/>
              </w:rPr>
            </w:pPr>
          </w:p>
        </w:tc>
        <w:tc>
          <w:tcPr>
            <w:tcW w:w="8680" w:type="dxa"/>
            <w:vAlign w:val="bottom"/>
            <w:gridSpan w:val="31"/>
          </w:tcPr>
          <w:p>
            <w:pPr>
              <w:spacing w:after="0"/>
              <w:rPr>
                <w:rFonts w:ascii="Arial" w:cs="Arial" w:eastAsia="Arial" w:hAnsi="Arial"/>
                <w:sz w:val="18"/>
                <w:szCs w:val="18"/>
                <w:color w:val="0000EE"/>
                <w:w w:val="93"/>
              </w:rPr>
            </w:pPr>
            <w:hyperlink r:id="rId341">
              <w:r>
                <w:rPr>
                  <w:rFonts w:ascii="Arial" w:cs="Arial" w:eastAsia="Arial" w:hAnsi="Arial"/>
                  <w:sz w:val="18"/>
                  <w:szCs w:val="18"/>
                  <w:color w:val="0000EE"/>
                  <w:w w:val="93"/>
                </w:rPr>
                <w:t>Distribution Agreement, dated June 25, 2018, by and between Fresenius Medical Care Holdings, Inc. and Humacyte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3680" w:type="dxa"/>
            <w:vAlign w:val="bottom"/>
            <w:gridSpan w:val="1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341">
              <w:r>
                <w:rPr>
                  <w:rFonts w:ascii="Arial" w:cs="Arial" w:eastAsia="Arial" w:hAnsi="Arial"/>
                  <w:sz w:val="18"/>
                  <w:szCs w:val="18"/>
                  <w:color w:val="0000EE"/>
                  <w:w w:val="91"/>
                </w:rPr>
                <w:t>Global, Inc. (incorporated by reference to Exhibit 10.6 to Humacyte, Inc.’s Registration Statement on S-4, filed with the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31"/>
          </w:tcPr>
          <w:p>
            <w:pPr>
              <w:spacing w:after="0" w:line="196" w:lineRule="exact"/>
              <w:rPr>
                <w:rFonts w:ascii="Arial" w:cs="Arial" w:eastAsia="Arial" w:hAnsi="Arial"/>
                <w:sz w:val="18"/>
                <w:szCs w:val="18"/>
                <w:color w:val="0000EE"/>
              </w:rPr>
            </w:pPr>
            <w:hyperlink r:id="rId341">
              <w:r>
                <w:rPr>
                  <w:rFonts w:ascii="Arial" w:cs="Arial" w:eastAsia="Arial" w:hAnsi="Arial"/>
                  <w:sz w:val="18"/>
                  <w:szCs w:val="18"/>
                  <w:color w:val="0000EE"/>
                </w:rPr>
                <w:t>SEC on March 23, 2021).</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6"/>
              </w:rPr>
              <w:t>10.3.1</w:t>
            </w:r>
            <w:r>
              <w:rPr>
                <w:rFonts w:ascii="Arial" w:cs="Arial" w:eastAsia="Arial" w:hAnsi="Arial"/>
                <w:sz w:val="26"/>
                <w:szCs w:val="26"/>
                <w:color w:val="auto"/>
                <w:w w:val="86"/>
                <w:vertAlign w:val="superscript"/>
              </w:rPr>
              <w:t>˄</w:t>
            </w:r>
          </w:p>
        </w:tc>
        <w:tc>
          <w:tcPr>
            <w:tcW w:w="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3680" w:type="dxa"/>
            <w:vAlign w:val="bottom"/>
            <w:gridSpan w:val="12"/>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31"/>
          </w:tcPr>
          <w:p>
            <w:pPr>
              <w:spacing w:after="0"/>
              <w:rPr>
                <w:rFonts w:ascii="Arial" w:cs="Arial" w:eastAsia="Arial" w:hAnsi="Arial"/>
                <w:sz w:val="18"/>
                <w:szCs w:val="18"/>
                <w:color w:val="0000EE"/>
                <w:w w:val="99"/>
              </w:rPr>
            </w:pPr>
            <w:hyperlink r:id="rId342">
              <w:r>
                <w:rPr>
                  <w:rFonts w:ascii="Arial" w:cs="Arial" w:eastAsia="Arial" w:hAnsi="Arial"/>
                  <w:sz w:val="18"/>
                  <w:szCs w:val="18"/>
                  <w:color w:val="0000EE"/>
                  <w:w w:val="99"/>
                </w:rPr>
                <w:t>First Amendment to Distribution Agreement, dated October 2, 2019, by and between Fresenius Medical Care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6"/>
            <w:shd w:val="clear" w:color="auto" w:fill="0000EE"/>
          </w:tcPr>
          <w:p>
            <w:pPr>
              <w:spacing w:after="0" w:line="20" w:lineRule="exact"/>
              <w:rPr>
                <w:sz w:val="1"/>
                <w:szCs w:val="1"/>
                <w:color w:val="auto"/>
              </w:rPr>
            </w:pPr>
          </w:p>
        </w:tc>
        <w:tc>
          <w:tcPr>
            <w:tcW w:w="3680" w:type="dxa"/>
            <w:vAlign w:val="bottom"/>
            <w:gridSpan w:val="12"/>
            <w:shd w:val="clear" w:color="auto" w:fill="0000EE"/>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342">
              <w:r>
                <w:rPr>
                  <w:rFonts w:ascii="Arial" w:cs="Arial" w:eastAsia="Arial" w:hAnsi="Arial"/>
                  <w:sz w:val="18"/>
                  <w:szCs w:val="18"/>
                  <w:color w:val="0000EE"/>
                  <w:w w:val="91"/>
                </w:rPr>
                <w:t>Holdings, Inc. and Humacyte Global, Inc. (incorporated by reference to Exhibit 10.6.1 to Humacyte, Inc.’s Registration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342">
              <w:r>
                <w:rPr>
                  <w:rFonts w:ascii="Arial" w:cs="Arial" w:eastAsia="Arial" w:hAnsi="Arial"/>
                  <w:sz w:val="18"/>
                  <w:szCs w:val="18"/>
                  <w:color w:val="0000EE"/>
                  <w:w w:val="90"/>
                </w:rPr>
                <w:t>Statement on S-4, filed with the SEC on March 23, 2021).</w:t>
              </w:r>
            </w:hyperlink>
          </w:p>
        </w:tc>
        <w:tc>
          <w:tcPr>
            <w:tcW w:w="45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9" w:name="page250"/>
    <w:bookmarkEnd w:id="249"/>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2"/>
            <w:vMerge w:val="restart"/>
          </w:tcPr>
          <w:p>
            <w:pPr>
              <w:ind w:left="1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4"/>
                <w:szCs w:val="14"/>
                <w:color w:val="auto"/>
              </w:rPr>
              <w:t>10.3.2</w:t>
            </w:r>
            <w:r>
              <w:rPr>
                <w:rFonts w:ascii="Arial" w:cs="Arial" w:eastAsia="Arial" w:hAnsi="Arial"/>
                <w:sz w:val="19"/>
                <w:szCs w:val="19"/>
                <w:color w:val="auto"/>
                <w:vertAlign w:val="superscript"/>
              </w:rPr>
              <w:t>˄</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680" w:type="dxa"/>
            <w:vAlign w:val="bottom"/>
            <w:tcBorders>
              <w:top w:val="single" w:sz="8" w:color="auto"/>
            </w:tcBorders>
            <w:gridSpan w:val="28"/>
          </w:tcPr>
          <w:p>
            <w:pPr>
              <w:spacing w:after="0" w:line="169" w:lineRule="exact"/>
              <w:rPr>
                <w:rFonts w:ascii="Arial" w:cs="Arial" w:eastAsia="Arial" w:hAnsi="Arial"/>
                <w:sz w:val="18"/>
                <w:szCs w:val="18"/>
                <w:color w:val="0000EE"/>
                <w:w w:val="92"/>
              </w:rPr>
            </w:pPr>
            <w:hyperlink r:id="rId344">
              <w:r>
                <w:rPr>
                  <w:rFonts w:ascii="Arial" w:cs="Arial" w:eastAsia="Arial" w:hAnsi="Arial"/>
                  <w:sz w:val="18"/>
                  <w:szCs w:val="18"/>
                  <w:color w:val="0000EE"/>
                  <w:w w:val="92"/>
                </w:rPr>
                <w:t>Second Amendment to Distribution Agreement, effective as of February 16, 2021, by and between Fresenius Medical</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344">
              <w:r>
                <w:rPr>
                  <w:rFonts w:ascii="Arial" w:cs="Arial" w:eastAsia="Arial" w:hAnsi="Arial"/>
                  <w:sz w:val="18"/>
                  <w:szCs w:val="18"/>
                  <w:color w:val="0000EE"/>
                  <w:w w:val="91"/>
                </w:rPr>
                <w:t>Care Holdings, Inc. and Humacyte Global, Inc. (incorporated by reference to Exhibit 10.6.2 to Humacyte, Inc.’s</w:t>
              </w:r>
            </w:hyperlink>
          </w:p>
        </w:tc>
        <w:tc>
          <w:tcPr>
            <w:tcW w:w="400" w:type="dxa"/>
            <w:vAlign w:val="bottom"/>
            <w:tcBorders>
              <w:top w:val="single" w:sz="8" w:color="0000EE"/>
            </w:tcBorders>
            <w:gridSpan w:val="11"/>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8"/>
          </w:tcPr>
          <w:p>
            <w:pPr>
              <w:spacing w:after="0" w:line="196" w:lineRule="exact"/>
              <w:rPr>
                <w:rFonts w:ascii="Arial" w:cs="Arial" w:eastAsia="Arial" w:hAnsi="Arial"/>
                <w:sz w:val="18"/>
                <w:szCs w:val="18"/>
                <w:color w:val="0000EE"/>
              </w:rPr>
            </w:pPr>
            <w:hyperlink r:id="rId344">
              <w:r>
                <w:rPr>
                  <w:rFonts w:ascii="Arial" w:cs="Arial" w:eastAsia="Arial" w:hAnsi="Arial"/>
                  <w:sz w:val="18"/>
                  <w:szCs w:val="18"/>
                  <w:color w:val="0000EE"/>
                </w:rPr>
                <w:t>Registration Statement on S-4, filed with the SEC on March 23, 2021).</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4"/>
              </w:rPr>
              <w:t>10.4</w:t>
            </w:r>
            <w:r>
              <w:rPr>
                <w:rFonts w:ascii="Arial" w:cs="Arial" w:eastAsia="Arial" w:hAnsi="Arial"/>
                <w:sz w:val="26"/>
                <w:szCs w:val="26"/>
                <w:color w:val="auto"/>
                <w:w w:val="84"/>
                <w:vertAlign w:val="superscript"/>
              </w:rPr>
              <w:t>˄</w:t>
            </w: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380" w:type="dxa"/>
            <w:vAlign w:val="bottom"/>
            <w:tcBorders>
              <w:bottom w:val="single" w:sz="8" w:color="0000EE"/>
            </w:tcBorders>
            <w:gridSpan w:val="17"/>
          </w:tcPr>
          <w:p>
            <w:pPr>
              <w:spacing w:after="0"/>
              <w:rPr>
                <w:rFonts w:ascii="Arial" w:cs="Arial" w:eastAsia="Arial" w:hAnsi="Arial"/>
                <w:sz w:val="18"/>
                <w:szCs w:val="18"/>
                <w:color w:val="0000EE"/>
                <w:w w:val="90"/>
              </w:rPr>
            </w:pPr>
            <w:hyperlink r:id="rId345">
              <w:r>
                <w:rPr>
                  <w:rFonts w:ascii="Arial" w:cs="Arial" w:eastAsia="Arial" w:hAnsi="Arial"/>
                  <w:sz w:val="18"/>
                  <w:szCs w:val="18"/>
                  <w:color w:val="0000EE"/>
                  <w:w w:val="90"/>
                </w:rPr>
                <w:t>Exclusive License Agreement, dated February 25, 2014, by and between Yale University and Humacyte Global, Inc.</w:t>
              </w:r>
            </w:hyperlink>
          </w:p>
        </w:tc>
        <w:tc>
          <w:tcPr>
            <w:tcW w:w="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345">
              <w:r>
                <w:rPr>
                  <w:rFonts w:ascii="Arial" w:cs="Arial" w:eastAsia="Arial" w:hAnsi="Arial"/>
                  <w:sz w:val="18"/>
                  <w:szCs w:val="18"/>
                  <w:color w:val="0000EE"/>
                  <w:w w:val="91"/>
                </w:rPr>
                <w:t>(incorporated by reference to Exhibit 10.8 to Humacyte, Inc.’s Registration Statement on S-4/A, filed with the SEC on</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8"/>
          </w:tcPr>
          <w:p>
            <w:pPr>
              <w:spacing w:after="0" w:line="196" w:lineRule="exact"/>
              <w:rPr>
                <w:rFonts w:ascii="Arial" w:cs="Arial" w:eastAsia="Arial" w:hAnsi="Arial"/>
                <w:sz w:val="18"/>
                <w:szCs w:val="18"/>
                <w:color w:val="0000EE"/>
              </w:rPr>
            </w:pPr>
            <w:hyperlink r:id="rId345">
              <w:r>
                <w:rPr>
                  <w:rFonts w:ascii="Arial" w:cs="Arial" w:eastAsia="Arial" w:hAnsi="Arial"/>
                  <w:sz w:val="18"/>
                  <w:szCs w:val="18"/>
                  <w:color w:val="0000EE"/>
                </w:rPr>
                <w:t>June 14, 2021).</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4"/>
              </w:rPr>
              <w:t>10.5</w:t>
            </w:r>
            <w:r>
              <w:rPr>
                <w:rFonts w:ascii="Arial" w:cs="Arial" w:eastAsia="Arial" w:hAnsi="Arial"/>
                <w:sz w:val="26"/>
                <w:szCs w:val="26"/>
                <w:color w:val="auto"/>
                <w:w w:val="84"/>
                <w:vertAlign w:val="superscript"/>
              </w:rPr>
              <w:t>˄</w:t>
            </w: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260" w:type="dxa"/>
            <w:vAlign w:val="bottom"/>
            <w:tcBorders>
              <w:bottom w:val="single" w:sz="8" w:color="0000EE"/>
            </w:tcBorders>
            <w:gridSpan w:val="15"/>
          </w:tcPr>
          <w:p>
            <w:pPr>
              <w:spacing w:after="0"/>
              <w:rPr>
                <w:rFonts w:ascii="Arial" w:cs="Arial" w:eastAsia="Arial" w:hAnsi="Arial"/>
                <w:sz w:val="18"/>
                <w:szCs w:val="18"/>
                <w:color w:val="0000EE"/>
                <w:w w:val="90"/>
              </w:rPr>
            </w:pPr>
            <w:hyperlink r:id="rId346">
              <w:r>
                <w:rPr>
                  <w:rFonts w:ascii="Arial" w:cs="Arial" w:eastAsia="Arial" w:hAnsi="Arial"/>
                  <w:sz w:val="18"/>
                  <w:szCs w:val="18"/>
                  <w:color w:val="0000EE"/>
                  <w:w w:val="90"/>
                </w:rPr>
                <w:t>Exclusive License Agreement, dated August 13, 2019, by and between Yale University and Humacyte Global, Inc.</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346">
              <w:r>
                <w:rPr>
                  <w:rFonts w:ascii="Arial" w:cs="Arial" w:eastAsia="Arial" w:hAnsi="Arial"/>
                  <w:sz w:val="18"/>
                  <w:szCs w:val="18"/>
                  <w:color w:val="0000EE"/>
                  <w:w w:val="91"/>
                </w:rPr>
                <w:t>(incorporated by reference to Exhibit 10.9 to Humacyte, Inc.’s Registration Statement on S-4/A, filed with the SEC on</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8"/>
          </w:tcPr>
          <w:p>
            <w:pPr>
              <w:spacing w:after="0" w:line="196" w:lineRule="exact"/>
              <w:rPr>
                <w:rFonts w:ascii="Arial" w:cs="Arial" w:eastAsia="Arial" w:hAnsi="Arial"/>
                <w:sz w:val="18"/>
                <w:szCs w:val="18"/>
                <w:color w:val="0000EE"/>
              </w:rPr>
            </w:pPr>
            <w:hyperlink r:id="rId346">
              <w:r>
                <w:rPr>
                  <w:rFonts w:ascii="Arial" w:cs="Arial" w:eastAsia="Arial" w:hAnsi="Arial"/>
                  <w:sz w:val="18"/>
                  <w:szCs w:val="18"/>
                  <w:color w:val="0000EE"/>
                </w:rPr>
                <w:t>June 14, 2021).</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4"/>
              </w:rPr>
              <w:t>10.6</w:t>
            </w:r>
            <w:r>
              <w:rPr>
                <w:rFonts w:ascii="Arial" w:cs="Arial" w:eastAsia="Arial" w:hAnsi="Arial"/>
                <w:sz w:val="26"/>
                <w:szCs w:val="26"/>
                <w:color w:val="auto"/>
                <w:w w:val="84"/>
                <w:vertAlign w:val="superscript"/>
              </w:rPr>
              <w:t>˄</w:t>
            </w: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260" w:type="dxa"/>
            <w:vAlign w:val="bottom"/>
            <w:tcBorders>
              <w:bottom w:val="single" w:sz="8" w:color="0000EE"/>
            </w:tcBorders>
            <w:gridSpan w:val="15"/>
          </w:tcPr>
          <w:p>
            <w:pPr>
              <w:spacing w:after="0"/>
              <w:rPr>
                <w:rFonts w:ascii="Arial" w:cs="Arial" w:eastAsia="Arial" w:hAnsi="Arial"/>
                <w:sz w:val="18"/>
                <w:szCs w:val="18"/>
                <w:color w:val="0000EE"/>
                <w:w w:val="90"/>
              </w:rPr>
            </w:pPr>
            <w:hyperlink r:id="rId347">
              <w:r>
                <w:rPr>
                  <w:rFonts w:ascii="Arial" w:cs="Arial" w:eastAsia="Arial" w:hAnsi="Arial"/>
                  <w:sz w:val="18"/>
                  <w:szCs w:val="18"/>
                  <w:color w:val="0000EE"/>
                  <w:w w:val="90"/>
                </w:rPr>
                <w:t>Exclusive License Agreement, dated August 25, 2019, by and between Yale University and Humacyte Global, Inc.</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347">
              <w:r>
                <w:rPr>
                  <w:rFonts w:ascii="Arial" w:cs="Arial" w:eastAsia="Arial" w:hAnsi="Arial"/>
                  <w:sz w:val="18"/>
                  <w:szCs w:val="18"/>
                  <w:color w:val="0000EE"/>
                  <w:w w:val="91"/>
                </w:rPr>
                <w:t>(incorporated by reference to Exhibit 10.10 to Humacyte, Inc.’s Registration Statement on S-4/A, filed with the SEC 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8"/>
          </w:tcPr>
          <w:p>
            <w:pPr>
              <w:spacing w:after="0" w:line="196" w:lineRule="exact"/>
              <w:rPr>
                <w:rFonts w:ascii="Arial" w:cs="Arial" w:eastAsia="Arial" w:hAnsi="Arial"/>
                <w:sz w:val="18"/>
                <w:szCs w:val="18"/>
                <w:color w:val="0000EE"/>
              </w:rPr>
            </w:pPr>
            <w:hyperlink r:id="rId347">
              <w:r>
                <w:rPr>
                  <w:rFonts w:ascii="Arial" w:cs="Arial" w:eastAsia="Arial" w:hAnsi="Arial"/>
                  <w:sz w:val="18"/>
                  <w:szCs w:val="18"/>
                  <w:color w:val="0000EE"/>
                </w:rPr>
                <w:t>June 14, 2021).</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4"/>
              </w:rPr>
              <w:t>10.7</w:t>
            </w:r>
            <w:r>
              <w:rPr>
                <w:rFonts w:ascii="Arial" w:cs="Arial" w:eastAsia="Arial" w:hAnsi="Arial"/>
                <w:sz w:val="26"/>
                <w:szCs w:val="26"/>
                <w:color w:val="auto"/>
                <w:w w:val="84"/>
                <w:vertAlign w:val="superscript"/>
              </w:rPr>
              <w:t>˄</w:t>
            </w: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240" w:type="dxa"/>
            <w:vAlign w:val="bottom"/>
            <w:tcBorders>
              <w:bottom w:val="single" w:sz="8" w:color="0000EE"/>
            </w:tcBorders>
            <w:gridSpan w:val="14"/>
          </w:tcPr>
          <w:p>
            <w:pPr>
              <w:spacing w:after="0"/>
              <w:rPr>
                <w:rFonts w:ascii="Arial" w:cs="Arial" w:eastAsia="Arial" w:hAnsi="Arial"/>
                <w:sz w:val="18"/>
                <w:szCs w:val="18"/>
                <w:color w:val="0000EE"/>
                <w:w w:val="90"/>
              </w:rPr>
            </w:pPr>
            <w:hyperlink r:id="rId348">
              <w:r>
                <w:rPr>
                  <w:rFonts w:ascii="Arial" w:cs="Arial" w:eastAsia="Arial" w:hAnsi="Arial"/>
                  <w:sz w:val="18"/>
                  <w:szCs w:val="18"/>
                  <w:color w:val="0000EE"/>
                  <w:w w:val="90"/>
                </w:rPr>
                <w:t>Exclusive Patent License Agreement, dated March 14, 2006, between Duke University and Humacyte Global, Inc.</w:t>
              </w:r>
            </w:hyperlink>
          </w:p>
        </w:tc>
        <w:tc>
          <w:tcPr>
            <w:tcW w:w="4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348">
              <w:r>
                <w:rPr>
                  <w:rFonts w:ascii="Arial" w:cs="Arial" w:eastAsia="Arial" w:hAnsi="Arial"/>
                  <w:sz w:val="18"/>
                  <w:szCs w:val="18"/>
                  <w:color w:val="0000EE"/>
                  <w:w w:val="91"/>
                </w:rPr>
                <w:t>(incorporated by reference to Exhibit 10.10 to Humacyte, Inc.’s Registration Statement on S-4, filed with the SEC on</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8"/>
          </w:tcPr>
          <w:p>
            <w:pPr>
              <w:spacing w:after="0" w:line="196" w:lineRule="exact"/>
              <w:rPr>
                <w:rFonts w:ascii="Arial" w:cs="Arial" w:eastAsia="Arial" w:hAnsi="Arial"/>
                <w:sz w:val="18"/>
                <w:szCs w:val="18"/>
                <w:color w:val="0000EE"/>
              </w:rPr>
            </w:pPr>
            <w:hyperlink r:id="rId348">
              <w:r>
                <w:rPr>
                  <w:rFonts w:ascii="Arial" w:cs="Arial" w:eastAsia="Arial" w:hAnsi="Arial"/>
                  <w:sz w:val="18"/>
                  <w:szCs w:val="18"/>
                  <w:color w:val="0000EE"/>
                </w:rPr>
                <w:t>March 23, 2021).</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6"/>
              </w:rPr>
              <w:t>10.7.1</w:t>
            </w:r>
            <w:r>
              <w:rPr>
                <w:rFonts w:ascii="Arial" w:cs="Arial" w:eastAsia="Arial" w:hAnsi="Arial"/>
                <w:sz w:val="26"/>
                <w:szCs w:val="26"/>
                <w:color w:val="auto"/>
                <w:w w:val="86"/>
                <w:vertAlign w:val="superscript"/>
              </w:rPr>
              <w:t>˄</w:t>
            </w: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220" w:type="dxa"/>
            <w:vAlign w:val="bottom"/>
            <w:tcBorders>
              <w:bottom w:val="single" w:sz="8" w:color="0000EE"/>
            </w:tcBorders>
            <w:gridSpan w:val="13"/>
          </w:tcPr>
          <w:p>
            <w:pPr>
              <w:spacing w:after="0"/>
              <w:rPr>
                <w:rFonts w:ascii="Arial" w:cs="Arial" w:eastAsia="Arial" w:hAnsi="Arial"/>
                <w:sz w:val="18"/>
                <w:szCs w:val="18"/>
                <w:color w:val="0000EE"/>
                <w:w w:val="90"/>
              </w:rPr>
            </w:pPr>
            <w:hyperlink r:id="rId349">
              <w:r>
                <w:rPr>
                  <w:rFonts w:ascii="Arial" w:cs="Arial" w:eastAsia="Arial" w:hAnsi="Arial"/>
                  <w:sz w:val="18"/>
                  <w:szCs w:val="18"/>
                  <w:color w:val="0000EE"/>
                  <w:w w:val="90"/>
                </w:rPr>
                <w:t>First Amendment to Exclusive Patent License Agreement, dated February 25, 2011, between Duke University and</w:t>
              </w:r>
            </w:hyperlink>
          </w:p>
        </w:tc>
        <w:tc>
          <w:tcPr>
            <w:tcW w:w="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49">
              <w:r>
                <w:rPr>
                  <w:rFonts w:ascii="Arial" w:cs="Arial" w:eastAsia="Arial" w:hAnsi="Arial"/>
                  <w:sz w:val="18"/>
                  <w:szCs w:val="18"/>
                  <w:color w:val="0000EE"/>
                  <w:w w:val="91"/>
                </w:rPr>
                <w:t>Humacyte Global, Inc. (incorporated by reference to Exhibit 10.10.1 to Humacyte, Inc.’s Registration Statement on S-4,</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49">
              <w:r>
                <w:rPr>
                  <w:rFonts w:ascii="Arial" w:cs="Arial" w:eastAsia="Arial" w:hAnsi="Arial"/>
                  <w:sz w:val="18"/>
                  <w:szCs w:val="18"/>
                  <w:color w:val="0000EE"/>
                  <w:w w:val="92"/>
                </w:rPr>
                <w:t>filed with the SEC on March 23, 2021).</w:t>
              </w:r>
            </w:hyperlink>
          </w:p>
        </w:tc>
        <w:tc>
          <w:tcPr>
            <w:tcW w:w="58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10.7.2</w:t>
            </w:r>
            <w:r>
              <w:rPr>
                <w:rFonts w:ascii="Arial" w:cs="Arial" w:eastAsia="Arial" w:hAnsi="Arial"/>
                <w:sz w:val="26"/>
                <w:szCs w:val="26"/>
                <w:color w:val="auto"/>
                <w:w w:val="86"/>
                <w:vertAlign w:val="superscript"/>
              </w:rPr>
              <w:t>˄</w:t>
            </w:r>
          </w:p>
        </w:tc>
        <w:tc>
          <w:tcPr>
            <w:tcW w:w="20" w:type="dxa"/>
            <w:vAlign w:val="bottom"/>
          </w:tcPr>
          <w:p>
            <w:pPr>
              <w:spacing w:after="0"/>
              <w:rPr>
                <w:sz w:val="24"/>
                <w:szCs w:val="24"/>
                <w:color w:val="auto"/>
              </w:rPr>
            </w:pPr>
          </w:p>
        </w:tc>
        <w:tc>
          <w:tcPr>
            <w:tcW w:w="8160" w:type="dxa"/>
            <w:vAlign w:val="bottom"/>
            <w:tcBorders>
              <w:bottom w:val="single" w:sz="8" w:color="0000EE"/>
            </w:tcBorders>
            <w:gridSpan w:val="11"/>
          </w:tcPr>
          <w:p>
            <w:pPr>
              <w:spacing w:after="0"/>
              <w:rPr>
                <w:rFonts w:ascii="Arial" w:cs="Arial" w:eastAsia="Arial" w:hAnsi="Arial"/>
                <w:sz w:val="18"/>
                <w:szCs w:val="18"/>
                <w:color w:val="0000EE"/>
                <w:w w:val="90"/>
              </w:rPr>
            </w:pPr>
            <w:hyperlink r:id="rId350">
              <w:r>
                <w:rPr>
                  <w:rFonts w:ascii="Arial" w:cs="Arial" w:eastAsia="Arial" w:hAnsi="Arial"/>
                  <w:sz w:val="18"/>
                  <w:szCs w:val="18"/>
                  <w:color w:val="0000EE"/>
                  <w:w w:val="90"/>
                </w:rPr>
                <w:t>Second Amendment to Exclusive Patent License Agreement, dated April 24, 2014, between Duke University and</w:t>
              </w:r>
            </w:hyperlink>
          </w:p>
        </w:tc>
        <w:tc>
          <w:tcPr>
            <w:tcW w:w="5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50">
              <w:r>
                <w:rPr>
                  <w:rFonts w:ascii="Arial" w:cs="Arial" w:eastAsia="Arial" w:hAnsi="Arial"/>
                  <w:sz w:val="18"/>
                  <w:szCs w:val="18"/>
                  <w:color w:val="0000EE"/>
                  <w:w w:val="91"/>
                </w:rPr>
                <w:t>Humacyte Global, Inc. (incorporated by reference to Exhibit 10.10.2 to Humacyte, Inc.’s Registration Statement on S-4,</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50">
              <w:r>
                <w:rPr>
                  <w:rFonts w:ascii="Arial" w:cs="Arial" w:eastAsia="Arial" w:hAnsi="Arial"/>
                  <w:sz w:val="18"/>
                  <w:szCs w:val="18"/>
                  <w:color w:val="0000EE"/>
                  <w:w w:val="92"/>
                </w:rPr>
                <w:t>filed with the SEC on March 23, 2021).</w:t>
              </w:r>
            </w:hyperlink>
          </w:p>
        </w:tc>
        <w:tc>
          <w:tcPr>
            <w:tcW w:w="58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10.7.3</w:t>
            </w:r>
            <w:r>
              <w:rPr>
                <w:rFonts w:ascii="Arial" w:cs="Arial" w:eastAsia="Arial" w:hAnsi="Arial"/>
                <w:sz w:val="26"/>
                <w:szCs w:val="26"/>
                <w:color w:val="auto"/>
                <w:w w:val="86"/>
                <w:vertAlign w:val="superscript"/>
              </w:rPr>
              <w:t>˄</w:t>
            </w:r>
          </w:p>
        </w:tc>
        <w:tc>
          <w:tcPr>
            <w:tcW w:w="20" w:type="dxa"/>
            <w:vAlign w:val="bottom"/>
          </w:tcPr>
          <w:p>
            <w:pPr>
              <w:spacing w:after="0"/>
              <w:rPr>
                <w:sz w:val="24"/>
                <w:szCs w:val="24"/>
                <w:color w:val="auto"/>
              </w:rPr>
            </w:pPr>
          </w:p>
        </w:tc>
        <w:tc>
          <w:tcPr>
            <w:tcW w:w="7980" w:type="dxa"/>
            <w:vAlign w:val="bottom"/>
            <w:tcBorders>
              <w:bottom w:val="single" w:sz="8" w:color="0000EE"/>
            </w:tcBorders>
            <w:gridSpan w:val="9"/>
          </w:tcPr>
          <w:p>
            <w:pPr>
              <w:spacing w:after="0"/>
              <w:rPr>
                <w:rFonts w:ascii="Arial" w:cs="Arial" w:eastAsia="Arial" w:hAnsi="Arial"/>
                <w:sz w:val="18"/>
                <w:szCs w:val="18"/>
                <w:color w:val="0000EE"/>
                <w:w w:val="90"/>
              </w:rPr>
            </w:pPr>
            <w:hyperlink r:id="rId351">
              <w:r>
                <w:rPr>
                  <w:rFonts w:ascii="Arial" w:cs="Arial" w:eastAsia="Arial" w:hAnsi="Arial"/>
                  <w:sz w:val="18"/>
                  <w:szCs w:val="18"/>
                  <w:color w:val="0000EE"/>
                  <w:w w:val="90"/>
                </w:rPr>
                <w:t>Third Amendment to Exclusive Patent License Agreement, dated June 26, 2015, between Duke University and</w:t>
              </w:r>
            </w:hyperlink>
          </w:p>
        </w:tc>
        <w:tc>
          <w:tcPr>
            <w:tcW w:w="7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51">
              <w:r>
                <w:rPr>
                  <w:rFonts w:ascii="Arial" w:cs="Arial" w:eastAsia="Arial" w:hAnsi="Arial"/>
                  <w:sz w:val="18"/>
                  <w:szCs w:val="18"/>
                  <w:color w:val="0000EE"/>
                  <w:w w:val="91"/>
                </w:rPr>
                <w:t>Humacyte Global, Inc. (incorporated by reference to Exhibit 10.10.3 to Humacyte, Inc.’s Registration Statement on S-4,</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8"/>
          </w:tcPr>
          <w:p>
            <w:pPr>
              <w:spacing w:after="0" w:line="196" w:lineRule="exact"/>
              <w:rPr>
                <w:rFonts w:ascii="Arial" w:cs="Arial" w:eastAsia="Arial" w:hAnsi="Arial"/>
                <w:sz w:val="18"/>
                <w:szCs w:val="18"/>
                <w:color w:val="0000EE"/>
              </w:rPr>
            </w:pPr>
            <w:hyperlink r:id="rId351">
              <w:r>
                <w:rPr>
                  <w:rFonts w:ascii="Arial" w:cs="Arial" w:eastAsia="Arial" w:hAnsi="Arial"/>
                  <w:sz w:val="18"/>
                  <w:szCs w:val="18"/>
                  <w:color w:val="0000EE"/>
                </w:rPr>
                <w:t>filed with the SEC on March 23, 2021).</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6"/>
              </w:rPr>
              <w:t>10.7.4</w:t>
            </w:r>
            <w:r>
              <w:rPr>
                <w:rFonts w:ascii="Arial" w:cs="Arial" w:eastAsia="Arial" w:hAnsi="Arial"/>
                <w:sz w:val="26"/>
                <w:szCs w:val="26"/>
                <w:color w:val="auto"/>
                <w:w w:val="86"/>
                <w:vertAlign w:val="superscript"/>
              </w:rPr>
              <w:t>˄</w:t>
            </w:r>
          </w:p>
        </w:tc>
        <w:tc>
          <w:tcPr>
            <w:tcW w:w="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200" w:type="dxa"/>
            <w:vAlign w:val="bottom"/>
            <w:tcBorders>
              <w:bottom w:val="single" w:sz="8" w:color="0000EE"/>
            </w:tcBorders>
            <w:gridSpan w:val="12"/>
          </w:tcPr>
          <w:p>
            <w:pPr>
              <w:spacing w:after="0"/>
              <w:rPr>
                <w:rFonts w:ascii="Arial" w:cs="Arial" w:eastAsia="Arial" w:hAnsi="Arial"/>
                <w:sz w:val="18"/>
                <w:szCs w:val="18"/>
                <w:color w:val="0000EE"/>
                <w:w w:val="90"/>
              </w:rPr>
            </w:pPr>
            <w:hyperlink r:id="rId352">
              <w:r>
                <w:rPr>
                  <w:rFonts w:ascii="Arial" w:cs="Arial" w:eastAsia="Arial" w:hAnsi="Arial"/>
                  <w:sz w:val="18"/>
                  <w:szCs w:val="18"/>
                  <w:color w:val="0000EE"/>
                  <w:w w:val="90"/>
                </w:rPr>
                <w:t>Fourth Amendment to Exclusive Patent License Agreement, dated January 2, 2018, between Duke University and</w:t>
              </w:r>
            </w:hyperlink>
          </w:p>
        </w:tc>
        <w:tc>
          <w:tcPr>
            <w:tcW w:w="4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52">
              <w:r>
                <w:rPr>
                  <w:rFonts w:ascii="Arial" w:cs="Arial" w:eastAsia="Arial" w:hAnsi="Arial"/>
                  <w:sz w:val="18"/>
                  <w:szCs w:val="18"/>
                  <w:color w:val="0000EE"/>
                  <w:w w:val="91"/>
                </w:rPr>
                <w:t>Humacyte Global, Inc. (incorporated by reference to Exhibit 10.10.4 to Humacyte, Inc.’s Registration Statement on S-4,</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52">
              <w:r>
                <w:rPr>
                  <w:rFonts w:ascii="Arial" w:cs="Arial" w:eastAsia="Arial" w:hAnsi="Arial"/>
                  <w:sz w:val="18"/>
                  <w:szCs w:val="18"/>
                  <w:color w:val="0000EE"/>
                  <w:w w:val="92"/>
                </w:rPr>
                <w:t>filed with the SEC on March 23, 2021).</w:t>
              </w:r>
            </w:hyperlink>
          </w:p>
        </w:tc>
        <w:tc>
          <w:tcPr>
            <w:tcW w:w="58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10.7.5</w:t>
            </w:r>
            <w:r>
              <w:rPr>
                <w:rFonts w:ascii="Arial" w:cs="Arial" w:eastAsia="Arial" w:hAnsi="Arial"/>
                <w:sz w:val="26"/>
                <w:szCs w:val="26"/>
                <w:color w:val="auto"/>
                <w:w w:val="86"/>
                <w:vertAlign w:val="superscript"/>
              </w:rPr>
              <w:t>˄</w:t>
            </w:r>
          </w:p>
        </w:tc>
        <w:tc>
          <w:tcPr>
            <w:tcW w:w="20" w:type="dxa"/>
            <w:vAlign w:val="bottom"/>
          </w:tcPr>
          <w:p>
            <w:pPr>
              <w:spacing w:after="0"/>
              <w:rPr>
                <w:sz w:val="24"/>
                <w:szCs w:val="24"/>
                <w:color w:val="auto"/>
              </w:rPr>
            </w:pPr>
          </w:p>
        </w:tc>
        <w:tc>
          <w:tcPr>
            <w:tcW w:w="8340" w:type="dxa"/>
            <w:vAlign w:val="bottom"/>
            <w:tcBorders>
              <w:bottom w:val="single" w:sz="8" w:color="0000EE"/>
            </w:tcBorders>
            <w:gridSpan w:val="16"/>
          </w:tcPr>
          <w:p>
            <w:pPr>
              <w:spacing w:after="0"/>
              <w:rPr>
                <w:rFonts w:ascii="Arial" w:cs="Arial" w:eastAsia="Arial" w:hAnsi="Arial"/>
                <w:sz w:val="18"/>
                <w:szCs w:val="18"/>
                <w:color w:val="0000EE"/>
                <w:w w:val="90"/>
              </w:rPr>
            </w:pPr>
            <w:hyperlink r:id="rId353">
              <w:r>
                <w:rPr>
                  <w:rFonts w:ascii="Arial" w:cs="Arial" w:eastAsia="Arial" w:hAnsi="Arial"/>
                  <w:sz w:val="18"/>
                  <w:szCs w:val="18"/>
                  <w:color w:val="0000EE"/>
                  <w:w w:val="90"/>
                </w:rPr>
                <w:t>Fifth Amendment to Exclusive Patent License Agreement, dated December 31, 2019, between Duke University and</w:t>
              </w:r>
            </w:hyperlink>
          </w:p>
        </w:tc>
        <w:tc>
          <w:tcPr>
            <w:tcW w:w="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53">
              <w:r>
                <w:rPr>
                  <w:rFonts w:ascii="Arial" w:cs="Arial" w:eastAsia="Arial" w:hAnsi="Arial"/>
                  <w:sz w:val="18"/>
                  <w:szCs w:val="18"/>
                  <w:color w:val="0000EE"/>
                  <w:w w:val="91"/>
                </w:rPr>
                <w:t>Humacyte Global, Inc. (incorporated by reference to Exhibit 10.10.5 to Humacyte, Inc.’s Registration Statement on S-4,</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53">
              <w:r>
                <w:rPr>
                  <w:rFonts w:ascii="Arial" w:cs="Arial" w:eastAsia="Arial" w:hAnsi="Arial"/>
                  <w:sz w:val="18"/>
                  <w:szCs w:val="18"/>
                  <w:color w:val="0000EE"/>
                  <w:w w:val="92"/>
                </w:rPr>
                <w:t>filed with the SEC on March 23, 2021).</w:t>
              </w:r>
            </w:hyperlink>
          </w:p>
        </w:tc>
        <w:tc>
          <w:tcPr>
            <w:tcW w:w="58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10.8</w:t>
            </w:r>
            <w:r>
              <w:rPr>
                <w:rFonts w:ascii="Arial" w:cs="Arial" w:eastAsia="Arial" w:hAnsi="Arial"/>
                <w:sz w:val="26"/>
                <w:szCs w:val="26"/>
                <w:color w:val="auto"/>
                <w:w w:val="84"/>
                <w:vertAlign w:val="superscript"/>
              </w:rPr>
              <w:t>˄</w:t>
            </w:r>
          </w:p>
        </w:tc>
        <w:tc>
          <w:tcPr>
            <w:tcW w:w="20" w:type="dxa"/>
            <w:vAlign w:val="bottom"/>
          </w:tcPr>
          <w:p>
            <w:pPr>
              <w:spacing w:after="0"/>
              <w:rPr>
                <w:sz w:val="24"/>
                <w:szCs w:val="24"/>
                <w:color w:val="auto"/>
              </w:rPr>
            </w:pPr>
          </w:p>
        </w:tc>
        <w:tc>
          <w:tcPr>
            <w:tcW w:w="8680" w:type="dxa"/>
            <w:vAlign w:val="bottom"/>
            <w:gridSpan w:val="28"/>
          </w:tcPr>
          <w:p>
            <w:pPr>
              <w:spacing w:after="0"/>
              <w:rPr>
                <w:rFonts w:ascii="Arial" w:cs="Arial" w:eastAsia="Arial" w:hAnsi="Arial"/>
                <w:sz w:val="18"/>
                <w:szCs w:val="18"/>
                <w:color w:val="0000EE"/>
              </w:rPr>
            </w:pPr>
            <w:hyperlink r:id="rId354">
              <w:r>
                <w:rPr>
                  <w:rFonts w:ascii="Arial" w:cs="Arial" w:eastAsia="Arial" w:hAnsi="Arial"/>
                  <w:sz w:val="18"/>
                  <w:szCs w:val="18"/>
                  <w:color w:val="0000EE"/>
                </w:rPr>
                <w:t>Supply Agreement, dated January 9, 2014, between SeraCare Life Sciences, Inc. and Humacyte Global, Inc.</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40" w:type="dxa"/>
            <w:vAlign w:val="bottom"/>
            <w:gridSpan w:val="4"/>
            <w:shd w:val="clear" w:color="auto" w:fill="0000EE"/>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354">
              <w:r>
                <w:rPr>
                  <w:rFonts w:ascii="Arial" w:cs="Arial" w:eastAsia="Arial" w:hAnsi="Arial"/>
                  <w:sz w:val="18"/>
                  <w:szCs w:val="18"/>
                  <w:color w:val="0000EE"/>
                  <w:w w:val="91"/>
                </w:rPr>
                <w:t>(incorporated by reference to Exhibit 10.11 to Humacyte, Inc.’s Registration Statement on S-4, filed with the SEC on</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8"/>
          </w:tcPr>
          <w:p>
            <w:pPr>
              <w:spacing w:after="0" w:line="196" w:lineRule="exact"/>
              <w:rPr>
                <w:rFonts w:ascii="Arial" w:cs="Arial" w:eastAsia="Arial" w:hAnsi="Arial"/>
                <w:sz w:val="18"/>
                <w:szCs w:val="18"/>
                <w:color w:val="0000EE"/>
              </w:rPr>
            </w:pPr>
            <w:hyperlink r:id="rId354">
              <w:r>
                <w:rPr>
                  <w:rFonts w:ascii="Arial" w:cs="Arial" w:eastAsia="Arial" w:hAnsi="Arial"/>
                  <w:sz w:val="18"/>
                  <w:szCs w:val="18"/>
                  <w:color w:val="0000EE"/>
                </w:rPr>
                <w:t>March 23, 2021).</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6"/>
              </w:rPr>
              <w:t>10.8.1</w:t>
            </w:r>
            <w:r>
              <w:rPr>
                <w:rFonts w:ascii="Arial" w:cs="Arial" w:eastAsia="Arial" w:hAnsi="Arial"/>
                <w:sz w:val="26"/>
                <w:szCs w:val="26"/>
                <w:color w:val="auto"/>
                <w:w w:val="86"/>
                <w:vertAlign w:val="superscript"/>
              </w:rPr>
              <w:t>˄</w:t>
            </w: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6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8"/>
          </w:tcPr>
          <w:p>
            <w:pPr>
              <w:spacing w:after="0"/>
              <w:rPr>
                <w:rFonts w:ascii="Arial" w:cs="Arial" w:eastAsia="Arial" w:hAnsi="Arial"/>
                <w:sz w:val="18"/>
                <w:szCs w:val="18"/>
                <w:color w:val="0000EE"/>
                <w:w w:val="91"/>
              </w:rPr>
            </w:pPr>
            <w:hyperlink r:id="rId355">
              <w:r>
                <w:rPr>
                  <w:rFonts w:ascii="Arial" w:cs="Arial" w:eastAsia="Arial" w:hAnsi="Arial"/>
                  <w:sz w:val="18"/>
                  <w:szCs w:val="18"/>
                  <w:color w:val="0000EE"/>
                  <w:w w:val="91"/>
                </w:rPr>
                <w:t>First Amendment to Supply Agreement, dated October 12, 2018, between SeraCare Life Sciences, Inc. and Humacyte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60" w:type="dxa"/>
            <w:vAlign w:val="bottom"/>
            <w:gridSpan w:val="14"/>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355">
              <w:r>
                <w:rPr>
                  <w:rFonts w:ascii="Arial" w:cs="Arial" w:eastAsia="Arial" w:hAnsi="Arial"/>
                  <w:sz w:val="18"/>
                  <w:szCs w:val="18"/>
                  <w:color w:val="0000EE"/>
                  <w:w w:val="91"/>
                </w:rPr>
                <w:t>Global, Inc. (incorporated by reference to Exhibit 10.11.1 to Humacyte, Inc.’s Registration Statement on S-4, filed with</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8"/>
          </w:tcPr>
          <w:p>
            <w:pPr>
              <w:spacing w:after="0" w:line="196" w:lineRule="exact"/>
              <w:rPr>
                <w:rFonts w:ascii="Arial" w:cs="Arial" w:eastAsia="Arial" w:hAnsi="Arial"/>
                <w:sz w:val="18"/>
                <w:szCs w:val="18"/>
                <w:color w:val="0000EE"/>
              </w:rPr>
            </w:pPr>
            <w:hyperlink r:id="rId355">
              <w:r>
                <w:rPr>
                  <w:rFonts w:ascii="Arial" w:cs="Arial" w:eastAsia="Arial" w:hAnsi="Arial"/>
                  <w:sz w:val="18"/>
                  <w:szCs w:val="18"/>
                  <w:color w:val="0000EE"/>
                </w:rPr>
                <w:t>the SEC on March 23, 2021).</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8"/>
              </w:rPr>
              <w:t>10.8.2</w:t>
            </w:r>
            <w:r>
              <w:rPr>
                <w:rFonts w:ascii="Arial" w:cs="Arial" w:eastAsia="Arial" w:hAnsi="Arial"/>
                <w:sz w:val="26"/>
                <w:szCs w:val="26"/>
                <w:color w:val="auto"/>
                <w:w w:val="88"/>
                <w:vertAlign w:val="superscript"/>
              </w:rPr>
              <w:t>˄</w:t>
            </w:r>
            <w:r>
              <w:rPr>
                <w:rFonts w:ascii="Arial" w:cs="Arial" w:eastAsia="Arial" w:hAnsi="Arial"/>
                <w:sz w:val="18"/>
                <w:szCs w:val="18"/>
                <w:color w:val="auto"/>
                <w:w w:val="88"/>
              </w:rPr>
              <w:t xml:space="preserve"> *</w:t>
            </w:r>
          </w:p>
        </w:tc>
        <w:tc>
          <w:tcPr>
            <w:tcW w:w="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60" w:type="dxa"/>
            <w:vAlign w:val="bottom"/>
            <w:gridSpan w:val="1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tcBorders>
              <w:bottom w:val="single" w:sz="8" w:color="0000EE"/>
            </w:tcBorders>
            <w:gridSpan w:val="24"/>
          </w:tcPr>
          <w:p>
            <w:pPr>
              <w:spacing w:after="0"/>
              <w:rPr>
                <w:rFonts w:ascii="Arial" w:cs="Arial" w:eastAsia="Arial" w:hAnsi="Arial"/>
                <w:sz w:val="18"/>
                <w:szCs w:val="18"/>
                <w:color w:val="0000EE"/>
                <w:w w:val="89"/>
              </w:rPr>
            </w:pPr>
            <w:hyperlink r:id="rId356">
              <w:r>
                <w:rPr>
                  <w:rFonts w:ascii="Arial" w:cs="Arial" w:eastAsia="Arial" w:hAnsi="Arial"/>
                  <w:sz w:val="18"/>
                  <w:szCs w:val="18"/>
                  <w:color w:val="0000EE"/>
                  <w:w w:val="89"/>
                </w:rPr>
                <w:t>Second Amendment to Supply Agreement, dated March 24, 2021, between SeraCare Life Sciences, Inc. and Humacyte</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8"/>
          </w:tcPr>
          <w:p>
            <w:pPr>
              <w:spacing w:after="0" w:line="196" w:lineRule="exact"/>
              <w:rPr>
                <w:rFonts w:ascii="Arial" w:cs="Arial" w:eastAsia="Arial" w:hAnsi="Arial"/>
                <w:sz w:val="18"/>
                <w:szCs w:val="18"/>
                <w:color w:val="0000EE"/>
                <w:w w:val="94"/>
              </w:rPr>
            </w:pPr>
            <w:hyperlink r:id="rId356">
              <w:r>
                <w:rPr>
                  <w:rFonts w:ascii="Arial" w:cs="Arial" w:eastAsia="Arial" w:hAnsi="Arial"/>
                  <w:sz w:val="18"/>
                  <w:szCs w:val="18"/>
                  <w:color w:val="0000EE"/>
                  <w:w w:val="94"/>
                </w:rPr>
                <w:t>Global, Inc. (incorporated by reference to Exhibit 10.12.2 to Humacyte, Inc.’s Registration Statement on S-4/A, filed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356">
              <w:r>
                <w:rPr>
                  <w:rFonts w:ascii="Arial" w:cs="Arial" w:eastAsia="Arial" w:hAnsi="Arial"/>
                  <w:sz w:val="18"/>
                  <w:szCs w:val="18"/>
                  <w:color w:val="0000EE"/>
                  <w:w w:val="89"/>
                </w:rPr>
                <w:t>with the SEC on June 14, 2021).</w:t>
              </w:r>
            </w:hyperlink>
          </w:p>
        </w:tc>
        <w:tc>
          <w:tcPr>
            <w:tcW w:w="6060" w:type="dxa"/>
            <w:vAlign w:val="bottom"/>
            <w:tcBorders>
              <w:top w:val="single" w:sz="8" w:color="0000EE"/>
            </w:tcBorders>
            <w:gridSpan w:val="14"/>
          </w:tcPr>
          <w:p>
            <w:pPr>
              <w:spacing w:after="0"/>
              <w:rPr>
                <w:sz w:val="17"/>
                <w:szCs w:val="17"/>
                <w:color w:val="auto"/>
              </w:rPr>
            </w:pPr>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0" w:name="page251"/>
    <w:bookmarkEnd w:id="250"/>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80" w:type="dxa"/>
            <w:vAlign w:val="bottom"/>
            <w:gridSpan w:val="24"/>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80" w:type="dxa"/>
            <w:vAlign w:val="bottom"/>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4"/>
                <w:szCs w:val="14"/>
                <w:color w:val="auto"/>
              </w:rPr>
              <w:t>10.9</w:t>
            </w:r>
            <w:r>
              <w:rPr>
                <w:rFonts w:ascii="Arial" w:cs="Arial" w:eastAsia="Arial" w:hAnsi="Arial"/>
                <w:sz w:val="19"/>
                <w:szCs w:val="19"/>
                <w:color w:val="auto"/>
                <w:vertAlign w:val="superscript"/>
              </w:rPr>
              <w:t>˄</w:t>
            </w:r>
            <w:r>
              <w:rPr>
                <w:rFonts w:ascii="Arial" w:cs="Arial" w:eastAsia="Arial" w:hAnsi="Arial"/>
                <w:sz w:val="14"/>
                <w:szCs w:val="14"/>
                <w:color w:val="auto"/>
              </w:rPr>
              <w:t xml:space="preserve"> *</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680" w:type="dxa"/>
            <w:vAlign w:val="bottom"/>
            <w:tcBorders>
              <w:top w:val="single" w:sz="8" w:color="auto"/>
            </w:tcBorders>
            <w:gridSpan w:val="29"/>
          </w:tcPr>
          <w:p>
            <w:pPr>
              <w:spacing w:after="0" w:line="169" w:lineRule="exact"/>
              <w:rPr>
                <w:rFonts w:ascii="Arial" w:cs="Arial" w:eastAsia="Arial" w:hAnsi="Arial"/>
                <w:sz w:val="18"/>
                <w:szCs w:val="18"/>
                <w:color w:val="0000EE"/>
                <w:w w:val="99"/>
              </w:rPr>
            </w:pPr>
            <w:hyperlink r:id="rId358">
              <w:r>
                <w:rPr>
                  <w:rFonts w:ascii="Arial" w:cs="Arial" w:eastAsia="Arial" w:hAnsi="Arial"/>
                  <w:sz w:val="18"/>
                  <w:szCs w:val="18"/>
                  <w:color w:val="0000EE"/>
                  <w:w w:val="99"/>
                </w:rPr>
                <w:t>Supply Agreement, dated June 1, 2020, between Confluent Medical Technologies and Humacyte Global, Inc.</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9"/>
          </w:tcPr>
          <w:p>
            <w:pPr>
              <w:spacing w:after="0" w:line="196" w:lineRule="exact"/>
              <w:rPr>
                <w:rFonts w:ascii="Arial" w:cs="Arial" w:eastAsia="Arial" w:hAnsi="Arial"/>
                <w:sz w:val="18"/>
                <w:szCs w:val="18"/>
                <w:color w:val="0000EE"/>
                <w:w w:val="92"/>
              </w:rPr>
            </w:pPr>
            <w:hyperlink r:id="rId358">
              <w:r>
                <w:rPr>
                  <w:rFonts w:ascii="Arial" w:cs="Arial" w:eastAsia="Arial" w:hAnsi="Arial"/>
                  <w:sz w:val="18"/>
                  <w:szCs w:val="18"/>
                  <w:color w:val="0000EE"/>
                  <w:w w:val="92"/>
                </w:rPr>
                <w:t>(incorporated by reference to Exhibit 10.13 to Humacyte, Inc.’s Registration Statement on S-4/A, filed with the SEC 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358">
              <w:r>
                <w:rPr>
                  <w:rFonts w:ascii="Arial" w:cs="Arial" w:eastAsia="Arial" w:hAnsi="Arial"/>
                  <w:sz w:val="18"/>
                  <w:szCs w:val="18"/>
                  <w:color w:val="0000EE"/>
                </w:rPr>
                <w:t>June 14, 2021).</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0" w:type="dxa"/>
            <w:vAlign w:val="bottom"/>
            <w:tcBorders>
              <w:bottom w:val="single" w:sz="8" w:color="0000EE"/>
            </w:tcBorders>
            <w:gridSpan w:val="15"/>
          </w:tcPr>
          <w:p>
            <w:pPr>
              <w:spacing w:after="0"/>
              <w:rPr>
                <w:rFonts w:ascii="Arial" w:cs="Arial" w:eastAsia="Arial" w:hAnsi="Arial"/>
                <w:sz w:val="18"/>
                <w:szCs w:val="18"/>
                <w:color w:val="0000EE"/>
                <w:w w:val="90"/>
              </w:rPr>
            </w:pPr>
            <w:hyperlink r:id="rId359">
              <w:r>
                <w:rPr>
                  <w:rFonts w:ascii="Arial" w:cs="Arial" w:eastAsia="Arial" w:hAnsi="Arial"/>
                  <w:sz w:val="18"/>
                  <w:szCs w:val="18"/>
                  <w:color w:val="0000EE"/>
                  <w:w w:val="90"/>
                </w:rPr>
                <w:t>Executive Employment Agreement, dated February 3, 2021, between Laura Niklason, M.D., Ph.D. and Humacyte</w:t>
              </w:r>
            </w:hyperlink>
          </w:p>
        </w:tc>
        <w:tc>
          <w:tcPr>
            <w:tcW w:w="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359">
              <w:r>
                <w:rPr>
                  <w:rFonts w:ascii="Arial" w:cs="Arial" w:eastAsia="Arial" w:hAnsi="Arial"/>
                  <w:sz w:val="18"/>
                  <w:szCs w:val="18"/>
                  <w:color w:val="0000EE"/>
                  <w:w w:val="91"/>
                </w:rPr>
                <w:t>Global, Inc. (incorporated by reference to Exhibit 10.13 to Humacyte, Inc.’s Registration Statement on S-4, filed with</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9"/>
          </w:tcPr>
          <w:p>
            <w:pPr>
              <w:spacing w:after="0" w:line="196" w:lineRule="exact"/>
              <w:rPr>
                <w:rFonts w:ascii="Arial" w:cs="Arial" w:eastAsia="Arial" w:hAnsi="Arial"/>
                <w:sz w:val="18"/>
                <w:szCs w:val="18"/>
                <w:color w:val="0000EE"/>
              </w:rPr>
            </w:pPr>
            <w:hyperlink r:id="rId359">
              <w:r>
                <w:rPr>
                  <w:rFonts w:ascii="Arial" w:cs="Arial" w:eastAsia="Arial" w:hAnsi="Arial"/>
                  <w:sz w:val="18"/>
                  <w:szCs w:val="18"/>
                  <w:color w:val="0000EE"/>
                </w:rPr>
                <w:t>the SEC on March 23,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EE"/>
                <w:w w:val="94"/>
              </w:rPr>
            </w:pPr>
            <w:hyperlink r:id="rId360">
              <w:r>
                <w:rPr>
                  <w:rFonts w:ascii="Arial" w:cs="Arial" w:eastAsia="Arial" w:hAnsi="Arial"/>
                  <w:sz w:val="18"/>
                  <w:szCs w:val="18"/>
                  <w:color w:val="0000EE"/>
                  <w:w w:val="94"/>
                </w:rPr>
                <w:t>Executive Employment Agreement, dated June 19, 2018, between Jeffrey Lawson, M.D. and Humacyte Global, Inc.</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360">
              <w:r>
                <w:rPr>
                  <w:rFonts w:ascii="Arial" w:cs="Arial" w:eastAsia="Arial" w:hAnsi="Arial"/>
                  <w:sz w:val="18"/>
                  <w:szCs w:val="18"/>
                  <w:color w:val="0000EE"/>
                  <w:w w:val="91"/>
                </w:rPr>
                <w:t>(incorporated by reference to Exhibit 10.14 to Humacyte, Inc.’s Registration Statement on S-4, filed with the SEC on</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9"/>
          </w:tcPr>
          <w:p>
            <w:pPr>
              <w:spacing w:after="0" w:line="196" w:lineRule="exact"/>
              <w:rPr>
                <w:rFonts w:ascii="Arial" w:cs="Arial" w:eastAsia="Arial" w:hAnsi="Arial"/>
                <w:sz w:val="18"/>
                <w:szCs w:val="18"/>
                <w:color w:val="0000EE"/>
              </w:rPr>
            </w:pPr>
            <w:hyperlink r:id="rId360">
              <w:r>
                <w:rPr>
                  <w:rFonts w:ascii="Arial" w:cs="Arial" w:eastAsia="Arial" w:hAnsi="Arial"/>
                  <w:sz w:val="18"/>
                  <w:szCs w:val="18"/>
                  <w:color w:val="0000EE"/>
                </w:rPr>
                <w:t>March 23,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2"/>
              </w:rPr>
              <w:t>10.11.1+*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EE"/>
                <w:w w:val="98"/>
              </w:rPr>
            </w:pPr>
            <w:hyperlink r:id="rId361">
              <w:r>
                <w:rPr>
                  <w:rFonts w:ascii="Arial" w:cs="Arial" w:eastAsia="Arial" w:hAnsi="Arial"/>
                  <w:sz w:val="18"/>
                  <w:szCs w:val="18"/>
                  <w:color w:val="0000EE"/>
                  <w:w w:val="98"/>
                </w:rPr>
                <w:t>Amendment to Executive Employment Agreement, dated February 3, 2021, between Jeffrey Lawson, M.D. and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61">
              <w:r>
                <w:rPr>
                  <w:rFonts w:ascii="Arial" w:cs="Arial" w:eastAsia="Arial" w:hAnsi="Arial"/>
                  <w:sz w:val="18"/>
                  <w:szCs w:val="18"/>
                  <w:color w:val="0000EE"/>
                  <w:w w:val="91"/>
                </w:rPr>
                <w:t>Humacyte Global, Inc. (incorporated by reference to Exhibit 10.14.1 to Humacyte, Inc.’s Registration Statement on S-4,</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9"/>
          </w:tcPr>
          <w:p>
            <w:pPr>
              <w:spacing w:after="0" w:line="196" w:lineRule="exact"/>
              <w:rPr>
                <w:rFonts w:ascii="Arial" w:cs="Arial" w:eastAsia="Arial" w:hAnsi="Arial"/>
                <w:sz w:val="18"/>
                <w:szCs w:val="18"/>
                <w:color w:val="0000EE"/>
              </w:rPr>
            </w:pPr>
            <w:hyperlink r:id="rId361">
              <w:r>
                <w:rPr>
                  <w:rFonts w:ascii="Arial" w:cs="Arial" w:eastAsia="Arial" w:hAnsi="Arial"/>
                  <w:sz w:val="18"/>
                  <w:szCs w:val="18"/>
                  <w:color w:val="0000EE"/>
                </w:rPr>
                <w:t>filed with the SEC on March 23,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tcBorders>
              <w:bottom w:val="single" w:sz="8" w:color="0000EE"/>
            </w:tcBorders>
            <w:gridSpan w:val="23"/>
          </w:tcPr>
          <w:p>
            <w:pPr>
              <w:spacing w:after="0"/>
              <w:rPr>
                <w:rFonts w:ascii="Arial" w:cs="Arial" w:eastAsia="Arial" w:hAnsi="Arial"/>
                <w:sz w:val="18"/>
                <w:szCs w:val="18"/>
                <w:color w:val="0000EE"/>
                <w:w w:val="90"/>
              </w:rPr>
            </w:pPr>
            <w:hyperlink r:id="rId362">
              <w:r>
                <w:rPr>
                  <w:rFonts w:ascii="Arial" w:cs="Arial" w:eastAsia="Arial" w:hAnsi="Arial"/>
                  <w:sz w:val="18"/>
                  <w:szCs w:val="18"/>
                  <w:color w:val="0000EE"/>
                  <w:w w:val="90"/>
                </w:rPr>
                <w:t>Executive Employment Agreement, dated October 8, 2018, between Douglas Blankenship and Humacyte Global, Inc.</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362">
              <w:r>
                <w:rPr>
                  <w:rFonts w:ascii="Arial" w:cs="Arial" w:eastAsia="Arial" w:hAnsi="Arial"/>
                  <w:sz w:val="18"/>
                  <w:szCs w:val="18"/>
                  <w:color w:val="0000EE"/>
                  <w:w w:val="91"/>
                </w:rPr>
                <w:t>(incorporated by reference to Exhibit 10.15 to Humacyte, Inc.’s Registration Statement on S-4, filed with the SEC on</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9"/>
          </w:tcPr>
          <w:p>
            <w:pPr>
              <w:spacing w:after="0" w:line="196" w:lineRule="exact"/>
              <w:rPr>
                <w:rFonts w:ascii="Arial" w:cs="Arial" w:eastAsia="Arial" w:hAnsi="Arial"/>
                <w:sz w:val="18"/>
                <w:szCs w:val="18"/>
                <w:color w:val="0000EE"/>
              </w:rPr>
            </w:pPr>
            <w:hyperlink r:id="rId362">
              <w:r>
                <w:rPr>
                  <w:rFonts w:ascii="Arial" w:cs="Arial" w:eastAsia="Arial" w:hAnsi="Arial"/>
                  <w:sz w:val="18"/>
                  <w:szCs w:val="18"/>
                  <w:color w:val="0000EE"/>
                </w:rPr>
                <w:t>March 23,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EE"/>
                <w:w w:val="93"/>
              </w:rPr>
            </w:pPr>
            <w:hyperlink r:id="rId363">
              <w:r>
                <w:rPr>
                  <w:rFonts w:ascii="Arial" w:cs="Arial" w:eastAsia="Arial" w:hAnsi="Arial"/>
                  <w:sz w:val="18"/>
                  <w:szCs w:val="18"/>
                  <w:color w:val="0000EE"/>
                  <w:w w:val="93"/>
                </w:rPr>
                <w:t>Severance Agreement and Release, dated May 29, 2021, between Douglas Blankenship and Humacyte Global, Inc.</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9"/>
          </w:tcPr>
          <w:p>
            <w:pPr>
              <w:spacing w:after="0" w:line="196" w:lineRule="exact"/>
              <w:rPr>
                <w:rFonts w:ascii="Arial" w:cs="Arial" w:eastAsia="Arial" w:hAnsi="Arial"/>
                <w:sz w:val="18"/>
                <w:szCs w:val="18"/>
                <w:color w:val="0000EE"/>
                <w:w w:val="92"/>
              </w:rPr>
            </w:pPr>
            <w:hyperlink r:id="rId363">
              <w:r>
                <w:rPr>
                  <w:rFonts w:ascii="Arial" w:cs="Arial" w:eastAsia="Arial" w:hAnsi="Arial"/>
                  <w:sz w:val="18"/>
                  <w:szCs w:val="18"/>
                  <w:color w:val="0000EE"/>
                  <w:w w:val="92"/>
                </w:rPr>
                <w:t>(incorporated by reference to Exhibit 10.25 to Humacyte, Inc.’s Registration Statement on S-4/A, filed with the SEC 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363">
              <w:r>
                <w:rPr>
                  <w:rFonts w:ascii="Arial" w:cs="Arial" w:eastAsia="Arial" w:hAnsi="Arial"/>
                  <w:sz w:val="18"/>
                  <w:szCs w:val="18"/>
                  <w:color w:val="0000EE"/>
                </w:rPr>
                <w:t>June 14, 2021).</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EE"/>
                <w:w w:val="91"/>
              </w:rPr>
            </w:pPr>
            <w:hyperlink r:id="rId364">
              <w:r>
                <w:rPr>
                  <w:rFonts w:ascii="Arial" w:cs="Arial" w:eastAsia="Arial" w:hAnsi="Arial"/>
                  <w:sz w:val="18"/>
                  <w:szCs w:val="18"/>
                  <w:color w:val="0000EE"/>
                  <w:w w:val="91"/>
                </w:rPr>
                <w:t>Consulting Agreement, dated May 17, 2021, between Douglas Blankenship and Humacyte Global, Inc. (incorporated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364">
              <w:r>
                <w:rPr>
                  <w:rFonts w:ascii="Arial" w:cs="Arial" w:eastAsia="Arial" w:hAnsi="Arial"/>
                  <w:sz w:val="18"/>
                  <w:szCs w:val="18"/>
                  <w:color w:val="0000EE"/>
                  <w:w w:val="91"/>
                </w:rPr>
                <w:t>reference to Exhibit 10.26 to Humacyte, Inc.’s Registration Statement on S-4/A, filed with the SEC on June 14, 2021).</w:t>
              </w:r>
            </w:hyperlink>
          </w:p>
        </w:tc>
        <w:tc>
          <w:tcPr>
            <w:tcW w:w="1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10.13+*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EE"/>
                <w:w w:val="96"/>
              </w:rPr>
            </w:pPr>
            <w:hyperlink r:id="rId365">
              <w:r>
                <w:rPr>
                  <w:rFonts w:ascii="Arial" w:cs="Arial" w:eastAsia="Arial" w:hAnsi="Arial"/>
                  <w:sz w:val="18"/>
                  <w:szCs w:val="18"/>
                  <w:color w:val="0000EE"/>
                  <w:w w:val="96"/>
                </w:rPr>
                <w:t>Executive Employment Agreement, dated September 13, 2019, between Heather Prichard, Ph.D. and Humacyte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365">
              <w:r>
                <w:rPr>
                  <w:rFonts w:ascii="Arial" w:cs="Arial" w:eastAsia="Arial" w:hAnsi="Arial"/>
                  <w:sz w:val="18"/>
                  <w:szCs w:val="18"/>
                  <w:color w:val="0000EE"/>
                  <w:w w:val="91"/>
                </w:rPr>
                <w:t>Global, Inc. (incorporated by reference to Exhibit 10.16 to Humacyte, Inc.’s Registration Statement on S-4, filed with</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9"/>
          </w:tcPr>
          <w:p>
            <w:pPr>
              <w:spacing w:after="0" w:line="196" w:lineRule="exact"/>
              <w:rPr>
                <w:rFonts w:ascii="Arial" w:cs="Arial" w:eastAsia="Arial" w:hAnsi="Arial"/>
                <w:sz w:val="18"/>
                <w:szCs w:val="18"/>
                <w:color w:val="0000EE"/>
              </w:rPr>
            </w:pPr>
            <w:hyperlink r:id="rId365">
              <w:r>
                <w:rPr>
                  <w:rFonts w:ascii="Arial" w:cs="Arial" w:eastAsia="Arial" w:hAnsi="Arial"/>
                  <w:sz w:val="18"/>
                  <w:szCs w:val="18"/>
                  <w:color w:val="0000EE"/>
                </w:rPr>
                <w:t>the SEC on March 23,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EE"/>
                <w:w w:val="92"/>
              </w:rPr>
            </w:pPr>
            <w:hyperlink r:id="rId366">
              <w:r>
                <w:rPr>
                  <w:rFonts w:ascii="Arial" w:cs="Arial" w:eastAsia="Arial" w:hAnsi="Arial"/>
                  <w:sz w:val="18"/>
                  <w:szCs w:val="18"/>
                  <w:color w:val="0000EE"/>
                  <w:w w:val="92"/>
                </w:rPr>
                <w:t>Humacyte, Inc. 2021 Long-Term Incentive Plan (incorporated by reference to Exhibit 10.4 to Humacyte, Inc.’s Current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366">
              <w:r>
                <w:rPr>
                  <w:rFonts w:ascii="Arial" w:cs="Arial" w:eastAsia="Arial" w:hAnsi="Arial"/>
                  <w:sz w:val="18"/>
                  <w:szCs w:val="18"/>
                  <w:color w:val="0000EE"/>
                </w:rPr>
                <w:t>Report on Form 8-K, filed with the SEC on August 27, 2021).</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EE"/>
                <w:w w:val="92"/>
              </w:rPr>
            </w:pPr>
            <w:hyperlink r:id="rId367">
              <w:r>
                <w:rPr>
                  <w:rFonts w:ascii="Arial" w:cs="Arial" w:eastAsia="Arial" w:hAnsi="Arial"/>
                  <w:sz w:val="18"/>
                  <w:szCs w:val="18"/>
                  <w:color w:val="0000EE"/>
                  <w:w w:val="92"/>
                </w:rPr>
                <w:t>Form of Stock Option Agreement under Humacyte, Inc. 2021 Long-Term Incentive Plan (incorporated by reference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367">
              <w:r>
                <w:rPr>
                  <w:rFonts w:ascii="Arial" w:cs="Arial" w:eastAsia="Arial" w:hAnsi="Arial"/>
                  <w:sz w:val="18"/>
                  <w:szCs w:val="18"/>
                  <w:color w:val="0000EE"/>
                  <w:w w:val="92"/>
                </w:rPr>
                <w:t>Exhibit 10.4.1 to Humacyte, Inc.’s Current Report on Form 8-K, filed with the SEC on August 27, 2021).</w:t>
              </w:r>
            </w:hyperlink>
          </w:p>
        </w:tc>
        <w:tc>
          <w:tcPr>
            <w:tcW w:w="920" w:type="dxa"/>
            <w:vAlign w:val="bottom"/>
            <w:tcBorders>
              <w:top w:val="single" w:sz="8" w:color="0000EE"/>
            </w:tcBorders>
            <w:gridSpan w:val="14"/>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60" w:type="dxa"/>
            <w:vAlign w:val="bottom"/>
            <w:tcBorders>
              <w:bottom w:val="single" w:sz="8" w:color="0000EE"/>
            </w:tcBorders>
            <w:gridSpan w:val="17"/>
          </w:tcPr>
          <w:p>
            <w:pPr>
              <w:spacing w:after="0"/>
              <w:rPr>
                <w:rFonts w:ascii="Arial" w:cs="Arial" w:eastAsia="Arial" w:hAnsi="Arial"/>
                <w:sz w:val="18"/>
                <w:szCs w:val="18"/>
                <w:color w:val="0000EE"/>
                <w:w w:val="90"/>
              </w:rPr>
            </w:pPr>
            <w:hyperlink r:id="rId368">
              <w:r>
                <w:rPr>
                  <w:rFonts w:ascii="Arial" w:cs="Arial" w:eastAsia="Arial" w:hAnsi="Arial"/>
                  <w:sz w:val="18"/>
                  <w:szCs w:val="18"/>
                  <w:color w:val="0000EE"/>
                  <w:w w:val="90"/>
                </w:rPr>
                <w:t>Humacyte, Inc. 2021 Employee Stock Purchase Plan (incorporated by reference to Exhibit 10.5 to Humacyte, Inc.’s</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368">
              <w:r>
                <w:rPr>
                  <w:rFonts w:ascii="Arial" w:cs="Arial" w:eastAsia="Arial" w:hAnsi="Arial"/>
                  <w:sz w:val="18"/>
                  <w:szCs w:val="18"/>
                  <w:color w:val="0000EE"/>
                  <w:w w:val="91"/>
                </w:rPr>
                <w:t>Current Report on Form 8-K, filed with the SEC on August 27, 2021).</w:t>
              </w:r>
            </w:hyperlink>
          </w:p>
        </w:tc>
        <w:tc>
          <w:tcPr>
            <w:tcW w:w="36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EE"/>
                <w:w w:val="94"/>
              </w:rPr>
            </w:pPr>
            <w:hyperlink r:id="rId369">
              <w:r>
                <w:rPr>
                  <w:rFonts w:ascii="Arial" w:cs="Arial" w:eastAsia="Arial" w:hAnsi="Arial"/>
                  <w:sz w:val="18"/>
                  <w:szCs w:val="18"/>
                  <w:color w:val="0000EE"/>
                  <w:w w:val="94"/>
                </w:rPr>
                <w:t>Humacyte, Inc. Annual Bonus Plan (incorporated by reference to Exhibit 10.8 to Humacyte, Inc.’s Current Report 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369">
              <w:r>
                <w:rPr>
                  <w:rFonts w:ascii="Arial" w:cs="Arial" w:eastAsia="Arial" w:hAnsi="Arial"/>
                  <w:sz w:val="18"/>
                  <w:szCs w:val="18"/>
                  <w:color w:val="0000EE"/>
                </w:rPr>
                <w:t>Form 8-K, filed with the SEC on August 27, 2021).</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EE"/>
                <w:w w:val="94"/>
              </w:rPr>
            </w:pPr>
            <w:hyperlink r:id="rId370">
              <w:r>
                <w:rPr>
                  <w:rFonts w:ascii="Arial" w:cs="Arial" w:eastAsia="Arial" w:hAnsi="Arial"/>
                  <w:sz w:val="18"/>
                  <w:szCs w:val="18"/>
                  <w:color w:val="0000EE"/>
                  <w:w w:val="94"/>
                </w:rPr>
                <w:t>Humacyte, Inc. 2005 Stock Option Plan (incorporated by reference to Exhibit 10.18 to Humacyte, Inc.’s Registration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370">
              <w:r>
                <w:rPr>
                  <w:rFonts w:ascii="Arial" w:cs="Arial" w:eastAsia="Arial" w:hAnsi="Arial"/>
                  <w:sz w:val="18"/>
                  <w:szCs w:val="18"/>
                  <w:color w:val="0000EE"/>
                  <w:w w:val="90"/>
                </w:rPr>
                <w:t>Statement on S-4, filed with the SEC on March 23, 2021).</w:t>
              </w:r>
            </w:hyperlink>
          </w:p>
        </w:tc>
        <w:tc>
          <w:tcPr>
            <w:tcW w:w="4220" w:type="dxa"/>
            <w:vAlign w:val="bottom"/>
            <w:tcBorders>
              <w:top w:val="single" w:sz="8" w:color="0000EE"/>
            </w:tcBorders>
            <w:gridSpan w:val="12"/>
          </w:tcPr>
          <w:p>
            <w:pPr>
              <w:spacing w:after="0"/>
              <w:rPr>
                <w:sz w:val="17"/>
                <w:szCs w:val="17"/>
                <w:color w:val="auto"/>
              </w:rPr>
            </w:pPr>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10.17.1+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tcBorders>
              <w:bottom w:val="single" w:sz="8" w:color="0000EE"/>
            </w:tcBorders>
            <w:gridSpan w:val="14"/>
          </w:tcPr>
          <w:p>
            <w:pPr>
              <w:spacing w:after="0"/>
              <w:rPr>
                <w:rFonts w:ascii="Arial" w:cs="Arial" w:eastAsia="Arial" w:hAnsi="Arial"/>
                <w:sz w:val="18"/>
                <w:szCs w:val="18"/>
                <w:color w:val="0000EE"/>
                <w:w w:val="90"/>
              </w:rPr>
            </w:pPr>
            <w:hyperlink r:id="rId371">
              <w:r>
                <w:rPr>
                  <w:rFonts w:ascii="Arial" w:cs="Arial" w:eastAsia="Arial" w:hAnsi="Arial"/>
                  <w:sz w:val="18"/>
                  <w:szCs w:val="18"/>
                  <w:color w:val="0000EE"/>
                  <w:w w:val="90"/>
                </w:rPr>
                <w:t>First Amendment of Humacyte, Inc. 2005 Stock Option Plan, dated March 31, 2008 (incorporated by reference to</w:t>
              </w:r>
            </w:hyperlink>
          </w:p>
        </w:tc>
        <w:tc>
          <w:tcPr>
            <w:tcW w:w="5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371">
              <w:r>
                <w:rPr>
                  <w:rFonts w:ascii="Arial" w:cs="Arial" w:eastAsia="Arial" w:hAnsi="Arial"/>
                  <w:sz w:val="18"/>
                  <w:szCs w:val="18"/>
                  <w:color w:val="0000EE"/>
                  <w:w w:val="91"/>
                </w:rPr>
                <w:t>Exhibit 10.18.1 to Humacyte, Inc.’s Registration Statement on S-4, filed with the SEC on March 23, 2021).</w:t>
              </w:r>
            </w:hyperlink>
          </w:p>
        </w:tc>
        <w:tc>
          <w:tcPr>
            <w:tcW w:w="9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10.17.2+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9"/>
          </w:tcPr>
          <w:p>
            <w:pPr>
              <w:spacing w:after="0"/>
              <w:rPr>
                <w:rFonts w:ascii="Arial" w:cs="Arial" w:eastAsia="Arial" w:hAnsi="Arial"/>
                <w:sz w:val="18"/>
                <w:szCs w:val="18"/>
                <w:color w:val="0000EE"/>
                <w:w w:val="92"/>
              </w:rPr>
            </w:pPr>
            <w:hyperlink r:id="rId372">
              <w:r>
                <w:rPr>
                  <w:rFonts w:ascii="Arial" w:cs="Arial" w:eastAsia="Arial" w:hAnsi="Arial"/>
                  <w:sz w:val="18"/>
                  <w:szCs w:val="18"/>
                  <w:color w:val="0000EE"/>
                  <w:w w:val="92"/>
                </w:rPr>
                <w:t>Second Amendment of Humacyte, Inc. 2005 Stock Option Plan, dated October 28, 2011 (incorporated by reference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372">
              <w:r>
                <w:rPr>
                  <w:rFonts w:ascii="Arial" w:cs="Arial" w:eastAsia="Arial" w:hAnsi="Arial"/>
                  <w:sz w:val="18"/>
                  <w:szCs w:val="18"/>
                  <w:color w:val="0000EE"/>
                  <w:w w:val="91"/>
                </w:rPr>
                <w:t>Exhibit 10.18.2 to Humacyte, Inc.’s Registration Statement on S-4, filed with the SEC on March 23, 2021).</w:t>
              </w:r>
            </w:hyperlink>
          </w:p>
        </w:tc>
        <w:tc>
          <w:tcPr>
            <w:tcW w:w="760" w:type="dxa"/>
            <w:vAlign w:val="bottom"/>
            <w:tcBorders>
              <w:top w:val="single" w:sz="8" w:color="0000EE"/>
            </w:tcBorders>
            <w:gridSpan w:val="12"/>
          </w:tcPr>
          <w:p>
            <w:pPr>
              <w:spacing w:after="0"/>
              <w:rPr>
                <w:sz w:val="17"/>
                <w:szCs w:val="17"/>
                <w:color w:val="auto"/>
              </w:rPr>
            </w:pP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1" w:name="page252"/>
    <w:bookmarkEnd w:id="251"/>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40" w:type="dxa"/>
            <w:vAlign w:val="bottom"/>
            <w:gridSpan w:val="18"/>
            <w:vMerge w:val="restart"/>
          </w:tcPr>
          <w:p>
            <w:pPr>
              <w:ind w:left="2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4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10.17.3+</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540" w:type="dxa"/>
            <w:vAlign w:val="bottom"/>
            <w:tcBorders>
              <w:top w:val="single" w:sz="8" w:color="auto"/>
              <w:bottom w:val="single" w:sz="8" w:color="0000EE"/>
            </w:tcBorders>
            <w:gridSpan w:val="15"/>
          </w:tcPr>
          <w:p>
            <w:pPr>
              <w:spacing w:after="0" w:line="169" w:lineRule="exact"/>
              <w:rPr>
                <w:rFonts w:ascii="Arial" w:cs="Arial" w:eastAsia="Arial" w:hAnsi="Arial"/>
                <w:sz w:val="18"/>
                <w:szCs w:val="18"/>
                <w:color w:val="0000EE"/>
                <w:w w:val="90"/>
              </w:rPr>
            </w:pPr>
            <w:hyperlink r:id="rId374">
              <w:r>
                <w:rPr>
                  <w:rFonts w:ascii="Arial" w:cs="Arial" w:eastAsia="Arial" w:hAnsi="Arial"/>
                  <w:sz w:val="18"/>
                  <w:szCs w:val="18"/>
                  <w:color w:val="0000EE"/>
                  <w:w w:val="90"/>
                </w:rPr>
                <w:t>Third Amendment of Humacyte, Inc. 2005 Stock Option Plan, dated November 22, 2013 (incorporated by reference to</w:t>
              </w:r>
            </w:hyperlink>
          </w:p>
        </w:tc>
        <w:tc>
          <w:tcPr>
            <w:tcW w:w="140" w:type="dxa"/>
            <w:vAlign w:val="bottom"/>
            <w:tcBorders>
              <w:top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74">
              <w:r>
                <w:rPr>
                  <w:rFonts w:ascii="Arial" w:cs="Arial" w:eastAsia="Arial" w:hAnsi="Arial"/>
                  <w:sz w:val="18"/>
                  <w:szCs w:val="18"/>
                  <w:color w:val="0000EE"/>
                  <w:w w:val="91"/>
                </w:rPr>
                <w:t>Exhibit 10.18.3 to Humacyte, Inc.’s Registration Statement on S-4, filed with the SEC on March 23, 2021).</w:t>
              </w:r>
            </w:hyperlink>
          </w:p>
        </w:tc>
        <w:tc>
          <w:tcPr>
            <w:tcW w:w="9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10.17.4+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1"/>
          </w:tcPr>
          <w:p>
            <w:pPr>
              <w:spacing w:after="0"/>
              <w:rPr>
                <w:rFonts w:ascii="Arial" w:cs="Arial" w:eastAsia="Arial" w:hAnsi="Arial"/>
                <w:sz w:val="18"/>
                <w:szCs w:val="18"/>
                <w:color w:val="0000EE"/>
                <w:w w:val="91"/>
              </w:rPr>
            </w:pPr>
            <w:hyperlink r:id="rId375">
              <w:r>
                <w:rPr>
                  <w:rFonts w:ascii="Arial" w:cs="Arial" w:eastAsia="Arial" w:hAnsi="Arial"/>
                  <w:sz w:val="18"/>
                  <w:szCs w:val="18"/>
                  <w:color w:val="0000EE"/>
                  <w:w w:val="91"/>
                </w:rPr>
                <w:t>Form of Incentive Stock Option Agreement under Humacyte, Inc. 2005 Stock Option Plan (incorporated by reference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375">
              <w:r>
                <w:rPr>
                  <w:rFonts w:ascii="Arial" w:cs="Arial" w:eastAsia="Arial" w:hAnsi="Arial"/>
                  <w:sz w:val="18"/>
                  <w:szCs w:val="18"/>
                  <w:color w:val="0000EE"/>
                  <w:w w:val="91"/>
                </w:rPr>
                <w:t>Exhibit 10.18.4 to Humacyte, Inc.’s Registration Statement on S-4, filed with the SEC on March 23, 2021).</w:t>
              </w:r>
            </w:hyperlink>
          </w:p>
        </w:tc>
        <w:tc>
          <w:tcPr>
            <w:tcW w:w="920" w:type="dxa"/>
            <w:vAlign w:val="bottom"/>
            <w:tcBorders>
              <w:top w:val="single" w:sz="8" w:color="0000EE"/>
            </w:tcBorders>
            <w:gridSpan w:val="1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10.17.5+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1"/>
          </w:tcPr>
          <w:p>
            <w:pPr>
              <w:spacing w:after="0"/>
              <w:rPr>
                <w:rFonts w:ascii="Arial" w:cs="Arial" w:eastAsia="Arial" w:hAnsi="Arial"/>
                <w:sz w:val="18"/>
                <w:szCs w:val="18"/>
                <w:color w:val="0000EE"/>
                <w:w w:val="99"/>
              </w:rPr>
            </w:pPr>
            <w:hyperlink r:id="rId376">
              <w:r>
                <w:rPr>
                  <w:rFonts w:ascii="Arial" w:cs="Arial" w:eastAsia="Arial" w:hAnsi="Arial"/>
                  <w:sz w:val="18"/>
                  <w:szCs w:val="18"/>
                  <w:color w:val="0000EE"/>
                  <w:w w:val="99"/>
                </w:rPr>
                <w:t>Form of Nonqualified Stock Option Agreement under Humacyte, Inc. 2005 Stock Option Plan (incorporated by</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376">
              <w:r>
                <w:rPr>
                  <w:rFonts w:ascii="Arial" w:cs="Arial" w:eastAsia="Arial" w:hAnsi="Arial"/>
                  <w:sz w:val="18"/>
                  <w:szCs w:val="18"/>
                  <w:color w:val="0000EE"/>
                  <w:w w:val="91"/>
                </w:rPr>
                <w:t>reference to Exhibit 10.18.5 to Humacyte, Inc.’s Registration Statement on S-4, filed with the SEC on March 23, 2021).</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20" w:type="dxa"/>
            <w:vAlign w:val="bottom"/>
            <w:tcBorders>
              <w:bottom w:val="single" w:sz="8" w:color="0000EE"/>
            </w:tcBorders>
            <w:gridSpan w:val="8"/>
          </w:tcPr>
          <w:p>
            <w:pPr>
              <w:spacing w:after="0"/>
              <w:rPr>
                <w:rFonts w:ascii="Arial" w:cs="Arial" w:eastAsia="Arial" w:hAnsi="Arial"/>
                <w:sz w:val="18"/>
                <w:szCs w:val="18"/>
                <w:color w:val="0000EE"/>
                <w:w w:val="91"/>
              </w:rPr>
            </w:pPr>
            <w:hyperlink r:id="rId377">
              <w:r>
                <w:rPr>
                  <w:rFonts w:ascii="Arial" w:cs="Arial" w:eastAsia="Arial" w:hAnsi="Arial"/>
                  <w:sz w:val="18"/>
                  <w:szCs w:val="18"/>
                  <w:color w:val="0000EE"/>
                  <w:w w:val="91"/>
                </w:rPr>
                <w:t>Humacyte, Inc. 2015 Omnibus Incentive Plan (incorporated by reference to Exhibit 10.19 to Humacyte, Inc.’s</w:t>
              </w:r>
            </w:hyperlink>
          </w:p>
        </w:tc>
        <w:tc>
          <w:tcPr>
            <w:tcW w:w="7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1"/>
          </w:tcPr>
          <w:p>
            <w:pPr>
              <w:spacing w:after="0" w:line="196" w:lineRule="exact"/>
              <w:rPr>
                <w:rFonts w:ascii="Arial" w:cs="Arial" w:eastAsia="Arial" w:hAnsi="Arial"/>
                <w:sz w:val="18"/>
                <w:szCs w:val="18"/>
                <w:color w:val="0000EE"/>
              </w:rPr>
            </w:pPr>
            <w:hyperlink r:id="rId377">
              <w:r>
                <w:rPr>
                  <w:rFonts w:ascii="Arial" w:cs="Arial" w:eastAsia="Arial" w:hAnsi="Arial"/>
                  <w:sz w:val="18"/>
                  <w:szCs w:val="18"/>
                  <w:color w:val="0000EE"/>
                </w:rPr>
                <w:t>Registration Statement on S-4, filed with the SEC on March 23,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10.18.1+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1"/>
          </w:tcPr>
          <w:p>
            <w:pPr>
              <w:spacing w:after="0"/>
              <w:rPr>
                <w:rFonts w:ascii="Arial" w:cs="Arial" w:eastAsia="Arial" w:hAnsi="Arial"/>
                <w:sz w:val="18"/>
                <w:szCs w:val="18"/>
                <w:color w:val="0000EE"/>
                <w:w w:val="91"/>
              </w:rPr>
            </w:pPr>
            <w:hyperlink r:id="rId378">
              <w:r>
                <w:rPr>
                  <w:rFonts w:ascii="Arial" w:cs="Arial" w:eastAsia="Arial" w:hAnsi="Arial"/>
                  <w:sz w:val="18"/>
                  <w:szCs w:val="18"/>
                  <w:color w:val="0000EE"/>
                  <w:w w:val="91"/>
                </w:rPr>
                <w:t>First Amendment to Humacyte, Inc. 2015 Omnibus Incentive Plan, dated February 23, 2018 (incorporated by reference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378">
              <w:r>
                <w:rPr>
                  <w:rFonts w:ascii="Arial" w:cs="Arial" w:eastAsia="Arial" w:hAnsi="Arial"/>
                  <w:sz w:val="18"/>
                  <w:szCs w:val="18"/>
                  <w:color w:val="0000EE"/>
                  <w:w w:val="91"/>
                </w:rPr>
                <w:t>to Exhibit 10.19.1 to Humacyte, Inc.’s Registration Statement on S-4, filed with the SEC on March 23, 2021).</w:t>
              </w:r>
            </w:hyperlink>
          </w:p>
        </w:tc>
        <w:tc>
          <w:tcPr>
            <w:tcW w:w="680" w:type="dxa"/>
            <w:vAlign w:val="bottom"/>
            <w:tcBorders>
              <w:top w:val="single" w:sz="8" w:color="0000EE"/>
            </w:tcBorders>
            <w:gridSpan w:val="10"/>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10.18.2+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bottom w:val="single" w:sz="8" w:color="0000EE"/>
            </w:tcBorders>
            <w:gridSpan w:val="16"/>
          </w:tcPr>
          <w:p>
            <w:pPr>
              <w:spacing w:after="0"/>
              <w:rPr>
                <w:rFonts w:ascii="Arial" w:cs="Arial" w:eastAsia="Arial" w:hAnsi="Arial"/>
                <w:sz w:val="18"/>
                <w:szCs w:val="18"/>
                <w:color w:val="0000EE"/>
                <w:w w:val="90"/>
              </w:rPr>
            </w:pPr>
            <w:hyperlink r:id="rId379">
              <w:r>
                <w:rPr>
                  <w:rFonts w:ascii="Arial" w:cs="Arial" w:eastAsia="Arial" w:hAnsi="Arial"/>
                  <w:sz w:val="18"/>
                  <w:szCs w:val="18"/>
                  <w:color w:val="0000EE"/>
                  <w:w w:val="90"/>
                </w:rPr>
                <w:t>Second Amendment to Humacyte, Inc. 2015 Omnibus Incentive Plan, dated June 6, 2018 (incorporated by reference to</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79">
              <w:r>
                <w:rPr>
                  <w:rFonts w:ascii="Arial" w:cs="Arial" w:eastAsia="Arial" w:hAnsi="Arial"/>
                  <w:sz w:val="18"/>
                  <w:szCs w:val="18"/>
                  <w:color w:val="0000EE"/>
                  <w:w w:val="91"/>
                </w:rPr>
                <w:t>Exhibit 10.19.2 to Humacyte, Inc.’s Registration Statement on S-4, filed with the SEC on March 23, 2021).</w:t>
              </w:r>
            </w:hyperlink>
          </w:p>
        </w:tc>
        <w:tc>
          <w:tcPr>
            <w:tcW w:w="9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10.18.3+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tcBorders>
              <w:bottom w:val="single" w:sz="8" w:color="0000EE"/>
            </w:tcBorders>
            <w:gridSpan w:val="11"/>
          </w:tcPr>
          <w:p>
            <w:pPr>
              <w:spacing w:after="0"/>
              <w:rPr>
                <w:rFonts w:ascii="Arial" w:cs="Arial" w:eastAsia="Arial" w:hAnsi="Arial"/>
                <w:sz w:val="18"/>
                <w:szCs w:val="18"/>
                <w:color w:val="0000EE"/>
                <w:w w:val="91"/>
              </w:rPr>
            </w:pPr>
            <w:hyperlink r:id="rId380">
              <w:r>
                <w:rPr>
                  <w:rFonts w:ascii="Arial" w:cs="Arial" w:eastAsia="Arial" w:hAnsi="Arial"/>
                  <w:sz w:val="18"/>
                  <w:szCs w:val="18"/>
                  <w:color w:val="0000EE"/>
                  <w:w w:val="91"/>
                </w:rPr>
                <w:t>Form of Incentive Stock Option Agreement under Humacyte, Inc. 2015 Omnibus Incentive Plan (incorporated by</w:t>
              </w:r>
            </w:hyperlink>
          </w:p>
        </w:tc>
        <w:tc>
          <w:tcPr>
            <w:tcW w:w="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380">
              <w:r>
                <w:rPr>
                  <w:rFonts w:ascii="Arial" w:cs="Arial" w:eastAsia="Arial" w:hAnsi="Arial"/>
                  <w:sz w:val="18"/>
                  <w:szCs w:val="18"/>
                  <w:color w:val="0000EE"/>
                  <w:w w:val="91"/>
                </w:rPr>
                <w:t>reference to Exhibit 10.19.3 to Humacyte, Inc.’s Registration Statement on S-4, filed with the SEC on March 23, 2021).</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10.18.4+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1"/>
          </w:tcPr>
          <w:p>
            <w:pPr>
              <w:spacing w:after="0"/>
              <w:rPr>
                <w:rFonts w:ascii="Arial" w:cs="Arial" w:eastAsia="Arial" w:hAnsi="Arial"/>
                <w:sz w:val="18"/>
                <w:szCs w:val="18"/>
                <w:color w:val="0000EE"/>
                <w:w w:val="94"/>
              </w:rPr>
            </w:pPr>
            <w:hyperlink r:id="rId381">
              <w:r>
                <w:rPr>
                  <w:rFonts w:ascii="Arial" w:cs="Arial" w:eastAsia="Arial" w:hAnsi="Arial"/>
                  <w:sz w:val="18"/>
                  <w:szCs w:val="18"/>
                  <w:color w:val="0000EE"/>
                  <w:w w:val="94"/>
                </w:rPr>
                <w:t>Form of Nonqualified Stock Option Agreement under Humacyte, Inc. 2015 Omnibus Incentive Plan (incorporated by</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381">
              <w:r>
                <w:rPr>
                  <w:rFonts w:ascii="Arial" w:cs="Arial" w:eastAsia="Arial" w:hAnsi="Arial"/>
                  <w:sz w:val="18"/>
                  <w:szCs w:val="18"/>
                  <w:color w:val="0000EE"/>
                  <w:w w:val="91"/>
                </w:rPr>
                <w:t>reference to Exhibit 10.19.4 to Humacyte, Inc.’s Registration Statement on S-4, filed with the SEC on March 23, 2021).</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1"/>
          </w:tcPr>
          <w:p>
            <w:pPr>
              <w:spacing w:after="0"/>
              <w:rPr>
                <w:rFonts w:ascii="Arial" w:cs="Arial" w:eastAsia="Arial" w:hAnsi="Arial"/>
                <w:sz w:val="18"/>
                <w:szCs w:val="18"/>
                <w:color w:val="0000EE"/>
                <w:w w:val="99"/>
              </w:rPr>
            </w:pPr>
            <w:hyperlink r:id="rId382">
              <w:r>
                <w:rPr>
                  <w:rFonts w:ascii="Arial" w:cs="Arial" w:eastAsia="Arial" w:hAnsi="Arial"/>
                  <w:sz w:val="18"/>
                  <w:szCs w:val="18"/>
                  <w:color w:val="0000EE"/>
                  <w:w w:val="99"/>
                </w:rPr>
                <w:t>Form of Indemnity Agreement by and between Humacyte, Inc. and each of its directors and executive officers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1"/>
          </w:tcPr>
          <w:p>
            <w:pPr>
              <w:spacing w:after="0" w:line="196" w:lineRule="exact"/>
              <w:rPr>
                <w:rFonts w:ascii="Arial" w:cs="Arial" w:eastAsia="Arial" w:hAnsi="Arial"/>
                <w:sz w:val="18"/>
                <w:szCs w:val="18"/>
                <w:color w:val="0000EE"/>
                <w:w w:val="92"/>
              </w:rPr>
            </w:pPr>
            <w:hyperlink r:id="rId382">
              <w:r>
                <w:rPr>
                  <w:rFonts w:ascii="Arial" w:cs="Arial" w:eastAsia="Arial" w:hAnsi="Arial"/>
                  <w:sz w:val="18"/>
                  <w:szCs w:val="18"/>
                  <w:color w:val="0000EE"/>
                  <w:w w:val="92"/>
                </w:rPr>
                <w:t>(incorporated by reference to Exhibit 10.23 to Humacyte, Inc.’s Registration Statement on S-4/A, filed with the SEC 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382">
              <w:r>
                <w:rPr>
                  <w:rFonts w:ascii="Arial" w:cs="Arial" w:eastAsia="Arial" w:hAnsi="Arial"/>
                  <w:sz w:val="18"/>
                  <w:szCs w:val="18"/>
                  <w:color w:val="0000EE"/>
                </w:rPr>
                <w:t>July 1, 2021).</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1"/>
          </w:tcPr>
          <w:p>
            <w:pPr>
              <w:spacing w:after="0"/>
              <w:rPr>
                <w:rFonts w:ascii="Arial" w:cs="Arial" w:eastAsia="Arial" w:hAnsi="Arial"/>
                <w:sz w:val="18"/>
                <w:szCs w:val="18"/>
                <w:color w:val="0000EE"/>
                <w:w w:val="92"/>
              </w:rPr>
            </w:pPr>
            <w:hyperlink r:id="rId383">
              <w:r>
                <w:rPr>
                  <w:rFonts w:ascii="Arial" w:cs="Arial" w:eastAsia="Arial" w:hAnsi="Arial"/>
                  <w:sz w:val="18"/>
                  <w:szCs w:val="18"/>
                  <w:color w:val="0000EE"/>
                  <w:w w:val="92"/>
                </w:rPr>
                <w:t>Lease Agreement, dated December 31, 2015, between ARE-NC Region No. 5, LLC and Humacyte, Inc. (incorporated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383">
              <w:r>
                <w:rPr>
                  <w:rFonts w:ascii="Arial" w:cs="Arial" w:eastAsia="Arial" w:hAnsi="Arial"/>
                  <w:sz w:val="18"/>
                  <w:szCs w:val="18"/>
                  <w:color w:val="0000EE"/>
                  <w:w w:val="91"/>
                </w:rPr>
                <w:t>by reference to Exhibit 10.22 to Humacyte, Inc.’s Registration Statement on S-4, filed with the SEC on March 23,</w:t>
              </w:r>
            </w:hyperlink>
          </w:p>
        </w:tc>
        <w:tc>
          <w:tcPr>
            <w:tcW w:w="300" w:type="dxa"/>
            <w:vAlign w:val="bottom"/>
            <w:tcBorders>
              <w:top w:val="single" w:sz="8" w:color="0000EE"/>
            </w:tcBorders>
            <w:gridSpan w:val="2"/>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ind w:left="20"/>
              <w:spacing w:after="0" w:line="196" w:lineRule="exact"/>
              <w:rPr>
                <w:rFonts w:ascii="Arial" w:cs="Arial" w:eastAsia="Arial" w:hAnsi="Arial"/>
                <w:sz w:val="18"/>
                <w:szCs w:val="18"/>
                <w:color w:val="0000EE"/>
                <w:w w:val="86"/>
              </w:rPr>
            </w:pPr>
            <w:hyperlink r:id="rId383">
              <w:r>
                <w:rPr>
                  <w:rFonts w:ascii="Arial" w:cs="Arial" w:eastAsia="Arial" w:hAnsi="Arial"/>
                  <w:sz w:val="18"/>
                  <w:szCs w:val="18"/>
                  <w:color w:val="0000EE"/>
                  <w:w w:val="86"/>
                </w:rPr>
                <w:t>2021).</w:t>
              </w:r>
            </w:hyperlink>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10.20.1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tcBorders>
              <w:bottom w:val="single" w:sz="8" w:color="0000EE"/>
            </w:tcBorders>
            <w:gridSpan w:val="11"/>
          </w:tcPr>
          <w:p>
            <w:pPr>
              <w:spacing w:after="0"/>
              <w:rPr>
                <w:rFonts w:ascii="Arial" w:cs="Arial" w:eastAsia="Arial" w:hAnsi="Arial"/>
                <w:sz w:val="18"/>
                <w:szCs w:val="18"/>
                <w:color w:val="0000EE"/>
                <w:w w:val="90"/>
              </w:rPr>
            </w:pPr>
            <w:hyperlink r:id="rId384">
              <w:r>
                <w:rPr>
                  <w:rFonts w:ascii="Arial" w:cs="Arial" w:eastAsia="Arial" w:hAnsi="Arial"/>
                  <w:sz w:val="18"/>
                  <w:szCs w:val="18"/>
                  <w:color w:val="0000EE"/>
                  <w:w w:val="90"/>
                </w:rPr>
                <w:t>First Amendment to Lease, dated September 30, 2016, between ARE-NC Region No. 5, LLC and Humacyte, Inc.</w:t>
              </w:r>
            </w:hyperlink>
          </w:p>
        </w:tc>
        <w:tc>
          <w:tcPr>
            <w:tcW w:w="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384">
              <w:r>
                <w:rPr>
                  <w:rFonts w:ascii="Arial" w:cs="Arial" w:eastAsia="Arial" w:hAnsi="Arial"/>
                  <w:sz w:val="18"/>
                  <w:szCs w:val="18"/>
                  <w:color w:val="0000EE"/>
                  <w:w w:val="91"/>
                </w:rPr>
                <w:t>(incorporated by reference to Exhibit 10.22.1 to Humacyte, Inc.’s Registration Statement on S-4, filed with the SEC on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1"/>
          </w:tcPr>
          <w:p>
            <w:pPr>
              <w:spacing w:after="0" w:line="196" w:lineRule="exact"/>
              <w:rPr>
                <w:rFonts w:ascii="Arial" w:cs="Arial" w:eastAsia="Arial" w:hAnsi="Arial"/>
                <w:sz w:val="18"/>
                <w:szCs w:val="18"/>
                <w:color w:val="0000EE"/>
              </w:rPr>
            </w:pPr>
            <w:hyperlink r:id="rId384">
              <w:r>
                <w:rPr>
                  <w:rFonts w:ascii="Arial" w:cs="Arial" w:eastAsia="Arial" w:hAnsi="Arial"/>
                  <w:sz w:val="18"/>
                  <w:szCs w:val="18"/>
                  <w:color w:val="0000EE"/>
                </w:rPr>
                <w:t>March 23,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10.20.2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1"/>
          </w:tcPr>
          <w:p>
            <w:pPr>
              <w:spacing w:after="0"/>
              <w:rPr>
                <w:rFonts w:ascii="Arial" w:cs="Arial" w:eastAsia="Arial" w:hAnsi="Arial"/>
                <w:sz w:val="18"/>
                <w:szCs w:val="18"/>
                <w:color w:val="0000EE"/>
                <w:w w:val="96"/>
              </w:rPr>
            </w:pPr>
            <w:hyperlink r:id="rId385">
              <w:r>
                <w:rPr>
                  <w:rFonts w:ascii="Arial" w:cs="Arial" w:eastAsia="Arial" w:hAnsi="Arial"/>
                  <w:sz w:val="18"/>
                  <w:szCs w:val="18"/>
                  <w:color w:val="0000EE"/>
                  <w:w w:val="96"/>
                </w:rPr>
                <w:t>Second Amendment to Lease, dated February 8, 2017, between ARE-NC Region No. 5, LLC and Humacyte, Inc.</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60" w:type="dxa"/>
            <w:vAlign w:val="bottom"/>
            <w:gridSpan w:val="6"/>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385">
              <w:r>
                <w:rPr>
                  <w:rFonts w:ascii="Arial" w:cs="Arial" w:eastAsia="Arial" w:hAnsi="Arial"/>
                  <w:sz w:val="18"/>
                  <w:szCs w:val="18"/>
                  <w:color w:val="0000EE"/>
                  <w:w w:val="91"/>
                </w:rPr>
                <w:t>(incorporated by reference to Exhibit 10.22.2 to Humacyte, Inc.’s Registration Statement on S-4, filed with the SEC on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1"/>
          </w:tcPr>
          <w:p>
            <w:pPr>
              <w:spacing w:after="0" w:line="196" w:lineRule="exact"/>
              <w:rPr>
                <w:rFonts w:ascii="Arial" w:cs="Arial" w:eastAsia="Arial" w:hAnsi="Arial"/>
                <w:sz w:val="18"/>
                <w:szCs w:val="18"/>
                <w:color w:val="0000EE"/>
              </w:rPr>
            </w:pPr>
            <w:hyperlink r:id="rId385">
              <w:r>
                <w:rPr>
                  <w:rFonts w:ascii="Arial" w:cs="Arial" w:eastAsia="Arial" w:hAnsi="Arial"/>
                  <w:sz w:val="18"/>
                  <w:szCs w:val="18"/>
                  <w:color w:val="0000EE"/>
                </w:rPr>
                <w:t>March 23,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10.20.3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tcBorders>
              <w:bottom w:val="single" w:sz="8" w:color="0000EE"/>
            </w:tcBorders>
            <w:gridSpan w:val="6"/>
          </w:tcPr>
          <w:p>
            <w:pPr>
              <w:spacing w:after="0"/>
              <w:rPr>
                <w:rFonts w:ascii="Arial" w:cs="Arial" w:eastAsia="Arial" w:hAnsi="Arial"/>
                <w:sz w:val="18"/>
                <w:szCs w:val="18"/>
                <w:color w:val="0000EE"/>
                <w:w w:val="91"/>
              </w:rPr>
            </w:pPr>
            <w:hyperlink r:id="rId386">
              <w:r>
                <w:rPr>
                  <w:rFonts w:ascii="Arial" w:cs="Arial" w:eastAsia="Arial" w:hAnsi="Arial"/>
                  <w:sz w:val="18"/>
                  <w:szCs w:val="18"/>
                  <w:color w:val="0000EE"/>
                  <w:w w:val="91"/>
                </w:rPr>
                <w:t>Third Amendment to Lease, dated April 21, 2017, between ARE-NC Region No. 5, LLC and Humacyte, Inc.</w:t>
              </w:r>
            </w:hyperlink>
          </w:p>
        </w:tc>
        <w:tc>
          <w:tcPr>
            <w:tcW w:w="8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386">
              <w:r>
                <w:rPr>
                  <w:rFonts w:ascii="Arial" w:cs="Arial" w:eastAsia="Arial" w:hAnsi="Arial"/>
                  <w:sz w:val="18"/>
                  <w:szCs w:val="18"/>
                  <w:color w:val="0000EE"/>
                  <w:w w:val="91"/>
                </w:rPr>
                <w:t>(incorporated by reference to Exhibit 10.22.3 to Humacyte, Inc.’s Registration Statement on S-4, filed with the SEC on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1"/>
          </w:tcPr>
          <w:p>
            <w:pPr>
              <w:spacing w:after="0" w:line="196" w:lineRule="exact"/>
              <w:rPr>
                <w:rFonts w:ascii="Arial" w:cs="Arial" w:eastAsia="Arial" w:hAnsi="Arial"/>
                <w:sz w:val="18"/>
                <w:szCs w:val="18"/>
                <w:color w:val="0000EE"/>
              </w:rPr>
            </w:pPr>
            <w:hyperlink r:id="rId386">
              <w:r>
                <w:rPr>
                  <w:rFonts w:ascii="Arial" w:cs="Arial" w:eastAsia="Arial" w:hAnsi="Arial"/>
                  <w:sz w:val="18"/>
                  <w:szCs w:val="18"/>
                  <w:color w:val="0000EE"/>
                </w:rPr>
                <w:t>March 23,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10.20.4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60" w:type="dxa"/>
            <w:vAlign w:val="bottom"/>
            <w:tcBorders>
              <w:bottom w:val="single" w:sz="8" w:color="0000EE"/>
            </w:tcBorders>
            <w:gridSpan w:val="10"/>
          </w:tcPr>
          <w:p>
            <w:pPr>
              <w:spacing w:after="0"/>
              <w:rPr>
                <w:rFonts w:ascii="Arial" w:cs="Arial" w:eastAsia="Arial" w:hAnsi="Arial"/>
                <w:sz w:val="18"/>
                <w:szCs w:val="18"/>
                <w:color w:val="0000EE"/>
                <w:w w:val="90"/>
              </w:rPr>
            </w:pPr>
            <w:hyperlink r:id="rId387">
              <w:r>
                <w:rPr>
                  <w:rFonts w:ascii="Arial" w:cs="Arial" w:eastAsia="Arial" w:hAnsi="Arial"/>
                  <w:sz w:val="18"/>
                  <w:szCs w:val="18"/>
                  <w:color w:val="0000EE"/>
                  <w:w w:val="90"/>
                </w:rPr>
                <w:t>Fourth Amendment to Lease, dated October 31, 2017, between ARE-NC Region No. 5, LLC and Humacyte, Inc.</w:t>
              </w:r>
            </w:hyperlink>
          </w:p>
        </w:tc>
        <w:tc>
          <w:tcPr>
            <w:tcW w:w="5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387">
              <w:r>
                <w:rPr>
                  <w:rFonts w:ascii="Arial" w:cs="Arial" w:eastAsia="Arial" w:hAnsi="Arial"/>
                  <w:sz w:val="18"/>
                  <w:szCs w:val="18"/>
                  <w:color w:val="0000EE"/>
                  <w:w w:val="91"/>
                </w:rPr>
                <w:t>(incorporated by reference to Exhibit 10.22.4 to Humacyte, Inc.’s Registration Statement on S-4, filed with the SEC on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21"/>
          </w:tcPr>
          <w:p>
            <w:pPr>
              <w:spacing w:after="0" w:line="196" w:lineRule="exact"/>
              <w:rPr>
                <w:rFonts w:ascii="Arial" w:cs="Arial" w:eastAsia="Arial" w:hAnsi="Arial"/>
                <w:sz w:val="18"/>
                <w:szCs w:val="18"/>
                <w:color w:val="0000EE"/>
              </w:rPr>
            </w:pPr>
            <w:hyperlink r:id="rId387">
              <w:r>
                <w:rPr>
                  <w:rFonts w:ascii="Arial" w:cs="Arial" w:eastAsia="Arial" w:hAnsi="Arial"/>
                  <w:sz w:val="18"/>
                  <w:szCs w:val="18"/>
                  <w:color w:val="0000EE"/>
                </w:rPr>
                <w:t>March 23,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2" w:name="page253"/>
    <w:bookmarkEnd w:id="252"/>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7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7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16.1</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680" w:type="dxa"/>
            <w:vAlign w:val="bottom"/>
            <w:tcBorders>
              <w:top w:val="single" w:sz="8" w:color="auto"/>
            </w:tcBorders>
            <w:gridSpan w:val="9"/>
          </w:tcPr>
          <w:p>
            <w:pPr>
              <w:spacing w:after="0" w:line="169" w:lineRule="exact"/>
              <w:rPr>
                <w:rFonts w:ascii="Arial" w:cs="Arial" w:eastAsia="Arial" w:hAnsi="Arial"/>
                <w:sz w:val="18"/>
                <w:szCs w:val="18"/>
                <w:color w:val="0000EE"/>
                <w:w w:val="91"/>
              </w:rPr>
            </w:pPr>
            <w:hyperlink r:id="rId389">
              <w:r>
                <w:rPr>
                  <w:rFonts w:ascii="Arial" w:cs="Arial" w:eastAsia="Arial" w:hAnsi="Arial"/>
                  <w:sz w:val="18"/>
                  <w:szCs w:val="18"/>
                  <w:color w:val="0000EE"/>
                  <w:w w:val="91"/>
                </w:rPr>
                <w:t>Letter re: Change in certifying accountant (incorporated by reference to Exhibit 16.1 to Humacyte, Inc.’s Current Report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389">
              <w:r>
                <w:rPr>
                  <w:rFonts w:ascii="Arial" w:cs="Arial" w:eastAsia="Arial" w:hAnsi="Arial"/>
                  <w:sz w:val="18"/>
                  <w:szCs w:val="18"/>
                  <w:color w:val="0000EE"/>
                </w:rPr>
                <w:t>on Form 8-K, filed with the SEC on August 27,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9"/>
          </w:tcPr>
          <w:p>
            <w:pPr>
              <w:spacing w:after="0"/>
              <w:rPr>
                <w:rFonts w:ascii="Arial" w:cs="Arial" w:eastAsia="Arial" w:hAnsi="Arial"/>
                <w:sz w:val="18"/>
                <w:szCs w:val="18"/>
                <w:color w:val="0000EE"/>
                <w:w w:val="91"/>
              </w:rPr>
            </w:pPr>
            <w:hyperlink r:id="rId390">
              <w:r>
                <w:rPr>
                  <w:rFonts w:ascii="Arial" w:cs="Arial" w:eastAsia="Arial" w:hAnsi="Arial"/>
                  <w:sz w:val="18"/>
                  <w:szCs w:val="18"/>
                  <w:color w:val="0000EE"/>
                  <w:w w:val="91"/>
                </w:rPr>
                <w:t>Subsidiaries of the Registrant (incorporated by reference to Exhibit 21.1 to Humacyte, Inc.’s Current Report on Form 8-</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390">
              <w:r>
                <w:rPr>
                  <w:rFonts w:ascii="Arial" w:cs="Arial" w:eastAsia="Arial" w:hAnsi="Arial"/>
                  <w:sz w:val="18"/>
                  <w:szCs w:val="18"/>
                  <w:color w:val="0000EE"/>
                  <w:w w:val="92"/>
                </w:rPr>
                <w:t>K, filed with the SEC on August 27, 2021).</w:t>
              </w:r>
            </w:hyperlink>
          </w:p>
        </w:tc>
        <w:tc>
          <w:tcPr>
            <w:tcW w:w="5500" w:type="dxa"/>
            <w:vAlign w:val="bottom"/>
            <w:tcBorders>
              <w:top w:val="single" w:sz="8" w:color="0000EE"/>
            </w:tcBorders>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9"/>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Consent of Covington &amp; Burling LLP (included in Exhibit 5.1).</w:t>
              </w:r>
            </w:hyperlink>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top w:val="single" w:sz="8" w:color="0000EE"/>
            </w:tcBorders>
            <w:gridSpan w:val="6"/>
          </w:tcPr>
          <w:p>
            <w:pPr>
              <w:spacing w:after="0"/>
              <w:rPr>
                <w:rFonts w:ascii="Arial" w:cs="Arial" w:eastAsia="Arial" w:hAnsi="Arial"/>
                <w:sz w:val="18"/>
                <w:szCs w:val="18"/>
                <w:color w:val="0000EE"/>
              </w:rPr>
            </w:pPr>
            <w:hyperlink w:anchor="page263">
              <w:r>
                <w:rPr>
                  <w:rFonts w:ascii="Arial" w:cs="Arial" w:eastAsia="Arial" w:hAnsi="Arial"/>
                  <w:sz w:val="18"/>
                  <w:szCs w:val="18"/>
                  <w:color w:val="0000EE"/>
                </w:rPr>
                <w:t>Consent of Marcum LLP.</w:t>
              </w:r>
            </w:hyperlink>
          </w:p>
        </w:tc>
        <w:tc>
          <w:tcPr>
            <w:tcW w:w="4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9"/>
          </w:tcPr>
          <w:p>
            <w:pPr>
              <w:spacing w:after="0"/>
              <w:rPr>
                <w:rFonts w:ascii="Arial" w:cs="Arial" w:eastAsia="Arial" w:hAnsi="Arial"/>
                <w:sz w:val="18"/>
                <w:szCs w:val="18"/>
                <w:color w:val="0000EE"/>
              </w:rPr>
            </w:pPr>
            <w:hyperlink w:anchor="page264">
              <w:r>
                <w:rPr>
                  <w:rFonts w:ascii="Arial" w:cs="Arial" w:eastAsia="Arial" w:hAnsi="Arial"/>
                  <w:sz w:val="18"/>
                  <w:szCs w:val="18"/>
                  <w:color w:val="0000EE"/>
                </w:rPr>
                <w:t>Consent of PricewaterhouseCoopers LLP.</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9"/>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40" w:hanging="873"/>
        <w:spacing w:after="0"/>
        <w:tabs>
          <w:tab w:leader="none" w:pos="12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-190500</wp:posOffset>
            </wp:positionV>
            <wp:extent cx="15684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5" w:lineRule="exact"/>
        <w:rPr>
          <w:sz w:val="20"/>
          <w:szCs w:val="20"/>
          <w:color w:val="auto"/>
        </w:rPr>
      </w:pPr>
    </w:p>
    <w:p>
      <w:pPr>
        <w:ind w:left="660" w:right="280" w:hanging="652"/>
        <w:spacing w:after="0" w:line="263"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Annexes, schedules and exhibits have been omitted pursuant to Item 601(b)(2) of Regulation S-K. The registrant agrees to furnish supplementally a copy of any omitted attachment to the Securities and Exchange Commission on a confidential basis upon request.</w:t>
      </w:r>
    </w:p>
    <w:p>
      <w:pPr>
        <w:spacing w:after="0" w:line="143"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85" w:lineRule="exact"/>
        <w:rPr>
          <w:sz w:val="20"/>
          <w:szCs w:val="20"/>
          <w:color w:val="auto"/>
        </w:rPr>
      </w:pPr>
    </w:p>
    <w:p>
      <w:pPr>
        <w:ind w:left="660" w:right="240" w:hanging="652"/>
        <w:spacing w:after="0" w:line="207" w:lineRule="auto"/>
        <w:tabs>
          <w:tab w:leader="none" w:pos="660" w:val="left"/>
        </w:tabs>
        <w:numPr>
          <w:ilvl w:val="0"/>
          <w:numId w:val="134"/>
        </w:numPr>
        <w:rPr>
          <w:rFonts w:ascii="Arial" w:cs="Arial" w:eastAsia="Arial" w:hAnsi="Arial"/>
          <w:sz w:val="27"/>
          <w:szCs w:val="27"/>
          <w:color w:val="auto"/>
          <w:vertAlign w:val="superscript"/>
        </w:rPr>
      </w:pPr>
      <w:r>
        <w:rPr>
          <w:rFonts w:ascii="Arial" w:cs="Arial" w:eastAsia="Arial" w:hAnsi="Arial"/>
          <w:sz w:val="18"/>
          <w:szCs w:val="18"/>
          <w:color w:val="auto"/>
        </w:rPr>
        <w:t>Certain confidential information contained in this exhibit, market by brackets, has been omitted because the information (i) is not material and (ii) would be competitively harmful if disclosed.</w:t>
      </w:r>
    </w:p>
    <w:p>
      <w:pPr>
        <w:spacing w:after="0" w:line="161"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3" w:name="page254"/>
    <w:bookmarkEnd w:id="253"/>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198" w:lineRule="exact"/>
        <w:rPr>
          <w:sz w:val="20"/>
          <w:szCs w:val="20"/>
          <w:color w:val="auto"/>
        </w:rPr>
      </w:pPr>
    </w:p>
    <w:p>
      <w:pPr>
        <w:ind w:left="680" w:hanging="321"/>
        <w:spacing w:after="0"/>
        <w:tabs>
          <w:tab w:leader="none" w:pos="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07" w:lineRule="exact"/>
        <w:rPr>
          <w:rFonts w:ascii="Arial" w:cs="Arial" w:eastAsia="Arial" w:hAnsi="Arial"/>
          <w:sz w:val="16"/>
          <w:szCs w:val="16"/>
          <w:color w:val="auto"/>
        </w:rPr>
      </w:pPr>
    </w:p>
    <w:p>
      <w:pPr>
        <w:ind w:left="1300" w:hanging="644"/>
        <w:spacing w:after="0"/>
        <w:tabs>
          <w:tab w:leader="none" w:pos="13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84" w:lineRule="exact"/>
        <w:rPr>
          <w:rFonts w:ascii="Arial" w:cs="Arial" w:eastAsia="Arial" w:hAnsi="Arial"/>
          <w:sz w:val="18"/>
          <w:szCs w:val="18"/>
          <w:color w:val="auto"/>
        </w:rPr>
      </w:pPr>
    </w:p>
    <w:p>
      <w:pPr>
        <w:ind w:left="340" w:firstLine="316"/>
        <w:spacing w:after="0" w:line="291" w:lineRule="auto"/>
        <w:tabs>
          <w:tab w:leader="none" w:pos="131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39" w:lineRule="exact"/>
        <w:rPr>
          <w:rFonts w:ascii="Arial" w:cs="Arial" w:eastAsia="Arial" w:hAnsi="Arial"/>
          <w:sz w:val="16"/>
          <w:szCs w:val="16"/>
          <w:color w:val="auto"/>
        </w:rPr>
      </w:pPr>
    </w:p>
    <w:p>
      <w:pPr>
        <w:ind w:left="340" w:right="100" w:firstLine="316"/>
        <w:spacing w:after="0" w:line="277" w:lineRule="auto"/>
        <w:tabs>
          <w:tab w:leader="none" w:pos="131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0"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undertakings set forth in paragraphs (1)(i), (1)(ii) and (1)(iii) above do not apply if the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included in a post-effective amendment by those paragraphs is contained in reports filed with or furnished to the SEC by the registrant pursuant to Section 13 or Section 15(d) of the Securities Exchange Act of 1934, as amended (the “Exchange Act”), that are incorporated by reference in this registration statement or are contained in a form of prospectus filed pursuant to Rule 424(b) that is part of this registration statement.</w:t>
      </w:r>
    </w:p>
    <w:p>
      <w:pPr>
        <w:spacing w:after="0" w:line="147" w:lineRule="exact"/>
        <w:rPr>
          <w:sz w:val="20"/>
          <w:szCs w:val="20"/>
          <w:color w:val="auto"/>
        </w:rPr>
      </w:pPr>
    </w:p>
    <w:p>
      <w:pPr>
        <w:ind w:left="680" w:hanging="321"/>
        <w:spacing w:after="0" w:line="263" w:lineRule="auto"/>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56" w:lineRule="exact"/>
        <w:rPr>
          <w:rFonts w:ascii="Arial" w:cs="Arial" w:eastAsia="Arial" w:hAnsi="Arial"/>
          <w:sz w:val="18"/>
          <w:szCs w:val="18"/>
          <w:color w:val="auto"/>
        </w:rPr>
      </w:pPr>
    </w:p>
    <w:p>
      <w:pPr>
        <w:ind w:left="680" w:right="500" w:hanging="321"/>
        <w:spacing w:after="0" w:line="277" w:lineRule="auto"/>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each prospectus filed pursuant to</w:t>
      </w:r>
    </w:p>
    <w:p>
      <w:pPr>
        <w:spacing w:after="0" w:line="34" w:lineRule="exact"/>
        <w:rPr>
          <w:rFonts w:ascii="Arial" w:cs="Arial" w:eastAsia="Arial" w:hAnsi="Arial"/>
          <w:sz w:val="17"/>
          <w:szCs w:val="17"/>
          <w:color w:val="auto"/>
        </w:rPr>
      </w:pPr>
    </w:p>
    <w:p>
      <w:pPr>
        <w:ind w:left="680" w:right="20"/>
        <w:spacing w:after="0" w:line="288" w:lineRule="auto"/>
        <w:rPr>
          <w:rFonts w:ascii="Arial" w:cs="Arial" w:eastAsia="Arial" w:hAnsi="Arial"/>
          <w:sz w:val="17"/>
          <w:szCs w:val="17"/>
          <w:color w:val="auto"/>
        </w:rPr>
      </w:pPr>
      <w:r>
        <w:rPr>
          <w:rFonts w:ascii="Arial" w:cs="Arial" w:eastAsia="Arial" w:hAnsi="Arial"/>
          <w:sz w:val="16"/>
          <w:szCs w:val="16"/>
          <w:color w:val="auto"/>
        </w:rPr>
        <w:t xml:space="preserve">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7" w:lineRule="exact"/>
        <w:rPr>
          <w:rFonts w:ascii="Arial" w:cs="Arial" w:eastAsia="Arial" w:hAnsi="Arial"/>
          <w:sz w:val="17"/>
          <w:szCs w:val="17"/>
          <w:color w:val="auto"/>
        </w:rPr>
      </w:pPr>
    </w:p>
    <w:p>
      <w:pPr>
        <w:ind w:left="680" w:hanging="321"/>
        <w:spacing w:after="0" w:line="296" w:lineRule="auto"/>
        <w:tabs>
          <w:tab w:leader="none" w:pos="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4" w:lineRule="exact"/>
        <w:rPr>
          <w:rFonts w:ascii="Arial" w:cs="Arial" w:eastAsia="Arial" w:hAnsi="Arial"/>
          <w:sz w:val="16"/>
          <w:szCs w:val="16"/>
          <w:color w:val="auto"/>
        </w:rPr>
      </w:pPr>
    </w:p>
    <w:p>
      <w:pPr>
        <w:ind w:left="1340" w:right="360" w:hanging="657"/>
        <w:spacing w:after="0" w:line="277" w:lineRule="auto"/>
        <w:tabs>
          <w:tab w:leader="none" w:pos="13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29" w:lineRule="exact"/>
        <w:rPr>
          <w:rFonts w:ascii="Arial" w:cs="Arial" w:eastAsia="Arial" w:hAnsi="Arial"/>
          <w:sz w:val="18"/>
          <w:szCs w:val="18"/>
          <w:color w:val="auto"/>
        </w:rPr>
      </w:pPr>
    </w:p>
    <w:p>
      <w:pPr>
        <w:ind w:left="1340" w:right="200" w:hanging="657"/>
        <w:spacing w:after="0" w:line="277" w:lineRule="auto"/>
        <w:tabs>
          <w:tab w:leader="none" w:pos="13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29" w:lineRule="exact"/>
        <w:rPr>
          <w:rFonts w:ascii="Arial" w:cs="Arial" w:eastAsia="Arial" w:hAnsi="Arial"/>
          <w:sz w:val="18"/>
          <w:szCs w:val="18"/>
          <w:color w:val="auto"/>
        </w:rPr>
      </w:pPr>
    </w:p>
    <w:p>
      <w:pPr>
        <w:ind w:left="1340" w:right="400" w:hanging="657"/>
        <w:spacing w:after="0" w:line="308" w:lineRule="auto"/>
        <w:tabs>
          <w:tab w:leader="none" w:pos="13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54" w:name="page255"/>
    <w:bookmarkEnd w:id="254"/>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90" w:lineRule="exact"/>
        <w:rPr>
          <w:sz w:val="20"/>
          <w:szCs w:val="20"/>
          <w:color w:val="auto"/>
        </w:rPr>
      </w:pPr>
    </w:p>
    <w:p>
      <w:pPr>
        <w:ind w:left="1340" w:hanging="657"/>
        <w:spacing w:after="0"/>
        <w:tabs>
          <w:tab w:leader="none" w:pos="134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96" w:lineRule="exact"/>
        <w:rPr>
          <w:rFonts w:ascii="Arial" w:cs="Arial" w:eastAsia="Arial" w:hAnsi="Arial"/>
          <w:sz w:val="17"/>
          <w:szCs w:val="17"/>
          <w:color w:val="auto"/>
        </w:rPr>
      </w:pPr>
    </w:p>
    <w:p>
      <w:pPr>
        <w:ind w:left="680" w:hanging="321"/>
        <w:spacing w:after="0" w:line="270" w:lineRule="auto"/>
        <w:tabs>
          <w:tab w:leader="none" w:pos="6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55" w:name="page256"/>
    <w:bookmarkEnd w:id="255"/>
    <w:p>
      <w:pPr>
        <w:spacing w:after="0"/>
        <w:rPr>
          <w:rFonts w:ascii="Arial" w:cs="Arial" w:eastAsia="Arial" w:hAnsi="Arial"/>
          <w:sz w:val="18"/>
          <w:szCs w:val="18"/>
          <w:u w:val="single" w:color="auto"/>
          <w:color w:val="auto"/>
        </w:rPr>
      </w:pPr>
      <w:hyperlink w:anchor="page170">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Durham, State of North Carolina, on September 17, 2021.</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HUMACYTE, INC.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14605</wp:posOffset>
            </wp:positionV>
            <wp:extent cx="297434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Laura E. Niklason, M.D., Ph.D.</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Laura E. Niklason and Dale A. Sander, and each of them severally,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may lawfully do or cause to be done by virtue hereof.</w:t>
      </w:r>
    </w:p>
    <w:p>
      <w:pPr>
        <w:spacing w:after="0" w:line="17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00" w:type="dxa"/>
            <w:vAlign w:val="bottom"/>
          </w:tcPr>
          <w:p>
            <w:pPr>
              <w:ind w:left="14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4840" w:type="dxa"/>
            <w:vAlign w:val="bottom"/>
            <w:gridSpan w:val="2"/>
          </w:tcPr>
          <w:p>
            <w:pPr>
              <w:ind w:left="2060"/>
              <w:spacing w:after="0"/>
              <w:rPr>
                <w:sz w:val="20"/>
                <w:szCs w:val="20"/>
                <w:color w:val="auto"/>
              </w:rPr>
            </w:pPr>
            <w:r>
              <w:rPr>
                <w:rFonts w:ascii="Arial" w:cs="Arial" w:eastAsia="Arial" w:hAnsi="Arial"/>
                <w:sz w:val="14"/>
                <w:szCs w:val="14"/>
                <w:b w:val="1"/>
                <w:bCs w:val="1"/>
                <w:color w:val="auto"/>
              </w:rPr>
              <w:t>Position</w:t>
            </w:r>
          </w:p>
        </w:tc>
        <w:tc>
          <w:tcPr>
            <w:tcW w:w="1640" w:type="dxa"/>
            <w:vAlign w:val="bottom"/>
          </w:tcPr>
          <w:p>
            <w:pPr>
              <w:ind w:left="6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Laura E. Niklason</w:t>
            </w:r>
          </w:p>
        </w:tc>
        <w:tc>
          <w:tcPr>
            <w:tcW w:w="22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Chief Executive Officer and Director</w:t>
            </w:r>
          </w:p>
        </w:tc>
        <w:tc>
          <w:tcPr>
            <w:tcW w:w="2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0" w:type="dxa"/>
            <w:vAlign w:val="bottom"/>
          </w:tcPr>
          <w:p>
            <w:pPr>
              <w:spacing w:after="0" w:line="195" w:lineRule="exact"/>
              <w:rPr>
                <w:sz w:val="20"/>
                <w:szCs w:val="20"/>
                <w:color w:val="auto"/>
              </w:rPr>
            </w:pPr>
            <w:r>
              <w:rPr>
                <w:rFonts w:ascii="Arial" w:cs="Arial" w:eastAsia="Arial" w:hAnsi="Arial"/>
                <w:sz w:val="18"/>
                <w:szCs w:val="18"/>
                <w:color w:val="auto"/>
              </w:rPr>
              <w:t>Laura E. Niklason, M.D., Ph.D.</w:t>
            </w:r>
          </w:p>
        </w:tc>
        <w:tc>
          <w:tcPr>
            <w:tcW w:w="5060" w:type="dxa"/>
            <w:vAlign w:val="bottom"/>
            <w:gridSpan w:val="3"/>
          </w:tcPr>
          <w:p>
            <w:pPr>
              <w:ind w:left="220"/>
              <w:spacing w:after="0" w:line="195" w:lineRule="exact"/>
              <w:rPr>
                <w:sz w:val="20"/>
                <w:szCs w:val="20"/>
                <w:color w:val="auto"/>
              </w:rPr>
            </w:pPr>
            <w:r>
              <w:rPr>
                <w:rFonts w:ascii="Arial" w:cs="Arial" w:eastAsia="Arial" w:hAnsi="Arial"/>
                <w:sz w:val="18"/>
                <w:szCs w:val="18"/>
                <w:color w:val="auto"/>
              </w:rPr>
              <w:t>(Principal Executive Officer)</w:t>
            </w:r>
          </w:p>
        </w:tc>
        <w:tc>
          <w:tcPr>
            <w:tcW w:w="1640" w:type="dxa"/>
            <w:vAlign w:val="bottom"/>
          </w:tcPr>
          <w:p>
            <w:pPr>
              <w:spacing w:after="0" w:line="195" w:lineRule="exact"/>
              <w:rPr>
                <w:sz w:val="20"/>
                <w:szCs w:val="20"/>
                <w:color w:val="auto"/>
              </w:rPr>
            </w:pPr>
            <w:r>
              <w:rPr>
                <w:rFonts w:ascii="Arial" w:cs="Arial" w:eastAsia="Arial" w:hAnsi="Arial"/>
                <w:sz w:val="18"/>
                <w:szCs w:val="18"/>
                <w:color w:val="auto"/>
                <w:w w:val="99"/>
              </w:rPr>
              <w:t>September 17,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060" w:type="dxa"/>
            <w:vAlign w:val="bottom"/>
            <w:gridSpan w:val="3"/>
          </w:tcPr>
          <w:p>
            <w:pPr>
              <w:ind w:left="220"/>
              <w:spacing w:after="0"/>
              <w:rPr>
                <w:sz w:val="20"/>
                <w:szCs w:val="20"/>
                <w:color w:val="auto"/>
              </w:rPr>
            </w:pPr>
            <w:r>
              <w:rPr>
                <w:rFonts w:ascii="Arial" w:cs="Arial" w:eastAsia="Arial" w:hAnsi="Arial"/>
                <w:sz w:val="18"/>
                <w:szCs w:val="18"/>
                <w:color w:val="auto"/>
                <w:w w:val="99"/>
              </w:rPr>
              <w:t>Chief Financial Officer, Chief Corporate Development Officer</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Dale A. Sander</w:t>
            </w:r>
          </w:p>
        </w:tc>
        <w:tc>
          <w:tcPr>
            <w:tcW w:w="5060" w:type="dxa"/>
            <w:vAlign w:val="bottom"/>
            <w:gridSpan w:val="3"/>
          </w:tcPr>
          <w:p>
            <w:pPr>
              <w:ind w:left="220"/>
              <w:spacing w:after="0"/>
              <w:rPr>
                <w:sz w:val="20"/>
                <w:szCs w:val="20"/>
                <w:color w:val="auto"/>
              </w:rPr>
            </w:pPr>
            <w:r>
              <w:rPr>
                <w:rFonts w:ascii="Arial" w:cs="Arial" w:eastAsia="Arial" w:hAnsi="Arial"/>
                <w:sz w:val="18"/>
                <w:szCs w:val="18"/>
                <w:color w:val="auto"/>
              </w:rPr>
              <w:t>and Treasurer</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20" w:type="dxa"/>
            <w:vAlign w:val="bottom"/>
            <w:gridSpan w:val="2"/>
          </w:tcPr>
          <w:p>
            <w:pPr>
              <w:spacing w:after="0" w:line="195" w:lineRule="exact"/>
              <w:rPr>
                <w:sz w:val="20"/>
                <w:szCs w:val="20"/>
                <w:color w:val="auto"/>
              </w:rPr>
            </w:pPr>
            <w:r>
              <w:rPr>
                <w:rFonts w:ascii="Arial" w:cs="Arial" w:eastAsia="Arial" w:hAnsi="Arial"/>
                <w:sz w:val="18"/>
                <w:szCs w:val="18"/>
                <w:color w:val="auto"/>
              </w:rPr>
              <w:t>Dale A. Sander</w:t>
            </w:r>
          </w:p>
        </w:tc>
        <w:tc>
          <w:tcPr>
            <w:tcW w:w="5060" w:type="dxa"/>
            <w:vAlign w:val="bottom"/>
            <w:gridSpan w:val="3"/>
          </w:tcPr>
          <w:p>
            <w:pPr>
              <w:ind w:left="220"/>
              <w:spacing w:after="0" w:line="195" w:lineRule="exact"/>
              <w:rPr>
                <w:sz w:val="20"/>
                <w:szCs w:val="20"/>
                <w:color w:val="auto"/>
              </w:rPr>
            </w:pPr>
            <w:r>
              <w:rPr>
                <w:rFonts w:ascii="Arial" w:cs="Arial" w:eastAsia="Arial" w:hAnsi="Arial"/>
                <w:sz w:val="18"/>
                <w:szCs w:val="18"/>
                <w:color w:val="auto"/>
              </w:rPr>
              <w:t>(Principal Financial and Accounting Officer)</w:t>
            </w:r>
          </w:p>
        </w:tc>
        <w:tc>
          <w:tcPr>
            <w:tcW w:w="1640" w:type="dxa"/>
            <w:vAlign w:val="bottom"/>
          </w:tcPr>
          <w:p>
            <w:pPr>
              <w:spacing w:after="0" w:line="195" w:lineRule="exact"/>
              <w:rPr>
                <w:sz w:val="20"/>
                <w:szCs w:val="20"/>
                <w:color w:val="auto"/>
              </w:rPr>
            </w:pPr>
            <w:r>
              <w:rPr>
                <w:rFonts w:ascii="Arial" w:cs="Arial" w:eastAsia="Arial" w:hAnsi="Arial"/>
                <w:sz w:val="18"/>
                <w:szCs w:val="18"/>
                <w:color w:val="auto"/>
                <w:w w:val="99"/>
              </w:rPr>
              <w:t>September 17, 2021</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Kathleen Sebelius</w:t>
            </w:r>
          </w:p>
        </w:tc>
        <w:tc>
          <w:tcPr>
            <w:tcW w:w="506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vMerge w:val="restart"/>
          </w:tcPr>
          <w:p>
            <w:pPr>
              <w:spacing w:after="0"/>
              <w:rPr>
                <w:sz w:val="20"/>
                <w:szCs w:val="20"/>
                <w:color w:val="auto"/>
              </w:rPr>
            </w:pPr>
            <w:r>
              <w:rPr>
                <w:rFonts w:ascii="Arial" w:cs="Arial" w:eastAsia="Arial" w:hAnsi="Arial"/>
                <w:sz w:val="18"/>
                <w:szCs w:val="18"/>
                <w:color w:val="auto"/>
                <w:w w:val="99"/>
              </w:rPr>
              <w:t>September 17, 2021</w:t>
            </w:r>
          </w:p>
        </w:tc>
        <w:tc>
          <w:tcPr>
            <w:tcW w:w="0" w:type="dxa"/>
            <w:vAlign w:val="bottom"/>
          </w:tcPr>
          <w:p>
            <w:pPr>
              <w:spacing w:after="0"/>
              <w:rPr>
                <w:sz w:val="1"/>
                <w:szCs w:val="1"/>
                <w:color w:val="auto"/>
              </w:rPr>
            </w:pPr>
          </w:p>
        </w:tc>
      </w:tr>
      <w:tr>
        <w:trPr>
          <w:trHeight w:val="195"/>
        </w:trPr>
        <w:tc>
          <w:tcPr>
            <w:tcW w:w="3220" w:type="dxa"/>
            <w:vAlign w:val="bottom"/>
            <w:gridSpan w:val="2"/>
          </w:tcPr>
          <w:p>
            <w:pPr>
              <w:spacing w:after="0" w:line="195" w:lineRule="exact"/>
              <w:rPr>
                <w:sz w:val="20"/>
                <w:szCs w:val="20"/>
                <w:color w:val="auto"/>
              </w:rPr>
            </w:pPr>
            <w:r>
              <w:rPr>
                <w:rFonts w:ascii="Arial" w:cs="Arial" w:eastAsia="Arial" w:hAnsi="Arial"/>
                <w:sz w:val="18"/>
                <w:szCs w:val="18"/>
                <w:color w:val="auto"/>
              </w:rPr>
              <w:t>Kathleen Sebelius</w:t>
            </w:r>
          </w:p>
        </w:tc>
        <w:tc>
          <w:tcPr>
            <w:tcW w:w="5060" w:type="dxa"/>
            <w:vAlign w:val="bottom"/>
            <w:gridSpan w:val="3"/>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H. Lawson</w:t>
            </w:r>
          </w:p>
        </w:tc>
        <w:tc>
          <w:tcPr>
            <w:tcW w:w="506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vMerge w:val="restart"/>
          </w:tcPr>
          <w:p>
            <w:pPr>
              <w:spacing w:after="0"/>
              <w:rPr>
                <w:sz w:val="20"/>
                <w:szCs w:val="20"/>
                <w:color w:val="auto"/>
              </w:rPr>
            </w:pPr>
            <w:r>
              <w:rPr>
                <w:rFonts w:ascii="Arial" w:cs="Arial" w:eastAsia="Arial" w:hAnsi="Arial"/>
                <w:sz w:val="18"/>
                <w:szCs w:val="18"/>
                <w:color w:val="auto"/>
                <w:w w:val="99"/>
              </w:rPr>
              <w:t>September 17, 2021</w:t>
            </w:r>
          </w:p>
        </w:tc>
        <w:tc>
          <w:tcPr>
            <w:tcW w:w="0" w:type="dxa"/>
            <w:vAlign w:val="bottom"/>
          </w:tcPr>
          <w:p>
            <w:pPr>
              <w:spacing w:after="0"/>
              <w:rPr>
                <w:sz w:val="1"/>
                <w:szCs w:val="1"/>
                <w:color w:val="auto"/>
              </w:rPr>
            </w:pPr>
          </w:p>
        </w:tc>
      </w:tr>
      <w:tr>
        <w:trPr>
          <w:trHeight w:val="195"/>
        </w:trPr>
        <w:tc>
          <w:tcPr>
            <w:tcW w:w="3220" w:type="dxa"/>
            <w:vAlign w:val="bottom"/>
            <w:gridSpan w:val="2"/>
          </w:tcPr>
          <w:p>
            <w:pPr>
              <w:spacing w:after="0" w:line="195" w:lineRule="exact"/>
              <w:rPr>
                <w:sz w:val="20"/>
                <w:szCs w:val="20"/>
                <w:color w:val="auto"/>
              </w:rPr>
            </w:pPr>
            <w:r>
              <w:rPr>
                <w:rFonts w:ascii="Arial" w:cs="Arial" w:eastAsia="Arial" w:hAnsi="Arial"/>
                <w:sz w:val="18"/>
                <w:szCs w:val="18"/>
                <w:color w:val="auto"/>
              </w:rPr>
              <w:t>Jeffrey H. Lawson, M.D., Ph.D.</w:t>
            </w:r>
          </w:p>
        </w:tc>
        <w:tc>
          <w:tcPr>
            <w:tcW w:w="5060" w:type="dxa"/>
            <w:vAlign w:val="bottom"/>
            <w:gridSpan w:val="3"/>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Gordon M. Binder</w:t>
            </w:r>
          </w:p>
        </w:tc>
        <w:tc>
          <w:tcPr>
            <w:tcW w:w="506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vMerge w:val="restart"/>
          </w:tcPr>
          <w:p>
            <w:pPr>
              <w:spacing w:after="0"/>
              <w:rPr>
                <w:sz w:val="20"/>
                <w:szCs w:val="20"/>
                <w:color w:val="auto"/>
              </w:rPr>
            </w:pPr>
            <w:r>
              <w:rPr>
                <w:rFonts w:ascii="Arial" w:cs="Arial" w:eastAsia="Arial" w:hAnsi="Arial"/>
                <w:sz w:val="18"/>
                <w:szCs w:val="18"/>
                <w:color w:val="auto"/>
                <w:w w:val="99"/>
              </w:rPr>
              <w:t>September 17, 2021</w:t>
            </w:r>
          </w:p>
        </w:tc>
        <w:tc>
          <w:tcPr>
            <w:tcW w:w="0" w:type="dxa"/>
            <w:vAlign w:val="bottom"/>
          </w:tcPr>
          <w:p>
            <w:pPr>
              <w:spacing w:after="0"/>
              <w:rPr>
                <w:sz w:val="1"/>
                <w:szCs w:val="1"/>
                <w:color w:val="auto"/>
              </w:rPr>
            </w:pPr>
          </w:p>
        </w:tc>
      </w:tr>
      <w:tr>
        <w:trPr>
          <w:trHeight w:val="195"/>
        </w:trPr>
        <w:tc>
          <w:tcPr>
            <w:tcW w:w="3220" w:type="dxa"/>
            <w:vAlign w:val="bottom"/>
            <w:gridSpan w:val="2"/>
          </w:tcPr>
          <w:p>
            <w:pPr>
              <w:spacing w:after="0" w:line="195" w:lineRule="exact"/>
              <w:rPr>
                <w:sz w:val="20"/>
                <w:szCs w:val="20"/>
                <w:color w:val="auto"/>
              </w:rPr>
            </w:pPr>
            <w:r>
              <w:rPr>
                <w:rFonts w:ascii="Arial" w:cs="Arial" w:eastAsia="Arial" w:hAnsi="Arial"/>
                <w:sz w:val="18"/>
                <w:szCs w:val="18"/>
                <w:color w:val="auto"/>
              </w:rPr>
              <w:t>Gordon M. Binder</w:t>
            </w:r>
          </w:p>
        </w:tc>
        <w:tc>
          <w:tcPr>
            <w:tcW w:w="5060" w:type="dxa"/>
            <w:vAlign w:val="bottom"/>
            <w:gridSpan w:val="3"/>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Emery N. Brown</w:t>
            </w:r>
          </w:p>
        </w:tc>
        <w:tc>
          <w:tcPr>
            <w:tcW w:w="506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vMerge w:val="restart"/>
          </w:tcPr>
          <w:p>
            <w:pPr>
              <w:spacing w:after="0"/>
              <w:rPr>
                <w:sz w:val="20"/>
                <w:szCs w:val="20"/>
                <w:color w:val="auto"/>
              </w:rPr>
            </w:pPr>
            <w:r>
              <w:rPr>
                <w:rFonts w:ascii="Arial" w:cs="Arial" w:eastAsia="Arial" w:hAnsi="Arial"/>
                <w:sz w:val="18"/>
                <w:szCs w:val="18"/>
                <w:color w:val="auto"/>
                <w:w w:val="99"/>
              </w:rPr>
              <w:t>September 15, 2021</w:t>
            </w:r>
          </w:p>
        </w:tc>
        <w:tc>
          <w:tcPr>
            <w:tcW w:w="0" w:type="dxa"/>
            <w:vAlign w:val="bottom"/>
          </w:tcPr>
          <w:p>
            <w:pPr>
              <w:spacing w:after="0"/>
              <w:rPr>
                <w:sz w:val="1"/>
                <w:szCs w:val="1"/>
                <w:color w:val="auto"/>
              </w:rPr>
            </w:pPr>
          </w:p>
        </w:tc>
      </w:tr>
      <w:tr>
        <w:trPr>
          <w:trHeight w:val="195"/>
        </w:trPr>
        <w:tc>
          <w:tcPr>
            <w:tcW w:w="3220" w:type="dxa"/>
            <w:vAlign w:val="bottom"/>
            <w:gridSpan w:val="2"/>
          </w:tcPr>
          <w:p>
            <w:pPr>
              <w:spacing w:after="0" w:line="195" w:lineRule="exact"/>
              <w:rPr>
                <w:sz w:val="20"/>
                <w:szCs w:val="20"/>
                <w:color w:val="auto"/>
              </w:rPr>
            </w:pPr>
            <w:r>
              <w:rPr>
                <w:rFonts w:ascii="Arial" w:cs="Arial" w:eastAsia="Arial" w:hAnsi="Arial"/>
                <w:sz w:val="18"/>
                <w:szCs w:val="18"/>
                <w:color w:val="auto"/>
              </w:rPr>
              <w:t>Emery N. Brown, M.D., Ph.D.</w:t>
            </w:r>
          </w:p>
        </w:tc>
        <w:tc>
          <w:tcPr>
            <w:tcW w:w="5060" w:type="dxa"/>
            <w:vAlign w:val="bottom"/>
            <w:gridSpan w:val="3"/>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Constantino</w:t>
            </w:r>
          </w:p>
        </w:tc>
        <w:tc>
          <w:tcPr>
            <w:tcW w:w="506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vMerge w:val="restart"/>
          </w:tcPr>
          <w:p>
            <w:pPr>
              <w:spacing w:after="0"/>
              <w:rPr>
                <w:sz w:val="20"/>
                <w:szCs w:val="20"/>
                <w:color w:val="auto"/>
              </w:rPr>
            </w:pPr>
            <w:r>
              <w:rPr>
                <w:rFonts w:ascii="Arial" w:cs="Arial" w:eastAsia="Arial" w:hAnsi="Arial"/>
                <w:sz w:val="18"/>
                <w:szCs w:val="18"/>
                <w:color w:val="auto"/>
                <w:w w:val="99"/>
              </w:rPr>
              <w:t>September 17, 2021</w:t>
            </w:r>
          </w:p>
        </w:tc>
        <w:tc>
          <w:tcPr>
            <w:tcW w:w="0" w:type="dxa"/>
            <w:vAlign w:val="bottom"/>
          </w:tcPr>
          <w:p>
            <w:pPr>
              <w:spacing w:after="0"/>
              <w:rPr>
                <w:sz w:val="1"/>
                <w:szCs w:val="1"/>
                <w:color w:val="auto"/>
              </w:rPr>
            </w:pPr>
          </w:p>
        </w:tc>
      </w:tr>
      <w:tr>
        <w:trPr>
          <w:trHeight w:val="195"/>
        </w:trPr>
        <w:tc>
          <w:tcPr>
            <w:tcW w:w="3220" w:type="dxa"/>
            <w:vAlign w:val="bottom"/>
            <w:gridSpan w:val="2"/>
          </w:tcPr>
          <w:p>
            <w:pPr>
              <w:spacing w:after="0" w:line="195" w:lineRule="exact"/>
              <w:rPr>
                <w:sz w:val="20"/>
                <w:szCs w:val="20"/>
                <w:color w:val="auto"/>
              </w:rPr>
            </w:pPr>
            <w:r>
              <w:rPr>
                <w:rFonts w:ascii="Arial" w:cs="Arial" w:eastAsia="Arial" w:hAnsi="Arial"/>
                <w:sz w:val="18"/>
                <w:szCs w:val="18"/>
                <w:color w:val="auto"/>
              </w:rPr>
              <w:t>Michael T. Constantino</w:t>
            </w:r>
          </w:p>
        </w:tc>
        <w:tc>
          <w:tcPr>
            <w:tcW w:w="5060" w:type="dxa"/>
            <w:vAlign w:val="bottom"/>
            <w:gridSpan w:val="3"/>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Brady W. Dougan</w:t>
            </w:r>
          </w:p>
        </w:tc>
        <w:tc>
          <w:tcPr>
            <w:tcW w:w="506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vMerge w:val="restart"/>
          </w:tcPr>
          <w:p>
            <w:pPr>
              <w:spacing w:after="0"/>
              <w:rPr>
                <w:sz w:val="20"/>
                <w:szCs w:val="20"/>
                <w:color w:val="auto"/>
              </w:rPr>
            </w:pPr>
            <w:r>
              <w:rPr>
                <w:rFonts w:ascii="Arial" w:cs="Arial" w:eastAsia="Arial" w:hAnsi="Arial"/>
                <w:sz w:val="18"/>
                <w:szCs w:val="18"/>
                <w:color w:val="auto"/>
                <w:w w:val="99"/>
              </w:rPr>
              <w:t>September 17, 2021</w:t>
            </w:r>
          </w:p>
        </w:tc>
        <w:tc>
          <w:tcPr>
            <w:tcW w:w="0" w:type="dxa"/>
            <w:vAlign w:val="bottom"/>
          </w:tcPr>
          <w:p>
            <w:pPr>
              <w:spacing w:after="0"/>
              <w:rPr>
                <w:sz w:val="1"/>
                <w:szCs w:val="1"/>
                <w:color w:val="auto"/>
              </w:rPr>
            </w:pPr>
          </w:p>
        </w:tc>
      </w:tr>
      <w:tr>
        <w:trPr>
          <w:trHeight w:val="195"/>
        </w:trPr>
        <w:tc>
          <w:tcPr>
            <w:tcW w:w="3220" w:type="dxa"/>
            <w:vAlign w:val="bottom"/>
            <w:gridSpan w:val="2"/>
          </w:tcPr>
          <w:p>
            <w:pPr>
              <w:spacing w:after="0" w:line="195" w:lineRule="exact"/>
              <w:rPr>
                <w:sz w:val="20"/>
                <w:szCs w:val="20"/>
                <w:color w:val="auto"/>
              </w:rPr>
            </w:pPr>
            <w:r>
              <w:rPr>
                <w:rFonts w:ascii="Arial" w:cs="Arial" w:eastAsia="Arial" w:hAnsi="Arial"/>
                <w:sz w:val="18"/>
                <w:szCs w:val="18"/>
                <w:color w:val="auto"/>
              </w:rPr>
              <w:t>Brady W. Dougan</w:t>
            </w:r>
          </w:p>
        </w:tc>
        <w:tc>
          <w:tcPr>
            <w:tcW w:w="5060" w:type="dxa"/>
            <w:vAlign w:val="bottom"/>
            <w:gridSpan w:val="3"/>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Todd M. Pope</w:t>
            </w:r>
          </w:p>
        </w:tc>
        <w:tc>
          <w:tcPr>
            <w:tcW w:w="506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vMerge w:val="restart"/>
          </w:tcPr>
          <w:p>
            <w:pPr>
              <w:spacing w:after="0"/>
              <w:rPr>
                <w:sz w:val="20"/>
                <w:szCs w:val="20"/>
                <w:color w:val="auto"/>
              </w:rPr>
            </w:pPr>
            <w:r>
              <w:rPr>
                <w:rFonts w:ascii="Arial" w:cs="Arial" w:eastAsia="Arial" w:hAnsi="Arial"/>
                <w:sz w:val="18"/>
                <w:szCs w:val="18"/>
                <w:color w:val="auto"/>
                <w:w w:val="99"/>
              </w:rPr>
              <w:t>September 17, 2021</w:t>
            </w:r>
          </w:p>
        </w:tc>
        <w:tc>
          <w:tcPr>
            <w:tcW w:w="0" w:type="dxa"/>
            <w:vAlign w:val="bottom"/>
          </w:tcPr>
          <w:p>
            <w:pPr>
              <w:spacing w:after="0"/>
              <w:rPr>
                <w:sz w:val="1"/>
                <w:szCs w:val="1"/>
                <w:color w:val="auto"/>
              </w:rPr>
            </w:pPr>
          </w:p>
        </w:tc>
      </w:tr>
      <w:tr>
        <w:trPr>
          <w:trHeight w:val="195"/>
        </w:trPr>
        <w:tc>
          <w:tcPr>
            <w:tcW w:w="3220" w:type="dxa"/>
            <w:vAlign w:val="bottom"/>
            <w:gridSpan w:val="2"/>
          </w:tcPr>
          <w:p>
            <w:pPr>
              <w:spacing w:after="0" w:line="195" w:lineRule="exact"/>
              <w:rPr>
                <w:sz w:val="20"/>
                <w:szCs w:val="20"/>
                <w:color w:val="auto"/>
              </w:rPr>
            </w:pPr>
            <w:r>
              <w:rPr>
                <w:rFonts w:ascii="Arial" w:cs="Arial" w:eastAsia="Arial" w:hAnsi="Arial"/>
                <w:sz w:val="18"/>
                <w:szCs w:val="18"/>
                <w:color w:val="auto"/>
              </w:rPr>
              <w:t>Todd M. Pope</w:t>
            </w:r>
          </w:p>
        </w:tc>
        <w:tc>
          <w:tcPr>
            <w:tcW w:w="5060" w:type="dxa"/>
            <w:vAlign w:val="bottom"/>
            <w:gridSpan w:val="3"/>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Rajiv Shukla</w:t>
            </w:r>
          </w:p>
        </w:tc>
        <w:tc>
          <w:tcPr>
            <w:tcW w:w="506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vMerge w:val="restart"/>
          </w:tcPr>
          <w:p>
            <w:pPr>
              <w:spacing w:after="0"/>
              <w:rPr>
                <w:sz w:val="20"/>
                <w:szCs w:val="20"/>
                <w:color w:val="auto"/>
              </w:rPr>
            </w:pPr>
            <w:r>
              <w:rPr>
                <w:rFonts w:ascii="Arial" w:cs="Arial" w:eastAsia="Arial" w:hAnsi="Arial"/>
                <w:sz w:val="18"/>
                <w:szCs w:val="18"/>
                <w:color w:val="auto"/>
                <w:w w:val="99"/>
              </w:rPr>
              <w:t>September 17, 2021</w:t>
            </w:r>
          </w:p>
        </w:tc>
        <w:tc>
          <w:tcPr>
            <w:tcW w:w="0" w:type="dxa"/>
            <w:vAlign w:val="bottom"/>
          </w:tcPr>
          <w:p>
            <w:pPr>
              <w:spacing w:after="0"/>
              <w:rPr>
                <w:sz w:val="1"/>
                <w:szCs w:val="1"/>
                <w:color w:val="auto"/>
              </w:rPr>
            </w:pPr>
          </w:p>
        </w:tc>
      </w:tr>
      <w:tr>
        <w:trPr>
          <w:trHeight w:val="195"/>
        </w:trPr>
        <w:tc>
          <w:tcPr>
            <w:tcW w:w="3220" w:type="dxa"/>
            <w:vAlign w:val="bottom"/>
            <w:gridSpan w:val="2"/>
          </w:tcPr>
          <w:p>
            <w:pPr>
              <w:spacing w:after="0" w:line="195" w:lineRule="exact"/>
              <w:rPr>
                <w:sz w:val="20"/>
                <w:szCs w:val="20"/>
                <w:color w:val="auto"/>
              </w:rPr>
            </w:pPr>
            <w:r>
              <w:rPr>
                <w:rFonts w:ascii="Arial" w:cs="Arial" w:eastAsia="Arial" w:hAnsi="Arial"/>
                <w:sz w:val="18"/>
                <w:szCs w:val="18"/>
                <w:color w:val="auto"/>
              </w:rPr>
              <w:t>Rajiv Shukla</w:t>
            </w:r>
          </w:p>
        </w:tc>
        <w:tc>
          <w:tcPr>
            <w:tcW w:w="5060" w:type="dxa"/>
            <w:vAlign w:val="bottom"/>
            <w:gridSpan w:val="3"/>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Max Wallace</w:t>
            </w:r>
          </w:p>
        </w:tc>
        <w:tc>
          <w:tcPr>
            <w:tcW w:w="506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vMerge w:val="restart"/>
          </w:tcPr>
          <w:p>
            <w:pPr>
              <w:spacing w:after="0"/>
              <w:rPr>
                <w:sz w:val="20"/>
                <w:szCs w:val="20"/>
                <w:color w:val="auto"/>
              </w:rPr>
            </w:pPr>
            <w:r>
              <w:rPr>
                <w:rFonts w:ascii="Arial" w:cs="Arial" w:eastAsia="Arial" w:hAnsi="Arial"/>
                <w:sz w:val="18"/>
                <w:szCs w:val="18"/>
                <w:color w:val="auto"/>
                <w:w w:val="99"/>
              </w:rPr>
              <w:t>September 17, 2021</w:t>
            </w:r>
          </w:p>
        </w:tc>
        <w:tc>
          <w:tcPr>
            <w:tcW w:w="0" w:type="dxa"/>
            <w:vAlign w:val="bottom"/>
          </w:tcPr>
          <w:p>
            <w:pPr>
              <w:spacing w:after="0"/>
              <w:rPr>
                <w:sz w:val="1"/>
                <w:szCs w:val="1"/>
                <w:color w:val="auto"/>
              </w:rPr>
            </w:pPr>
          </w:p>
        </w:tc>
      </w:tr>
      <w:tr>
        <w:trPr>
          <w:trHeight w:val="195"/>
        </w:trPr>
        <w:tc>
          <w:tcPr>
            <w:tcW w:w="3220" w:type="dxa"/>
            <w:vAlign w:val="bottom"/>
            <w:gridSpan w:val="2"/>
          </w:tcPr>
          <w:p>
            <w:pPr>
              <w:spacing w:after="0" w:line="195" w:lineRule="exact"/>
              <w:rPr>
                <w:sz w:val="20"/>
                <w:szCs w:val="20"/>
                <w:color w:val="auto"/>
              </w:rPr>
            </w:pPr>
            <w:r>
              <w:rPr>
                <w:rFonts w:ascii="Arial" w:cs="Arial" w:eastAsia="Arial" w:hAnsi="Arial"/>
                <w:sz w:val="18"/>
                <w:szCs w:val="18"/>
                <w:color w:val="auto"/>
              </w:rPr>
              <w:t>Max Wallace, J.D.</w:t>
            </w:r>
          </w:p>
        </w:tc>
        <w:tc>
          <w:tcPr>
            <w:tcW w:w="5060" w:type="dxa"/>
            <w:vAlign w:val="bottom"/>
            <w:gridSpan w:val="3"/>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Susan Windham-Bannister</w:t>
            </w:r>
          </w:p>
        </w:tc>
        <w:tc>
          <w:tcPr>
            <w:tcW w:w="506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vMerge w:val="restart"/>
          </w:tcPr>
          <w:p>
            <w:pPr>
              <w:spacing w:after="0"/>
              <w:rPr>
                <w:sz w:val="20"/>
                <w:szCs w:val="20"/>
                <w:color w:val="auto"/>
              </w:rPr>
            </w:pPr>
            <w:r>
              <w:rPr>
                <w:rFonts w:ascii="Arial" w:cs="Arial" w:eastAsia="Arial" w:hAnsi="Arial"/>
                <w:sz w:val="18"/>
                <w:szCs w:val="18"/>
                <w:color w:val="auto"/>
                <w:w w:val="99"/>
              </w:rPr>
              <w:t>September 17, 2021</w:t>
            </w:r>
          </w:p>
        </w:tc>
        <w:tc>
          <w:tcPr>
            <w:tcW w:w="0" w:type="dxa"/>
            <w:vAlign w:val="bottom"/>
          </w:tcPr>
          <w:p>
            <w:pPr>
              <w:spacing w:after="0"/>
              <w:rPr>
                <w:sz w:val="1"/>
                <w:szCs w:val="1"/>
                <w:color w:val="auto"/>
              </w:rPr>
            </w:pPr>
          </w:p>
        </w:tc>
      </w:tr>
      <w:tr>
        <w:trPr>
          <w:trHeight w:val="224"/>
        </w:trPr>
        <w:tc>
          <w:tcPr>
            <w:tcW w:w="3220" w:type="dxa"/>
            <w:vAlign w:val="bottom"/>
            <w:gridSpan w:val="2"/>
          </w:tcPr>
          <w:p>
            <w:pPr>
              <w:spacing w:after="0"/>
              <w:rPr>
                <w:sz w:val="20"/>
                <w:szCs w:val="20"/>
                <w:color w:val="auto"/>
              </w:rPr>
            </w:pPr>
            <w:r>
              <w:rPr>
                <w:rFonts w:ascii="Arial" w:cs="Arial" w:eastAsia="Arial" w:hAnsi="Arial"/>
                <w:sz w:val="18"/>
                <w:szCs w:val="18"/>
                <w:color w:val="auto"/>
              </w:rPr>
              <w:t>Susan Windham-Bannister, Ph.D.</w:t>
            </w:r>
          </w:p>
        </w:tc>
        <w:tc>
          <w:tcPr>
            <w:tcW w:w="5060" w:type="dxa"/>
            <w:vAlign w:val="bottom"/>
            <w:gridSpan w:val="3"/>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154305</wp:posOffset>
            </wp:positionV>
            <wp:extent cx="2288540" cy="5657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7">
                      <a:extLst>
                        <a:ext uri="{28A0092B-C50C-407E-A947-70E740481C1C}"/>
                      </a:extLst>
                    </a:blip>
                    <a:srcRect/>
                    <a:stretch>
                      <a:fillRect/>
                    </a:stretch>
                  </pic:blipFill>
                  <pic:spPr bwMode="auto">
                    <a:xfrm>
                      <a:off x="0" y="0"/>
                      <a:ext cx="2288540" cy="5657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154305</wp:posOffset>
            </wp:positionV>
            <wp:extent cx="1379855" cy="5918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8">
                      <a:extLst>
                        <a:ext uri="{28A0092B-C50C-407E-A947-70E740481C1C}"/>
                      </a:extLst>
                    </a:blip>
                    <a:srcRect/>
                    <a:stretch>
                      <a:fillRect/>
                    </a:stretch>
                  </pic:blipFill>
                  <pic:spPr bwMode="auto">
                    <a:xfrm>
                      <a:off x="0" y="0"/>
                      <a:ext cx="137985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Humacyte,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2525 East North Carolina Highway 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Durham, North Carolina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have acted as counsel to Humacyte, Inc., a Delaware corporation (the “Company”), in connection with the registration by the Company under the Securities Act of 1933, as amended (the “Securities Act”), pursuant to the Company’s Registration Statement on Form S-1, which was filed with the Securities and Exchange Commission (the “Commission”) on September 17, 2021 (the “Registration Statement”), of (a) the issuance of shares of the Company’s common stock, $0.0001 par value per share (the “Common Stock”), and (b) the resale of Common Stock held by certain stockholders of the Company, as follows:</w:t>
      </w:r>
    </w:p>
    <w:p>
      <w:pPr>
        <w:spacing w:after="0" w:line="176" w:lineRule="exact"/>
        <w:rPr>
          <w:sz w:val="20"/>
          <w:szCs w:val="20"/>
          <w:color w:val="auto"/>
        </w:rPr>
      </w:pPr>
    </w:p>
    <w:p>
      <w:pPr>
        <w:ind w:left="980" w:right="700" w:hanging="324"/>
        <w:spacing w:after="0" w:line="277" w:lineRule="auto"/>
        <w:tabs>
          <w:tab w:leader="none" w:pos="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issuance of up to 177,500 shares of Common Stock (the “Private Warrant Shares”) upon the exercise of certain outstanding warrants (the “Private Warrants”) by the holders thereof;</w:t>
      </w:r>
    </w:p>
    <w:p>
      <w:pPr>
        <w:spacing w:after="0" w:line="170" w:lineRule="exact"/>
        <w:rPr>
          <w:rFonts w:ascii="Arial" w:cs="Arial" w:eastAsia="Arial" w:hAnsi="Arial"/>
          <w:sz w:val="18"/>
          <w:szCs w:val="18"/>
          <w:color w:val="auto"/>
        </w:rPr>
      </w:pPr>
    </w:p>
    <w:p>
      <w:pPr>
        <w:ind w:left="980" w:right="480" w:hanging="324"/>
        <w:spacing w:after="0" w:line="263" w:lineRule="auto"/>
        <w:tabs>
          <w:tab w:leader="none" w:pos="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issuance of up to 5,000,000 shares of Common Stock (the “Public Warrant Shares”) and, together with the Private Warrant Shares, the “Warrant Shares”) upon the exercise of certain outstanding warrants (the “Public Warrants” and, together with the Private Warrants, the “Warrants”) by the holders thereof;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resale of up to 90,069,340 shares of Common Stock (the “Issued Shares”).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Warrants were issued pursuant to a Warrant Agreement, dated September 17, 2020, between the Company and Continental Stock Transfer &amp; Trust Company, as warrant agent (the “Warrant Agreement”).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reviewed the Warrant Agreement and such other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Company and other sources believed by us to be responsible.</w:t>
      </w:r>
    </w:p>
    <w:p>
      <w:pPr>
        <w:spacing w:after="0" w:line="17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With respect to the Warrant Shares, we express no opinion to the extent that, notwithstanding the Company’s current reservation of shares of Common Stock, future issuances of securities of the Company, including the Warrant Shares, and anti-dilution adjustments to outstanding securities of the Company, including the Warrants, may cause the Warrants to be exercisable for more shares of Common Stock than the number that remain authorized but unissued. We also have assumed that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451485</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865505" cy="1289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865505" cy="128905"/>
                    </a:xfrm>
                    <a:prstGeom prst="rect">
                      <a:avLst/>
                    </a:prstGeom>
                    <a:noFill/>
                  </pic:spPr>
                </pic:pic>
              </a:graphicData>
            </a:graphic>
          </wp:anchor>
        </w:drawing>
        <w:t>(as defined in the Warrants) will not be adjusted to an amount below the par value per share of the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and subject to the qualifications set forth below, we are of the opinion that:</w:t>
      </w:r>
    </w:p>
    <w:p>
      <w:pPr>
        <w:spacing w:after="0" w:line="225" w:lineRule="exact"/>
        <w:rPr>
          <w:sz w:val="20"/>
          <w:szCs w:val="20"/>
          <w:color w:val="auto"/>
        </w:rPr>
      </w:pPr>
    </w:p>
    <w:p>
      <w:pPr>
        <w:ind w:left="1300" w:right="560" w:hanging="320"/>
        <w:spacing w:after="0" w:line="342" w:lineRule="auto"/>
        <w:tabs>
          <w:tab w:leader="none" w:pos="13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Warrant Shares have been duly authorized, and when issued and paid for upon exercise of the Warrants in accordance with the terms of the Warrants, will be validly issued, fully paid and non-assessable.</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Issued Shares have been duly authorized and are validly issued, fully paid and non-assessable.</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are members of the bar of the District of Columbia. We do not express any opinion herein on any laws other than the Delaware General Corporation Law.</w:t>
      </w:r>
    </w:p>
    <w:p>
      <w:pPr>
        <w:spacing w:after="0" w:line="17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hereby consent to the filing of this opinion as Exhibit 5.1 to the Registration Statement. We also hereby consent to the reference to our firm under the heading “Legal Matters” in the prospectus constituting part of the Registration Statement. In giving such consent, we do not thereby admit that we are in the category of persons whose consent is required under Section 7 of the Securities Act.</w:t>
      </w:r>
    </w:p>
    <w:p>
      <w:pPr>
        <w:spacing w:after="0" w:line="16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1313" w:right="1119" w:bottom="1440" w:gutter="0" w:footer="0" w:header="0"/>
        </w:sectPr>
      </w:pPr>
    </w:p>
    <w:bookmarkStart w:id="258" w:name="page259"/>
    <w:bookmarkEnd w:id="258"/>
    <w:p>
      <w:pPr>
        <w:jc w:val="right"/>
        <w:spacing w:after="0"/>
        <w:rPr>
          <w:sz w:val="20"/>
          <w:szCs w:val="20"/>
          <w:color w:val="auto"/>
        </w:rPr>
      </w:pPr>
      <w:r>
        <w:rPr>
          <w:rFonts w:ascii="Arial" w:cs="Arial" w:eastAsia="Arial" w:hAnsi="Arial"/>
          <w:sz w:val="20"/>
          <w:szCs w:val="20"/>
          <w:b w:val="1"/>
          <w:bCs w:val="1"/>
          <w:color w:val="auto"/>
        </w:rPr>
        <w:t>Exhibit 10.2.2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LOAN AND SECURITY AGREEMENT</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SECOND AMENDMENT</w:t>
      </w:r>
      <w:r>
        <w:rPr>
          <w:rFonts w:ascii="Arial" w:cs="Arial" w:eastAsia="Arial" w:hAnsi="Arial"/>
          <w:sz w:val="19"/>
          <w:szCs w:val="19"/>
          <w:color w:val="auto"/>
        </w:rPr>
        <w:t xml:space="preserve"> to Loan and Security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xml:space="preserve">”) is entered into as of September 17, 2021 by and among (a) </w:t>
      </w:r>
      <w:r>
        <w:rPr>
          <w:rFonts w:ascii="Arial" w:cs="Arial" w:eastAsia="Arial" w:hAnsi="Arial"/>
          <w:sz w:val="19"/>
          <w:szCs w:val="19"/>
          <w:b w:val="1"/>
          <w:bCs w:val="1"/>
          <w:color w:val="auto"/>
        </w:rPr>
        <w:t>SILICON VALLEY BANK</w:t>
      </w:r>
      <w:r>
        <w:rPr>
          <w:rFonts w:ascii="Arial" w:cs="Arial" w:eastAsia="Arial" w:hAnsi="Arial"/>
          <w:sz w:val="19"/>
          <w:szCs w:val="19"/>
          <w:color w:val="auto"/>
        </w:rPr>
        <w:t>, a California corporation (“</w:t>
      </w:r>
      <w:r>
        <w:rPr>
          <w:rFonts w:ascii="Arial" w:cs="Arial" w:eastAsia="Arial" w:hAnsi="Arial"/>
          <w:sz w:val="19"/>
          <w:szCs w:val="19"/>
          <w:b w:val="1"/>
          <w:bCs w:val="1"/>
          <w:color w:val="auto"/>
        </w:rPr>
        <w:t>SVB</w:t>
      </w:r>
      <w:r>
        <w:rPr>
          <w:rFonts w:ascii="Arial" w:cs="Arial" w:eastAsia="Arial" w:hAnsi="Arial"/>
          <w:sz w:val="19"/>
          <w:szCs w:val="19"/>
          <w:color w:val="auto"/>
        </w:rPr>
        <w:t>”), in its capacity as administrative agent and collateral agent (“</w:t>
      </w:r>
      <w:r>
        <w:rPr>
          <w:rFonts w:ascii="Arial" w:cs="Arial" w:eastAsia="Arial" w:hAnsi="Arial"/>
          <w:sz w:val="19"/>
          <w:szCs w:val="19"/>
          <w:b w:val="1"/>
          <w:bCs w:val="1"/>
          <w:color w:val="auto"/>
        </w:rPr>
        <w:t>Agent</w:t>
      </w:r>
      <w:r>
        <w:rPr>
          <w:rFonts w:ascii="Arial" w:cs="Arial" w:eastAsia="Arial" w:hAnsi="Arial"/>
          <w:sz w:val="19"/>
          <w:szCs w:val="19"/>
          <w:color w:val="auto"/>
        </w:rPr>
        <w:t xml:space="preserve">”), (b) SVB, as a lender, (c) </w:t>
      </w:r>
      <w:r>
        <w:rPr>
          <w:rFonts w:ascii="Arial" w:cs="Arial" w:eastAsia="Arial" w:hAnsi="Arial"/>
          <w:sz w:val="19"/>
          <w:szCs w:val="19"/>
          <w:b w:val="1"/>
          <w:bCs w:val="1"/>
          <w:color w:val="auto"/>
        </w:rPr>
        <w:t>SVB INNOVATION CREDIT FUND VIII,</w:t>
      </w:r>
      <w:r>
        <w:rPr>
          <w:rFonts w:ascii="Arial" w:cs="Arial" w:eastAsia="Arial" w:hAnsi="Arial"/>
          <w:sz w:val="19"/>
          <w:szCs w:val="19"/>
          <w:color w:val="auto"/>
        </w:rPr>
        <w:t xml:space="preserve"> </w:t>
      </w:r>
      <w:r>
        <w:rPr>
          <w:rFonts w:ascii="Arial" w:cs="Arial" w:eastAsia="Arial" w:hAnsi="Arial"/>
          <w:sz w:val="19"/>
          <w:szCs w:val="19"/>
          <w:b w:val="1"/>
          <w:bCs w:val="1"/>
          <w:color w:val="auto"/>
        </w:rPr>
        <w:t>L.P.</w:t>
      </w:r>
      <w:r>
        <w:rPr>
          <w:rFonts w:ascii="Arial" w:cs="Arial" w:eastAsia="Arial" w:hAnsi="Arial"/>
          <w:sz w:val="19"/>
          <w:szCs w:val="19"/>
          <w:color w:val="auto"/>
        </w:rPr>
        <w:t>, a Delaware limited partnership (“</w:t>
      </w:r>
      <w:r>
        <w:rPr>
          <w:rFonts w:ascii="Arial" w:cs="Arial" w:eastAsia="Arial" w:hAnsi="Arial"/>
          <w:sz w:val="19"/>
          <w:szCs w:val="19"/>
          <w:b w:val="1"/>
          <w:bCs w:val="1"/>
          <w:color w:val="auto"/>
        </w:rPr>
        <w:t>SVB Capital</w:t>
      </w:r>
      <w:r>
        <w:rPr>
          <w:rFonts w:ascii="Arial" w:cs="Arial" w:eastAsia="Arial" w:hAnsi="Arial"/>
          <w:sz w:val="19"/>
          <w:szCs w:val="19"/>
          <w:color w:val="auto"/>
        </w:rPr>
        <w:t>”), as a lender (SVB and SVB Capital and each of the other “Lenders”</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a party to the Loan Agreement (as defined below) are referred to herein collectively as the “</w:t>
      </w:r>
      <w:r>
        <w:rPr>
          <w:rFonts w:ascii="Arial" w:cs="Arial" w:eastAsia="Arial" w:hAnsi="Arial"/>
          <w:sz w:val="19"/>
          <w:szCs w:val="19"/>
          <w:b w:val="1"/>
          <w:bCs w:val="1"/>
          <w:color w:val="auto"/>
        </w:rPr>
        <w:t>Lenders</w:t>
      </w:r>
      <w:r>
        <w:rPr>
          <w:rFonts w:ascii="Arial" w:cs="Arial" w:eastAsia="Arial" w:hAnsi="Arial"/>
          <w:sz w:val="19"/>
          <w:szCs w:val="19"/>
          <w:color w:val="auto"/>
        </w:rPr>
        <w:t>” and each individually as a “</w:t>
      </w:r>
      <w:r>
        <w:rPr>
          <w:rFonts w:ascii="Arial" w:cs="Arial" w:eastAsia="Arial" w:hAnsi="Arial"/>
          <w:sz w:val="19"/>
          <w:szCs w:val="19"/>
          <w:b w:val="1"/>
          <w:bCs w:val="1"/>
          <w:color w:val="auto"/>
        </w:rPr>
        <w:t>Lender</w:t>
      </w:r>
      <w:r>
        <w:rPr>
          <w:rFonts w:ascii="Arial" w:cs="Arial" w:eastAsia="Arial" w:hAnsi="Arial"/>
          <w:sz w:val="19"/>
          <w:szCs w:val="19"/>
          <w:color w:val="auto"/>
        </w:rPr>
        <w:t xml:space="preserve">”), (d) </w:t>
      </w:r>
      <w:r>
        <w:rPr>
          <w:rFonts w:ascii="Arial" w:cs="Arial" w:eastAsia="Arial" w:hAnsi="Arial"/>
          <w:sz w:val="19"/>
          <w:szCs w:val="19"/>
          <w:b w:val="1"/>
          <w:bCs w:val="1"/>
          <w:color w:val="auto"/>
        </w:rPr>
        <w:t>HUMACYTE, INC.</w:t>
      </w:r>
      <w:r>
        <w:rPr>
          <w:rFonts w:ascii="Arial" w:cs="Arial" w:eastAsia="Arial" w:hAnsi="Arial"/>
          <w:sz w:val="19"/>
          <w:szCs w:val="19"/>
          <w:color w:val="auto"/>
        </w:rPr>
        <w:t>, a Delaware corporation (f/k/a Alpha Healthcare Acquisition Corp.) (“</w:t>
      </w:r>
      <w:r>
        <w:rPr>
          <w:rFonts w:ascii="Arial" w:cs="Arial" w:eastAsia="Arial" w:hAnsi="Arial"/>
          <w:sz w:val="19"/>
          <w:szCs w:val="19"/>
          <w:b w:val="1"/>
          <w:bCs w:val="1"/>
          <w:color w:val="auto"/>
        </w:rPr>
        <w:t>Humacyte</w:t>
      </w:r>
      <w:r>
        <w:rPr>
          <w:rFonts w:ascii="Arial" w:cs="Arial" w:eastAsia="Arial" w:hAnsi="Arial"/>
          <w:sz w:val="19"/>
          <w:szCs w:val="19"/>
          <w:color w:val="auto"/>
        </w:rPr>
        <w:t xml:space="preserve">”), and (e) </w:t>
      </w:r>
      <w:r>
        <w:rPr>
          <w:rFonts w:ascii="Arial" w:cs="Arial" w:eastAsia="Arial" w:hAnsi="Arial"/>
          <w:sz w:val="19"/>
          <w:szCs w:val="19"/>
          <w:b w:val="1"/>
          <w:bCs w:val="1"/>
          <w:color w:val="auto"/>
        </w:rPr>
        <w:t>HUMACYTE GLOBAL, INC.</w:t>
      </w:r>
      <w:r>
        <w:rPr>
          <w:rFonts w:ascii="Arial" w:cs="Arial" w:eastAsia="Arial" w:hAnsi="Arial"/>
          <w:sz w:val="19"/>
          <w:szCs w:val="19"/>
          <w:color w:val="auto"/>
        </w:rPr>
        <w:t>, a Delaware corporation (f/k/a Humacyte, Inc.) (together with Humacyte, each individually and collectively, jointly and severally, “</w:t>
      </w:r>
      <w:r>
        <w:rPr>
          <w:rFonts w:ascii="Arial" w:cs="Arial" w:eastAsia="Arial" w:hAnsi="Arial"/>
          <w:sz w:val="19"/>
          <w:szCs w:val="19"/>
          <w:b w:val="1"/>
          <w:bCs w:val="1"/>
          <w:color w:val="auto"/>
        </w:rPr>
        <w:t>Borrower</w:t>
      </w:r>
      <w:r>
        <w:rPr>
          <w:rFonts w:ascii="Arial" w:cs="Arial" w:eastAsia="Arial" w:hAnsi="Arial"/>
          <w:sz w:val="19"/>
          <w:szCs w:val="19"/>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56"/>
        <w:spacing w:after="0" w:line="243" w:lineRule="auto"/>
        <w:tabs>
          <w:tab w:leader="none" w:pos="1296" w:val="left"/>
        </w:tabs>
        <w:numPr>
          <w:ilvl w:val="0"/>
          <w:numId w:val="142"/>
        </w:numPr>
        <w:rPr>
          <w:rFonts w:ascii="Arial" w:cs="Arial" w:eastAsia="Arial" w:hAnsi="Arial"/>
          <w:sz w:val="20"/>
          <w:szCs w:val="20"/>
          <w:b w:val="1"/>
          <w:bCs w:val="1"/>
          <w:color w:val="auto"/>
        </w:rPr>
      </w:pPr>
      <w:r>
        <w:rPr>
          <w:rFonts w:ascii="Arial" w:cs="Arial" w:eastAsia="Arial" w:hAnsi="Arial"/>
          <w:sz w:val="20"/>
          <w:szCs w:val="20"/>
          <w:color w:val="auto"/>
        </w:rPr>
        <w:t>Agent, Lenders, and Borrower have entered into that certain Loan and Security Agreement dated as of March 30, 2021, as amended by that certain First Amendment to Loan and Security Agreement dated as of June 30, 2021, and as supplemented by that certain Joinder to Loan and Security Agreement dated as of the date hereof (the “</w:t>
      </w:r>
      <w:r>
        <w:rPr>
          <w:rFonts w:ascii="Arial" w:cs="Arial" w:eastAsia="Arial" w:hAnsi="Arial"/>
          <w:sz w:val="20"/>
          <w:szCs w:val="20"/>
          <w:b w:val="1"/>
          <w:bCs w:val="1"/>
          <w:color w:val="auto"/>
        </w:rPr>
        <w:t>Joinder</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(such Loan and Security Agreement as so amended and supplemented, and as the same may from time to time</w:t>
      </w:r>
      <w:r>
        <w:rPr>
          <w:rFonts w:ascii="Arial" w:cs="Arial" w:eastAsia="Arial" w:hAnsi="Arial"/>
          <w:sz w:val="20"/>
          <w:szCs w:val="20"/>
          <w:b w:val="1"/>
          <w:bCs w:val="1"/>
          <w:color w:val="auto"/>
        </w:rPr>
        <w:t xml:space="preserve"> </w:t>
      </w:r>
      <w:r>
        <w:rPr>
          <w:rFonts w:ascii="Arial" w:cs="Arial" w:eastAsia="Arial" w:hAnsi="Arial"/>
          <w:sz w:val="20"/>
          <w:szCs w:val="20"/>
          <w:color w:val="auto"/>
        </w:rPr>
        <w:t>be further amended, modified, supplemented or restated, the “</w:t>
      </w:r>
      <w:r>
        <w:rPr>
          <w:rFonts w:ascii="Arial" w:cs="Arial" w:eastAsia="Arial" w:hAnsi="Arial"/>
          <w:sz w:val="20"/>
          <w:szCs w:val="20"/>
          <w:b w:val="1"/>
          <w:bCs w:val="1"/>
          <w:color w:val="auto"/>
        </w:rPr>
        <w:t>Loan Agreement</w:t>
      </w:r>
      <w:r>
        <w:rPr>
          <w:rFonts w:ascii="Arial" w:cs="Arial" w:eastAsia="Arial" w:hAnsi="Arial"/>
          <w:sz w:val="20"/>
          <w:szCs w:val="20"/>
          <w:color w:val="auto"/>
        </w:rPr>
        <w:t>”). Lenders have extended credit to Borrower for the purposes permitted in the Loan Agreement.</w:t>
      </w:r>
    </w:p>
    <w:p>
      <w:pPr>
        <w:spacing w:after="0" w:line="195" w:lineRule="exact"/>
        <w:rPr>
          <w:rFonts w:ascii="Arial" w:cs="Arial" w:eastAsia="Arial" w:hAnsi="Arial"/>
          <w:sz w:val="20"/>
          <w:szCs w:val="20"/>
          <w:b w:val="1"/>
          <w:bCs w:val="1"/>
          <w:color w:val="auto"/>
        </w:rPr>
      </w:pPr>
    </w:p>
    <w:p>
      <w:pPr>
        <w:ind w:firstLine="656"/>
        <w:spacing w:after="0" w:line="260" w:lineRule="auto"/>
        <w:tabs>
          <w:tab w:leader="none" w:pos="1296" w:val="left"/>
        </w:tabs>
        <w:numPr>
          <w:ilvl w:val="0"/>
          <w:numId w:val="142"/>
        </w:numPr>
        <w:rPr>
          <w:rFonts w:ascii="Arial" w:cs="Arial" w:eastAsia="Arial" w:hAnsi="Arial"/>
          <w:sz w:val="20"/>
          <w:szCs w:val="20"/>
          <w:b w:val="1"/>
          <w:bCs w:val="1"/>
          <w:color w:val="auto"/>
        </w:rPr>
      </w:pPr>
      <w:r>
        <w:rPr>
          <w:rFonts w:ascii="Arial" w:cs="Arial" w:eastAsia="Arial" w:hAnsi="Arial"/>
          <w:sz w:val="20"/>
          <w:szCs w:val="20"/>
          <w:color w:val="auto"/>
        </w:rPr>
        <w:t>Borrower has requested that Agent and Lenders amend the Loan Agreement to make certain revisions to the Loan Agreement as more fully set forth herein.</w:t>
      </w:r>
    </w:p>
    <w:p>
      <w:pPr>
        <w:spacing w:after="0" w:line="176" w:lineRule="exact"/>
        <w:rPr>
          <w:rFonts w:ascii="Arial" w:cs="Arial" w:eastAsia="Arial" w:hAnsi="Arial"/>
          <w:sz w:val="20"/>
          <w:szCs w:val="20"/>
          <w:b w:val="1"/>
          <w:bCs w:val="1"/>
          <w:color w:val="auto"/>
        </w:rPr>
      </w:pPr>
    </w:p>
    <w:p>
      <w:pPr>
        <w:jc w:val="both"/>
        <w:ind w:firstLine="656"/>
        <w:spacing w:after="0" w:line="250" w:lineRule="auto"/>
        <w:tabs>
          <w:tab w:leader="none" w:pos="1296" w:val="left"/>
        </w:tabs>
        <w:numPr>
          <w:ilvl w:val="0"/>
          <w:numId w:val="142"/>
        </w:numPr>
        <w:rPr>
          <w:rFonts w:ascii="Arial" w:cs="Arial" w:eastAsia="Arial" w:hAnsi="Arial"/>
          <w:sz w:val="20"/>
          <w:szCs w:val="20"/>
          <w:b w:val="1"/>
          <w:bCs w:val="1"/>
          <w:color w:val="auto"/>
        </w:rPr>
      </w:pPr>
      <w:r>
        <w:rPr>
          <w:rFonts w:ascii="Arial" w:cs="Arial" w:eastAsia="Arial" w:hAnsi="Arial"/>
          <w:sz w:val="20"/>
          <w:szCs w:val="20"/>
          <w:color w:val="auto"/>
        </w:rPr>
        <w:t>Agent and Lenders have agreed to so amend certain provisions of the Loan Agreement, but only to the extent, in accordance with the terms, subject to the conditions and in reliance upon the representations and warranties set forth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foregoing recitals and other good and valuable consideration,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and adequacy of which is hereby acknowledged, and intending to be legally bound, the parties hereto agree as follows:</w:t>
      </w:r>
    </w:p>
    <w:p>
      <w:pPr>
        <w:spacing w:after="0" w:line="177" w:lineRule="exact"/>
        <w:rPr>
          <w:sz w:val="20"/>
          <w:szCs w:val="20"/>
          <w:color w:val="auto"/>
        </w:rPr>
      </w:pPr>
    </w:p>
    <w:p>
      <w:pPr>
        <w:ind w:firstLine="656"/>
        <w:spacing w:after="0" w:line="267" w:lineRule="auto"/>
        <w:tabs>
          <w:tab w:leader="none" w:pos="1296"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Capitalized terms used but not defined in this Amendment shall have the meanings given to</w:t>
      </w:r>
      <w:r>
        <w:rPr>
          <w:rFonts w:ascii="Arial" w:cs="Arial" w:eastAsia="Arial" w:hAnsi="Arial"/>
          <w:sz w:val="20"/>
          <w:szCs w:val="20"/>
          <w:b w:val="1"/>
          <w:bCs w:val="1"/>
          <w:color w:val="auto"/>
        </w:rPr>
        <w:t xml:space="preserve"> </w:t>
      </w:r>
      <w:r>
        <w:rPr>
          <w:rFonts w:ascii="Arial" w:cs="Arial" w:eastAsia="Arial" w:hAnsi="Arial"/>
          <w:sz w:val="20"/>
          <w:szCs w:val="20"/>
          <w:color w:val="auto"/>
        </w:rPr>
        <w:t>them in the Loan Agreement.</w:t>
      </w:r>
    </w:p>
    <w:p>
      <w:pPr>
        <w:spacing w:after="0" w:line="163" w:lineRule="exact"/>
        <w:rPr>
          <w:rFonts w:ascii="Arial" w:cs="Arial" w:eastAsia="Arial" w:hAnsi="Arial"/>
          <w:sz w:val="20"/>
          <w:szCs w:val="20"/>
          <w:b w:val="1"/>
          <w:bCs w:val="1"/>
          <w:color w:val="auto"/>
        </w:rPr>
      </w:pPr>
    </w:p>
    <w:p>
      <w:pPr>
        <w:ind w:left="1300" w:hanging="644"/>
        <w:spacing w:after="0"/>
        <w:tabs>
          <w:tab w:leader="none" w:pos="1300"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Loan Agreement.</w:t>
      </w:r>
    </w:p>
    <w:p>
      <w:pPr>
        <w:spacing w:after="0" w:line="216"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color w:val="auto"/>
        </w:rPr>
        <w:t>All references to “</w:t>
      </w:r>
      <w:r>
        <w:rPr>
          <w:rFonts w:ascii="Arial" w:cs="Arial" w:eastAsia="Arial" w:hAnsi="Arial"/>
          <w:sz w:val="19"/>
          <w:szCs w:val="19"/>
          <w:b w:val="1"/>
          <w:bCs w:val="1"/>
          <w:color w:val="auto"/>
        </w:rPr>
        <w:t>HUMACYTE, INC.</w:t>
      </w:r>
      <w:r>
        <w:rPr>
          <w:rFonts w:ascii="Arial" w:cs="Arial" w:eastAsia="Arial" w:hAnsi="Arial"/>
          <w:sz w:val="19"/>
          <w:szCs w:val="19"/>
          <w:color w:val="auto"/>
        </w:rPr>
        <w:t>” in the Loan Documents entered into prior to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hereafter mean and refer to “</w:t>
      </w:r>
      <w:r>
        <w:rPr>
          <w:rFonts w:ascii="Arial" w:cs="Arial" w:eastAsia="Arial" w:hAnsi="Arial"/>
          <w:sz w:val="19"/>
          <w:szCs w:val="19"/>
          <w:b w:val="1"/>
          <w:bCs w:val="1"/>
          <w:color w:val="auto"/>
        </w:rPr>
        <w:t>HUMACYTE GLOBAL, INC.</w:t>
      </w:r>
      <w:r>
        <w:rPr>
          <w:rFonts w:ascii="Arial" w:cs="Arial" w:eastAsia="Arial" w:hAnsi="Arial"/>
          <w:sz w:val="19"/>
          <w:szCs w:val="19"/>
          <w:color w:val="auto"/>
        </w:rPr>
        <w:t>”. For the avoidance of doubt, all references to “HUMACYTE, INC.” in the Joinder Agreement (and in any other Loan Document entered into on or after the date of this Amendment) mean and refer to “HUMACYTE, INC. (f/k/a Alpha Healthcare Acquisition Corp.)”.</w:t>
      </w:r>
    </w:p>
    <w:p>
      <w:pPr>
        <w:spacing w:after="0" w:line="169" w:lineRule="exact"/>
        <w:rPr>
          <w:sz w:val="20"/>
          <w:szCs w:val="20"/>
          <w:color w:val="auto"/>
        </w:rPr>
      </w:pPr>
    </w:p>
    <w:p>
      <w:pPr>
        <w:jc w:val="both"/>
        <w:ind w:right="20" w:firstLine="1296"/>
        <w:spacing w:after="0" w:line="267" w:lineRule="auto"/>
        <w:rPr>
          <w:sz w:val="20"/>
          <w:szCs w:val="20"/>
          <w:color w:val="auto"/>
        </w:rPr>
      </w:pPr>
      <w:r>
        <w:rPr>
          <w:rFonts w:ascii="Arial" w:cs="Arial" w:eastAsia="Arial" w:hAnsi="Arial"/>
          <w:sz w:val="20"/>
          <w:szCs w:val="20"/>
          <w:b w:val="1"/>
          <w:bCs w:val="1"/>
          <w:color w:val="auto"/>
        </w:rPr>
        <w:t xml:space="preserve">2.2 </w:t>
      </w:r>
      <w:r>
        <w:rPr>
          <w:rFonts w:ascii="Arial" w:cs="Arial" w:eastAsia="Arial" w:hAnsi="Arial"/>
          <w:sz w:val="20"/>
          <w:szCs w:val="20"/>
          <w:color w:val="auto"/>
        </w:rPr>
        <w:t>All references to “</w:t>
      </w:r>
      <w:r>
        <w:rPr>
          <w:rFonts w:ascii="Arial" w:cs="Arial" w:eastAsia="Arial" w:hAnsi="Arial"/>
          <w:sz w:val="20"/>
          <w:szCs w:val="20"/>
          <w:b w:val="1"/>
          <w:bCs w:val="1"/>
          <w:color w:val="auto"/>
        </w:rPr>
        <w:t>ALPHA HEALTHCARE ACQUISITION CORP.</w:t>
      </w:r>
      <w:r>
        <w:rPr>
          <w:rFonts w:ascii="Arial" w:cs="Arial" w:eastAsia="Arial" w:hAnsi="Arial"/>
          <w:sz w:val="20"/>
          <w:szCs w:val="20"/>
          <w:color w:val="auto"/>
        </w:rPr>
        <w:t>” in the Loan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entered into prior to, on or after the date of this Amendment) hereafter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744220</wp:posOffset>
            </wp:positionV>
            <wp:extent cx="629221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59" w:name="page260"/>
    <w:bookmarkEnd w:id="259"/>
    <w:p>
      <w:pPr>
        <w:jc w:val="both"/>
        <w:spacing w:after="0" w:line="253" w:lineRule="auto"/>
        <w:rPr>
          <w:sz w:val="20"/>
          <w:szCs w:val="20"/>
          <w:color w:val="auto"/>
        </w:rPr>
      </w:pPr>
      <w:r>
        <w:rPr>
          <w:rFonts w:ascii="Arial" w:cs="Arial" w:eastAsia="Arial" w:hAnsi="Arial"/>
          <w:sz w:val="20"/>
          <w:szCs w:val="20"/>
          <w:color w:val="auto"/>
        </w:rPr>
        <w:t>and refer to “</w:t>
      </w:r>
      <w:r>
        <w:rPr>
          <w:rFonts w:ascii="Arial" w:cs="Arial" w:eastAsia="Arial" w:hAnsi="Arial"/>
          <w:sz w:val="20"/>
          <w:szCs w:val="20"/>
          <w:b w:val="1"/>
          <w:bCs w:val="1"/>
          <w:color w:val="auto"/>
        </w:rPr>
        <w:t>HUMACYTE, INC.</w:t>
      </w:r>
      <w:r>
        <w:rPr>
          <w:rFonts w:ascii="Arial" w:cs="Arial" w:eastAsia="Arial" w:hAnsi="Arial"/>
          <w:sz w:val="20"/>
          <w:szCs w:val="20"/>
          <w:color w:val="auto"/>
        </w:rPr>
        <w:t xml:space="preserve"> (f/k/a Alpha Healthcare Acquisition Corp.)”. For the avoidance of doubt, all references to “SPAC Parent” in the Loan Documents (whether entered into prior to, on or after the date of this Amendment) mean and refer to “HUMACYTE, INC. (f/k/a Alpha Healthcare Acquisition Corp.)”.</w:t>
      </w:r>
    </w:p>
    <w:p>
      <w:pPr>
        <w:spacing w:after="0" w:line="177"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 of Amendments.</w:t>
      </w:r>
    </w:p>
    <w:p>
      <w:pPr>
        <w:spacing w:after="0" w:line="21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set forth in</w:t>
      </w:r>
      <w:r>
        <w:rPr>
          <w:rFonts w:ascii="Arial" w:cs="Arial" w:eastAsia="Arial" w:hAnsi="Arial"/>
          <w:sz w:val="18"/>
          <w:szCs w:val="18"/>
          <w:b w:val="1"/>
          <w:bCs w:val="1"/>
          <w:color w:val="auto"/>
        </w:rPr>
        <w:t xml:space="preserve"> Section 2</w:t>
      </w:r>
      <w:r>
        <w:rPr>
          <w:rFonts w:ascii="Arial" w:cs="Arial" w:eastAsia="Arial" w:hAnsi="Arial"/>
          <w:sz w:val="18"/>
          <w:szCs w:val="18"/>
          <w:color w:val="auto"/>
        </w:rPr>
        <w:t>, above, are effective for the purposes set forth 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limited precisely as written and shall not be deemed to (a) be a consent to any amendment, waiver or modification of any other term or condition of any Loan Document, or (b) otherwise prejudice any right or remedy which Agent and/or any Lender may now have or may have in the future under or in connection with any Loan Document.</w:t>
      </w:r>
    </w:p>
    <w:p>
      <w:pPr>
        <w:spacing w:after="0" w:line="15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This Amendment shall be construed in connection with and as part of the Loan Documents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terms, conditions, representations, warranties, covenants and agreements set forth in the Loan Documents, except as herein amended, are hereby ratified and confirmed and shall remain in full force and effect.</w:t>
      </w:r>
    </w:p>
    <w:p>
      <w:pPr>
        <w:spacing w:after="0" w:line="162" w:lineRule="exact"/>
        <w:rPr>
          <w:sz w:val="20"/>
          <w:szCs w:val="20"/>
          <w:color w:val="auto"/>
        </w:rPr>
      </w:pPr>
    </w:p>
    <w:p>
      <w:pPr>
        <w:ind w:right="20" w:firstLine="656"/>
        <w:spacing w:after="0" w:line="267" w:lineRule="auto"/>
        <w:tabs>
          <w:tab w:leader="none" w:pos="1296"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To induce Agent and Lenders to enter into this Amendment,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hereby represents and warrants to Agent and Lenders as follows:</w:t>
      </w:r>
    </w:p>
    <w:p>
      <w:pPr>
        <w:spacing w:after="0" w:line="16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color w:val="auto"/>
        </w:rPr>
        <w:t>Immediately after giving effect to this Amendment (a) the representations and warranties contained</w:t>
      </w:r>
      <w:r>
        <w:rPr>
          <w:rFonts w:ascii="Arial" w:cs="Arial" w:eastAsia="Arial" w:hAnsi="Arial"/>
          <w:sz w:val="20"/>
          <w:szCs w:val="20"/>
          <w:b w:val="1"/>
          <w:bCs w:val="1"/>
          <w:color w:val="auto"/>
        </w:rPr>
        <w:t xml:space="preserve"> </w:t>
      </w:r>
      <w:r>
        <w:rPr>
          <w:rFonts w:ascii="Arial" w:cs="Arial" w:eastAsia="Arial" w:hAnsi="Arial"/>
          <w:sz w:val="20"/>
          <w:szCs w:val="20"/>
          <w:color w:val="auto"/>
        </w:rPr>
        <w:t>in the Loan Documents are true, accurate and complete in all material respects as of the date hereof (except to the extent such representations and warranties relate to an earlier date, in which case they are true, accurate and complete as of such date), and (b) no Event of Default has occurred and is continuing;</w:t>
      </w:r>
    </w:p>
    <w:p>
      <w:pPr>
        <w:spacing w:after="0" w:line="183"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color w:val="auto"/>
        </w:rPr>
        <w:t>Borrower has the power and authority to execute and deliver this Amendment and to perform its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Loan Agreement, as amended by this Amendment;</w:t>
      </w:r>
    </w:p>
    <w:p>
      <w:pPr>
        <w:spacing w:after="0" w:line="16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color w:val="auto"/>
        </w:rPr>
        <w:t>The organizational documents of Borrower delivered to Agent on the date hereof are true, accurate</w:t>
      </w:r>
      <w:r>
        <w:rPr>
          <w:rFonts w:ascii="Arial" w:cs="Arial" w:eastAsia="Arial" w:hAnsi="Arial"/>
          <w:sz w:val="20"/>
          <w:szCs w:val="20"/>
          <w:b w:val="1"/>
          <w:bCs w:val="1"/>
          <w:color w:val="auto"/>
        </w:rPr>
        <w:t xml:space="preserve"> </w:t>
      </w:r>
      <w:r>
        <w:rPr>
          <w:rFonts w:ascii="Arial" w:cs="Arial" w:eastAsia="Arial" w:hAnsi="Arial"/>
          <w:sz w:val="20"/>
          <w:szCs w:val="20"/>
          <w:color w:val="auto"/>
        </w:rPr>
        <w:t>and complete and have not been amended, supplemented or restated (except as set forth in such organizational documents) and are and continue to be in full force and effect;</w:t>
      </w:r>
    </w:p>
    <w:p>
      <w:pPr>
        <w:spacing w:after="0" w:line="17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color w:val="auto"/>
        </w:rPr>
        <w:t>The execution and delivery by Borrower of this Amendment and the performance by Borrower of</w:t>
      </w:r>
      <w:r>
        <w:rPr>
          <w:rFonts w:ascii="Arial" w:cs="Arial" w:eastAsia="Arial" w:hAnsi="Arial"/>
          <w:sz w:val="20"/>
          <w:szCs w:val="20"/>
          <w:b w:val="1"/>
          <w:bCs w:val="1"/>
          <w:color w:val="auto"/>
        </w:rPr>
        <w:t xml:space="preserve"> </w:t>
      </w:r>
      <w:r>
        <w:rPr>
          <w:rFonts w:ascii="Arial" w:cs="Arial" w:eastAsia="Arial" w:hAnsi="Arial"/>
          <w:sz w:val="20"/>
          <w:szCs w:val="20"/>
          <w:color w:val="auto"/>
        </w:rPr>
        <w:t>its obligations under the Loan Agreement, as amended by this Amendment, have been duly authorized;</w:t>
      </w:r>
    </w:p>
    <w:p>
      <w:pPr>
        <w:spacing w:after="0" w:line="163"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obligations under the Loan Agreement, as amended by this Amendment, do not and will not contravene (a) any material law or regulation binding on or affecting Borrower, (b) any contractual restriction contained in any material agreement with a Person binding on Borrower, (c) any applicable order, judgment or decree of any court or other governmental or public body or authority, or subdivision thereof, binding on Borrower, or (d) the organizational documents of Borrower;</w:t>
      </w:r>
    </w:p>
    <w:p>
      <w:pPr>
        <w:spacing w:after="0" w:line="15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b w:val="1"/>
          <w:bCs w:val="1"/>
          <w:color w:val="auto"/>
        </w:rPr>
        <w:t xml:space="preserve">4.6 </w:t>
      </w:r>
      <w:r>
        <w:rPr>
          <w:rFonts w:ascii="Arial" w:cs="Arial" w:eastAsia="Arial" w:hAnsi="Arial"/>
          <w:sz w:val="20"/>
          <w:szCs w:val="20"/>
          <w:color w:val="auto"/>
        </w:rPr>
        <w:t>The execution and delivery by Borrower of this Amendment and the performance by Borrower of</w:t>
      </w:r>
      <w:r>
        <w:rPr>
          <w:rFonts w:ascii="Arial" w:cs="Arial" w:eastAsia="Arial" w:hAnsi="Arial"/>
          <w:sz w:val="20"/>
          <w:szCs w:val="20"/>
          <w:b w:val="1"/>
          <w:bCs w:val="1"/>
          <w:color w:val="auto"/>
        </w:rPr>
        <w:t xml:space="preserve"> </w:t>
      </w:r>
      <w:r>
        <w:rPr>
          <w:rFonts w:ascii="Arial" w:cs="Arial" w:eastAsia="Arial" w:hAnsi="Arial"/>
          <w:sz w:val="20"/>
          <w:szCs w:val="20"/>
          <w:color w:val="auto"/>
        </w:rPr>
        <w:t>its obligations under the Loan Agreement, as amended by this Amendment, do not require any Governmental Approval from, or filing, recording or registration with, any governmental or public body or authority, or subdivision thereof, binding on Borrower, except (a) those that have already been obtained or made and (b) filings, recordings and registrations contemplated by the Loan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0" w:name="page261"/>
    <w:bookmarkEnd w:id="260"/>
    <w:p>
      <w:pPr>
        <w:jc w:val="both"/>
        <w:ind w:firstLine="1296"/>
        <w:spacing w:after="0" w:line="248" w:lineRule="auto"/>
        <w:rPr>
          <w:sz w:val="20"/>
          <w:szCs w:val="20"/>
          <w:color w:val="auto"/>
        </w:rPr>
      </w:pPr>
      <w:r>
        <w:rPr>
          <w:rFonts w:ascii="Arial" w:cs="Arial" w:eastAsia="Arial" w:hAnsi="Arial"/>
          <w:sz w:val="20"/>
          <w:szCs w:val="20"/>
          <w:b w:val="1"/>
          <w:bCs w:val="1"/>
          <w:color w:val="auto"/>
        </w:rPr>
        <w:t xml:space="preserve">4.7 </w:t>
      </w:r>
      <w:r>
        <w:rPr>
          <w:rFonts w:ascii="Arial" w:cs="Arial" w:eastAsia="Arial" w:hAnsi="Arial"/>
          <w:sz w:val="20"/>
          <w:szCs w:val="20"/>
          <w:color w:val="auto"/>
        </w:rPr>
        <w:t>This Amendment has been duly executed and delivered by Borrower and is the binding obligation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3" w:lineRule="exact"/>
        <w:rPr>
          <w:sz w:val="20"/>
          <w:szCs w:val="20"/>
          <w:color w:val="auto"/>
        </w:rPr>
      </w:pPr>
    </w:p>
    <w:p>
      <w:pPr>
        <w:jc w:val="both"/>
        <w:ind w:firstLine="656"/>
        <w:spacing w:after="0" w:line="248" w:lineRule="auto"/>
        <w:tabs>
          <w:tab w:leader="none" w:pos="1296"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Ratification of Perfection Certificate</w:t>
      </w:r>
      <w:r>
        <w:rPr>
          <w:rFonts w:ascii="Arial" w:cs="Arial" w:eastAsia="Arial" w:hAnsi="Arial"/>
          <w:sz w:val="20"/>
          <w:szCs w:val="20"/>
          <w:color w:val="auto"/>
        </w:rPr>
        <w:t>. Borrower hereby ratifies, confirms and reaffirms, all and singular,</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disclosures contained in a certain Perfection Certificate dated as of the date hereof and acknowledges, confirms and agrees that the disclosures and information Borrower provided to Agent in such Perfection Certificate have not changed, as of the date hereof.</w:t>
      </w:r>
    </w:p>
    <w:p>
      <w:pPr>
        <w:spacing w:after="0" w:line="183" w:lineRule="exact"/>
        <w:rPr>
          <w:rFonts w:ascii="Arial" w:cs="Arial" w:eastAsia="Arial" w:hAnsi="Arial"/>
          <w:sz w:val="20"/>
          <w:szCs w:val="20"/>
          <w:b w:val="1"/>
          <w:bCs w:val="1"/>
          <w:color w:val="auto"/>
        </w:rPr>
      </w:pPr>
    </w:p>
    <w:p>
      <w:pPr>
        <w:ind w:firstLine="656"/>
        <w:spacing w:after="0" w:line="267" w:lineRule="auto"/>
        <w:tabs>
          <w:tab w:leader="none" w:pos="1296"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Amendment may be executed in any number of counterparts and all of such</w:t>
      </w:r>
      <w:r>
        <w:rPr>
          <w:rFonts w:ascii="Arial" w:cs="Arial" w:eastAsia="Arial" w:hAnsi="Arial"/>
          <w:sz w:val="20"/>
          <w:szCs w:val="20"/>
          <w:b w:val="1"/>
          <w:bCs w:val="1"/>
          <w:color w:val="auto"/>
        </w:rPr>
        <w:t xml:space="preserve"> </w:t>
      </w:r>
      <w:r>
        <w:rPr>
          <w:rFonts w:ascii="Arial" w:cs="Arial" w:eastAsia="Arial" w:hAnsi="Arial"/>
          <w:sz w:val="20"/>
          <w:szCs w:val="20"/>
          <w:color w:val="auto"/>
        </w:rPr>
        <w:t>counterparts taken together shall be deemed to constitute one and the same instrument.</w:t>
      </w:r>
    </w:p>
    <w:p>
      <w:pPr>
        <w:spacing w:after="0" w:line="163" w:lineRule="exact"/>
        <w:rPr>
          <w:rFonts w:ascii="Arial" w:cs="Arial" w:eastAsia="Arial" w:hAnsi="Arial"/>
          <w:sz w:val="20"/>
          <w:szCs w:val="20"/>
          <w:b w:val="1"/>
          <w:bCs w:val="1"/>
          <w:color w:val="auto"/>
        </w:rPr>
      </w:pPr>
    </w:p>
    <w:p>
      <w:pPr>
        <w:jc w:val="both"/>
        <w:ind w:firstLine="656"/>
        <w:spacing w:after="0" w:line="272" w:lineRule="auto"/>
        <w:tabs>
          <w:tab w:leader="none" w:pos="1296" w:val="left"/>
        </w:tabs>
        <w:numPr>
          <w:ilvl w:val="0"/>
          <w:numId w:val="1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Effectiveness. </w:t>
      </w:r>
      <w:r>
        <w:rPr>
          <w:rFonts w:ascii="Arial" w:cs="Arial" w:eastAsia="Arial" w:hAnsi="Arial"/>
          <w:sz w:val="19"/>
          <w:szCs w:val="19"/>
          <w:color w:val="auto"/>
        </w:rPr>
        <w:t>This Amendment shall be deemed effective upon (a) the due execution and delivery to</w:t>
      </w:r>
      <w:r>
        <w:rPr>
          <w:rFonts w:ascii="Arial" w:cs="Arial" w:eastAsia="Arial" w:hAnsi="Arial"/>
          <w:sz w:val="19"/>
          <w:szCs w:val="19"/>
          <w:b w:val="1"/>
          <w:bCs w:val="1"/>
          <w:color w:val="auto"/>
        </w:rPr>
        <w:t xml:space="preserve"> </w:t>
      </w:r>
      <w:r>
        <w:rPr>
          <w:rFonts w:ascii="Arial" w:cs="Arial" w:eastAsia="Arial" w:hAnsi="Arial"/>
          <w:sz w:val="19"/>
          <w:szCs w:val="19"/>
          <w:color w:val="auto"/>
        </w:rPr>
        <w:t>Agent and Lenders of this Amendment by each party hereto, and (b) Borrower’s payment of all Lenders’ Expenses due and owing as of the date hereof, which may be debited from any of Borrower’s accounts at SVB.</w:t>
      </w:r>
    </w:p>
    <w:p>
      <w:pPr>
        <w:spacing w:after="0" w:line="161" w:lineRule="exact"/>
        <w:rPr>
          <w:rFonts w:ascii="Arial" w:cs="Arial" w:eastAsia="Arial" w:hAnsi="Arial"/>
          <w:sz w:val="19"/>
          <w:szCs w:val="19"/>
          <w:b w:val="1"/>
          <w:bCs w:val="1"/>
          <w:color w:val="auto"/>
        </w:rPr>
      </w:pPr>
    </w:p>
    <w:p>
      <w:pPr>
        <w:ind w:left="1300" w:hanging="644"/>
        <w:spacing w:after="0"/>
        <w:tabs>
          <w:tab w:leader="none" w:pos="1300"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color w:val="auto"/>
        </w:rPr>
        <w:t>This Amendment shall constitute a Loan Document under the Loan Agreement; the failure to</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the covenants contained herein shall constitute an Event of Default under the Loan Agreement (subject to certain grace and cure options set forth in Section 8 of the Loan Agreement); and all obligations included in this Amendment (including, without limitation, all obligations for the payment of principal, interest, fees, and other amounts and expenses) shall constitute obligations under the Loan Agreement and secured by the Collateral.</w:t>
      </w:r>
    </w:p>
    <w:p>
      <w:pPr>
        <w:spacing w:after="0" w:line="171"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b w:val="1"/>
          <w:bCs w:val="1"/>
          <w:color w:val="auto"/>
        </w:rPr>
        <w:t xml:space="preserve">8.2 </w:t>
      </w:r>
      <w:r>
        <w:rPr>
          <w:rFonts w:ascii="Arial" w:cs="Arial" w:eastAsia="Arial" w:hAnsi="Arial"/>
          <w:sz w:val="20"/>
          <w:szCs w:val="20"/>
          <w:color w:val="auto"/>
        </w:rPr>
        <w:t>Each provision of this Amendment is severable from every other provision in determining the</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enforceability of any provision.</w:t>
      </w:r>
    </w:p>
    <w:p>
      <w:pPr>
        <w:spacing w:after="0" w:line="163" w:lineRule="exact"/>
        <w:rPr>
          <w:sz w:val="20"/>
          <w:szCs w:val="20"/>
          <w:color w:val="auto"/>
        </w:rPr>
      </w:pPr>
    </w:p>
    <w:p>
      <w:pPr>
        <w:ind w:firstLine="656"/>
        <w:spacing w:after="0" w:line="267" w:lineRule="auto"/>
        <w:tabs>
          <w:tab w:leader="none" w:pos="1296"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Amendment and the rights and obligations of the parties hereto shall be governed by</w:t>
      </w:r>
      <w:r>
        <w:rPr>
          <w:rFonts w:ascii="Arial" w:cs="Arial" w:eastAsia="Arial" w:hAnsi="Arial"/>
          <w:sz w:val="20"/>
          <w:szCs w:val="20"/>
          <w:b w:val="1"/>
          <w:bCs w:val="1"/>
          <w:color w:val="auto"/>
        </w:rPr>
        <w:t xml:space="preserve"> </w:t>
      </w:r>
      <w:r>
        <w:rPr>
          <w:rFonts w:ascii="Arial" w:cs="Arial" w:eastAsia="Arial" w:hAnsi="Arial"/>
          <w:sz w:val="20"/>
          <w:szCs w:val="20"/>
          <w:color w:val="auto"/>
        </w:rPr>
        <w:t>and construed in accordance with the laws of the State of New York.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Balance of Page Intentionally Left Blank</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61" w:name="page262"/>
    <w:bookmarkEnd w:id="261"/>
    <w:p>
      <w:pPr>
        <w:ind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Amendment to be duly executed and delivered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first written above.</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HUMACYTE, INC.</w:t>
      </w:r>
      <w:r>
        <w:rPr>
          <w:rFonts w:ascii="Arial" w:cs="Arial" w:eastAsia="Arial" w:hAnsi="Arial"/>
          <w:sz w:val="20"/>
          <w:szCs w:val="20"/>
          <w:color w:val="auto"/>
        </w:rPr>
        <w:t>, f/k/a Alpha Healthcare Acquisition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Corp.</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By:</w:t>
        <w:tab/>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8200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5715</wp:posOffset>
            </wp:positionV>
            <wp:extent cx="28200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5715</wp:posOffset>
            </wp:positionV>
            <wp:extent cx="28200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HUMACYTE GLOBAL, INC.</w:t>
      </w:r>
      <w:r>
        <w:rPr>
          <w:rFonts w:ascii="Arial" w:cs="Arial" w:eastAsia="Arial" w:hAnsi="Arial"/>
          <w:sz w:val="20"/>
          <w:szCs w:val="20"/>
          <w:color w:val="auto"/>
        </w:rPr>
        <w:t>, f/k/a Humacyte, Inc.</w:t>
      </w:r>
    </w:p>
    <w:p>
      <w:pPr>
        <w:spacing w:after="0" w:line="23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By:</w:t>
        <w:tab/>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8200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5715</wp:posOffset>
            </wp:positionV>
            <wp:extent cx="28200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5715</wp:posOffset>
            </wp:positionV>
            <wp:extent cx="28200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SILICON VALLEY BANK</w:t>
      </w:r>
      <w:r>
        <w:rPr>
          <w:rFonts w:ascii="Arial" w:cs="Arial" w:eastAsia="Arial" w:hAnsi="Arial"/>
          <w:sz w:val="20"/>
          <w:szCs w:val="20"/>
          <w:color w:val="auto"/>
        </w:rPr>
        <w:t>, as Agent</w:t>
      </w:r>
    </w:p>
    <w:p>
      <w:pPr>
        <w:spacing w:after="0" w:line="23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By:</w:t>
        <w:tab/>
        <w:t>/s/ Scott McCarty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8200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McCarty</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LENDERS: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SILICON VALLEY BANK</w:t>
      </w:r>
      <w:r>
        <w:rPr>
          <w:rFonts w:ascii="Arial" w:cs="Arial" w:eastAsia="Arial" w:hAnsi="Arial"/>
          <w:sz w:val="20"/>
          <w:szCs w:val="20"/>
          <w:color w:val="auto"/>
        </w:rPr>
        <w:t>, as Lender</w:t>
      </w:r>
    </w:p>
    <w:p>
      <w:pPr>
        <w:spacing w:after="0" w:line="23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By:</w:t>
        <w:tab/>
        <w:t>/s/ Scott McCarty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8200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McCarty</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SVB INNOVATION CREDIT FUND VIII, L.P.</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By: SVB Innovation Credit Partners VIII, LLC, a</w:t>
      </w:r>
    </w:p>
    <w:p>
      <w:pPr>
        <w:spacing w:after="0"/>
        <w:rPr>
          <w:sz w:val="20"/>
          <w:szCs w:val="20"/>
          <w:color w:val="auto"/>
        </w:rPr>
      </w:pPr>
      <w:r>
        <w:rPr>
          <w:rFonts w:ascii="Arial" w:cs="Arial" w:eastAsia="Arial" w:hAnsi="Arial"/>
          <w:sz w:val="20"/>
          <w:szCs w:val="20"/>
          <w:color w:val="auto"/>
        </w:rPr>
        <w:t>Delaware limited liability company, its General</w:t>
      </w:r>
    </w:p>
    <w:p>
      <w:pPr>
        <w:spacing w:after="0"/>
        <w:rPr>
          <w:sz w:val="20"/>
          <w:szCs w:val="20"/>
          <w:color w:val="auto"/>
        </w:rPr>
      </w:pPr>
      <w:r>
        <w:rPr>
          <w:rFonts w:ascii="Arial" w:cs="Arial" w:eastAsia="Arial" w:hAnsi="Arial"/>
          <w:sz w:val="20"/>
          <w:szCs w:val="20"/>
          <w:color w:val="auto"/>
        </w:rPr>
        <w:t>Partner, as Lender</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By:</w:t>
        <w:tab/>
        <w:t>/s/ Ryan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28200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Ryan Grammer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Senior Managing Director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 Page to Second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773430</wp:posOffset>
            </wp:positionV>
            <wp:extent cx="629221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62" w:name="page263"/>
    <w:bookmarkEnd w:id="262"/>
    <w:p>
      <w:pPr>
        <w:jc w:val="right"/>
        <w:spacing w:after="0"/>
        <w:rPr>
          <w:sz w:val="20"/>
          <w:szCs w:val="20"/>
          <w:color w:val="auto"/>
        </w:rPr>
      </w:pPr>
      <w:r>
        <w:rPr>
          <w:rFonts w:ascii="Arial" w:cs="Arial" w:eastAsia="Arial" w:hAnsi="Arial"/>
          <w:sz w:val="22"/>
          <w:szCs w:val="22"/>
          <w:b w:val="1"/>
          <w:bCs w:val="1"/>
          <w:color w:val="auto"/>
        </w:rPr>
        <w:t>Exhibit 23.2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INDEPENDENT REGISTERED PUBLIC ACCOUNTING FIRM’S CONSENT</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consent to the inclusion in this Registration Statement of Humacyte, Inc. on Form S-1 of our report dated February 16, 2021, except for the effects of the restatement discussed in Note 2 as to which the date is May 14, 2021, with respect to our audits of the financial statements of Alpha Healthcare Acquisition Corp. as of December 31, 2020 and for the period from July 1, 2020 (inception) through December 31, 2020, which report appears in the Prospectus, which is part of this Registration Statement. We also consent to the reference to our Firm under the heading “Experts” in such Prospectus. We were dismissed as auditors on August 25, 2021 and, accordingly, we have not performed any audit or review procedures with respect to any financial statements appearing in such Prospectus for the periods after the date of our dismissal.</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/s/ Marcum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Marcum LLP</w:t>
      </w:r>
    </w:p>
    <w:p>
      <w:pPr>
        <w:spacing w:after="0" w:line="238" w:lineRule="auto"/>
        <w:rPr>
          <w:sz w:val="20"/>
          <w:szCs w:val="20"/>
          <w:color w:val="auto"/>
        </w:rPr>
      </w:pPr>
      <w:r>
        <w:rPr>
          <w:rFonts w:ascii="Arial" w:cs="Arial" w:eastAsia="Arial" w:hAnsi="Arial"/>
          <w:sz w:val="22"/>
          <w:szCs w:val="22"/>
          <w:color w:val="auto"/>
        </w:rPr>
        <w:t>Melville, NY</w:t>
      </w:r>
    </w:p>
    <w:p>
      <w:pPr>
        <w:spacing w:after="0"/>
        <w:rPr>
          <w:sz w:val="20"/>
          <w:szCs w:val="20"/>
          <w:color w:val="auto"/>
        </w:rPr>
      </w:pPr>
      <w:r>
        <w:rPr>
          <w:rFonts w:ascii="Arial" w:cs="Arial" w:eastAsia="Arial" w:hAnsi="Arial"/>
          <w:sz w:val="22"/>
          <w:szCs w:val="22"/>
          <w:color w:val="auto"/>
        </w:rPr>
        <w:t>September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hereby consent to the use in this Registration Statement on Form S-1 of Humacyte, Inc. of our report dated March 22, 2021 relating to the financial statements of Humacyte, Inc.,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1)"/>
      <w:numFmt w:val="lowerRoman"/>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1)"/>
      <w:numFmt w:val="decimal"/>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1)"/>
      <w:numFmt w:val="decimal"/>
      <w:start w:val="1"/>
    </w:lvl>
  </w:abstractNum>
  <w:abstractNum w:abstractNumId="37">
    <w:nsid w:val="57FC4FBB"/>
    <w:multiLevelType w:val="hybridMultilevel"/>
    <w:lvl w:ilvl="0">
      <w:lvlJc w:val="left"/>
      <w:lvlText w:val="(%1)"/>
      <w:numFmt w:val="decimal"/>
      <w:start w:val="6"/>
    </w:lvl>
  </w:abstractNum>
  <w:abstractNum w:abstractNumId="38">
    <w:nsid w:val="CC1016F"/>
    <w:multiLevelType w:val="hybridMultilevel"/>
    <w:lvl w:ilvl="0">
      <w:lvlJc w:val="left"/>
      <w:lvlText w:val="%1"/>
      <w:numFmt w:val="decimal"/>
      <w:start w:val="1"/>
    </w:lvl>
    <w:lvl w:ilvl="1">
      <w:lvlJc w:val="left"/>
      <w:lvlText w:val="(%2)"/>
      <w:numFmt w:val="decimal"/>
      <w:start w:val="1"/>
    </w:lvl>
  </w:abstractNum>
  <w:abstractNum w:abstractNumId="39">
    <w:nsid w:val="43F18422"/>
    <w:multiLevelType w:val="hybridMultilevel"/>
    <w:lvl w:ilvl="0">
      <w:lvlJc w:val="left"/>
      <w:lvlText w:val="%1."/>
      <w:numFmt w:val="decimal"/>
      <w:start w:val="3"/>
    </w:lvl>
    <w:lvl w:ilvl="1">
      <w:lvlJc w:val="left"/>
      <w:lvlText w:val="%2"/>
      <w:numFmt w:val="decimal"/>
      <w:start w:val="1"/>
    </w:lvl>
  </w:abstractNum>
  <w:abstractNum w:abstractNumId="40">
    <w:nsid w:val="60EF0119"/>
    <w:multiLevelType w:val="hybridMultilevel"/>
    <w:lvl w:ilvl="0">
      <w:lvlJc w:val="left"/>
      <w:lvlText w:val="(%1)"/>
      <w:numFmt w:val="decimal"/>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1)"/>
      <w:numFmt w:val="decimal"/>
      <w:start w:val="1"/>
    </w:lvl>
  </w:abstractNum>
  <w:abstractNum w:abstractNumId="48">
    <w:nsid w:val="5FB8011C"/>
    <w:multiLevelType w:val="hybridMultilevel"/>
    <w:lvl w:ilvl="0">
      <w:lvlJc w:val="left"/>
      <w:lvlText w:val="(%1)"/>
      <w:numFmt w:val="lowerRoman"/>
      <w:start w:val="1"/>
    </w:lvl>
  </w:abstractNum>
  <w:abstractNum w:abstractNumId="49">
    <w:nsid w:val="6AA78F7F"/>
    <w:multiLevelType w:val="hybridMultilevel"/>
    <w:lvl w:ilvl="0">
      <w:lvlJc w:val="left"/>
      <w:lvlText w:val="(%1)"/>
      <w:numFmt w:val="lowerRoman"/>
      <w:start w:val="4"/>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1)"/>
      <w:numFmt w:val="lowerRoman"/>
      <w:start w:val="1"/>
    </w:lvl>
  </w:abstractNum>
  <w:abstractNum w:abstractNumId="60">
    <w:nsid w:val="6A3DD3E8"/>
    <w:multiLevelType w:val="hybridMultilevel"/>
    <w:lvl w:ilvl="0">
      <w:lvlJc w:val="left"/>
      <w:lvlText w:val="(%1)"/>
      <w:numFmt w:val="lowerRoman"/>
      <w:start w:val="2"/>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
      <w:numFmt w:val="bullet"/>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1)"/>
      <w:numFmt w:val="decimal"/>
      <w:start w:val="4"/>
    </w:lvl>
  </w:abstractNum>
  <w:abstractNum w:abstractNumId="68">
    <w:nsid w:val="288F1A34"/>
    <w:multiLevelType w:val="hybridMultilevel"/>
    <w:lvl w:ilvl="0">
      <w:lvlJc w:val="left"/>
      <w:lvlText w:val="(%1)"/>
      <w:numFmt w:val="decimal"/>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1)"/>
      <w:numFmt w:val="decimal"/>
      <w:start w:val="1"/>
    </w:lvl>
  </w:abstractNum>
  <w:abstractNum w:abstractNumId="74">
    <w:nsid w:val="53584BCB"/>
    <w:multiLevelType w:val="hybridMultilevel"/>
    <w:lvl w:ilvl="0">
      <w:lvlJc w:val="left"/>
      <w:lvlText w:val="(%1)"/>
      <w:numFmt w:val="decimal"/>
      <w:start w:val="7"/>
    </w:lvl>
  </w:abstractNum>
  <w:abstractNum w:abstractNumId="75">
    <w:nsid w:val="415E286C"/>
    <w:multiLevelType w:val="hybridMultilevel"/>
    <w:lvl w:ilvl="0">
      <w:lvlJc w:val="left"/>
      <w:lvlText w:val="(%1)"/>
      <w:numFmt w:val="decimal"/>
      <w:start w:val="1"/>
    </w:lvl>
  </w:abstractNum>
  <w:abstractNum w:abstractNumId="76">
    <w:nsid w:val="7C58FD05"/>
    <w:multiLevelType w:val="hybridMultilevel"/>
    <w:lvl w:ilvl="0">
      <w:lvlJc w:val="left"/>
      <w:lvlText w:val="(%1)"/>
      <w:numFmt w:val="lowerRoman"/>
      <w:start w:val="3"/>
    </w:lvl>
  </w:abstractNum>
  <w:abstractNum w:abstractNumId="77">
    <w:nsid w:val="23D86AAC"/>
    <w:multiLevelType w:val="hybridMultilevel"/>
    <w:lvl w:ilvl="0">
      <w:lvlJc w:val="left"/>
      <w:lvlText w:val="(%1)"/>
      <w:numFmt w:val="lowerRoman"/>
      <w:start w:val="1"/>
    </w:lvl>
  </w:abstractNum>
  <w:abstractNum w:abstractNumId="78">
    <w:nsid w:val="45E6D486"/>
    <w:multiLevelType w:val="hybridMultilevel"/>
    <w:lvl w:ilvl="0">
      <w:lvlJc w:val="left"/>
      <w:lvlText w:val="(%1)"/>
      <w:numFmt w:val="decimal"/>
      <w:start w:val="1"/>
    </w:lvl>
  </w:abstractNum>
  <w:abstractNum w:abstractNumId="79">
    <w:nsid w:val="5C10FE21"/>
    <w:multiLevelType w:val="hybridMultilevel"/>
    <w:lvl w:ilvl="0">
      <w:lvlJc w:val="left"/>
      <w:lvlText w:val="●"/>
      <w:numFmt w:val="bullet"/>
      <w:start w:val="1"/>
    </w:lvl>
  </w:abstractNum>
  <w:abstractNum w:abstractNumId="80">
    <w:nsid w:val="E7FFA2B"/>
    <w:multiLevelType w:val="hybridMultilevel"/>
    <w:lvl w:ilvl="0">
      <w:lvlJc w:val="left"/>
      <w:lvlText w:val="(%1)"/>
      <w:numFmt w:val="decimal"/>
      <w:start w:val="1"/>
    </w:lvl>
  </w:abstractNum>
  <w:abstractNum w:abstractNumId="81">
    <w:nsid w:val="3C5991AA"/>
    <w:multiLevelType w:val="hybridMultilevel"/>
    <w:lvl w:ilvl="0">
      <w:lvlJc w:val="left"/>
      <w:lvlText w:val="(%1)"/>
      <w:numFmt w:val="decimal"/>
      <w:start w:val="3"/>
    </w:lvl>
  </w:abstractNum>
  <w:abstractNum w:abstractNumId="82">
    <w:nsid w:val="4BD8591A"/>
    <w:multiLevelType w:val="hybridMultilevel"/>
    <w:lvl w:ilvl="0">
      <w:lvlJc w:val="left"/>
      <w:lvlText w:val="(%1)"/>
      <w:numFmt w:val="lowerRoman"/>
      <w:start w:val="2"/>
    </w:lvl>
  </w:abstractNum>
  <w:abstractNum w:abstractNumId="83">
    <w:nsid w:val="78DF6A55"/>
    <w:multiLevelType w:val="hybridMultilevel"/>
    <w:lvl w:ilvl="0">
      <w:lvlJc w:val="left"/>
      <w:lvlText w:val="(%1)"/>
      <w:numFmt w:val="decimal"/>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
      <w:numFmt w:val="bullet"/>
      <w:start w:val="1"/>
    </w:lvl>
  </w:abstractNum>
  <w:abstractNum w:abstractNumId="87">
    <w:nsid w:val="379E21B5"/>
    <w:multiLevelType w:val="hybridMultilevel"/>
    <w:lvl w:ilvl="0">
      <w:lvlJc w:val="left"/>
      <w:lvlText w:val="(%1)"/>
      <w:numFmt w:val="decimal"/>
      <w:start w:val="1"/>
    </w:lvl>
  </w:abstractNum>
  <w:abstractNum w:abstractNumId="88">
    <w:nsid w:val="69E373"/>
    <w:multiLevelType w:val="hybridMultilevel"/>
    <w:lvl w:ilvl="0">
      <w:lvlJc w:val="left"/>
      <w:lvlText w:val="(%1)"/>
      <w:numFmt w:val="decimal"/>
      <w:start w:val="16"/>
    </w:lvl>
  </w:abstractNum>
  <w:abstractNum w:abstractNumId="89">
    <w:nsid w:val="2C27173B"/>
    <w:multiLevelType w:val="hybridMultilevel"/>
    <w:lvl w:ilvl="0">
      <w:lvlJc w:val="left"/>
      <w:lvlText w:val="(%1)"/>
      <w:numFmt w:val="decimal"/>
      <w:start w:val="26"/>
    </w:lvl>
  </w:abstractNum>
  <w:abstractNum w:abstractNumId="90">
    <w:nsid w:val="4C9B0904"/>
    <w:multiLevelType w:val="hybridMultilevel"/>
    <w:lvl w:ilvl="0">
      <w:lvlJc w:val="left"/>
      <w:lvlText w:val="(%1)"/>
      <w:numFmt w:val="decimal"/>
      <w:start w:val="42"/>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
      <w:numFmt w:val="bullet"/>
      <w:start w:val="1"/>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
      <w:numFmt w:val="bullet"/>
      <w:start w:val="1"/>
    </w:lvl>
  </w:abstractNum>
  <w:abstractNum w:abstractNumId="95">
    <w:nsid w:val="3DB012B3"/>
    <w:multiLevelType w:val="hybridMultilevel"/>
    <w:lvl w:ilvl="0">
      <w:lvlJc w:val="left"/>
      <w:lvlText w:val="●"/>
      <w:numFmt w:val="bullet"/>
      <w:start w:val="1"/>
    </w:lvl>
  </w:abstractNum>
  <w:abstractNum w:abstractNumId="96">
    <w:nsid w:val="2708C9AF"/>
    <w:multiLevelType w:val="hybridMultilevel"/>
    <w:lvl w:ilvl="0">
      <w:lvlJc w:val="left"/>
      <w:lvlText w:val="●"/>
      <w:numFmt w:val="bullet"/>
      <w:start w:val="1"/>
    </w:lvl>
  </w:abstractNum>
  <w:abstractNum w:abstractNumId="97">
    <w:nsid w:val="5B25ACE2"/>
    <w:multiLevelType w:val="hybridMultilevel"/>
    <w:lvl w:ilvl="0">
      <w:lvlJc w:val="left"/>
      <w:lvlText w:val="●"/>
      <w:numFmt w:val="bullet"/>
      <w:start w:val="1"/>
    </w:lvl>
  </w:abstractNum>
  <w:abstractNum w:abstractNumId="98">
    <w:nsid w:val="175DFCF0"/>
    <w:multiLevelType w:val="hybridMultilevel"/>
    <w:lvl w:ilvl="0">
      <w:lvlJc w:val="left"/>
      <w:lvlText w:val="●"/>
      <w:numFmt w:val="bullet"/>
      <w:start w:val="1"/>
    </w:lvl>
  </w:abstractNum>
  <w:abstractNum w:abstractNumId="99">
    <w:nsid w:val="4F97E3E4"/>
    <w:multiLevelType w:val="hybridMultilevel"/>
    <w:lvl w:ilvl="0">
      <w:lvlJc w:val="left"/>
      <w:lvlText w:val="●"/>
      <w:numFmt w:val="bullet"/>
      <w:start w:val="1"/>
    </w:lvl>
  </w:abstractNum>
  <w:abstractNum w:abstractNumId="100">
    <w:nsid w:val="53B0A9E"/>
    <w:multiLevelType w:val="hybridMultilevel"/>
    <w:lvl w:ilvl="0">
      <w:lvlJc w:val="left"/>
      <w:lvlText w:val="%1."/>
      <w:numFmt w:val="decimal"/>
      <w:start w:val="1"/>
    </w:lvl>
  </w:abstractNum>
  <w:abstractNum w:abstractNumId="101">
    <w:nsid w:val="34FD6B4F"/>
    <w:multiLevelType w:val="hybridMultilevel"/>
    <w:lvl w:ilvl="0">
      <w:lvlJc w:val="left"/>
      <w:lvlText w:val="%1."/>
      <w:numFmt w:val="decimal"/>
      <w:start w:val="2"/>
    </w:lvl>
  </w:abstractNum>
  <w:abstractNum w:abstractNumId="102">
    <w:nsid w:val="5915FF32"/>
    <w:multiLevelType w:val="hybridMultilevel"/>
    <w:lvl w:ilvl="0">
      <w:lvlJc w:val="left"/>
      <w:lvlText w:val="(%1)"/>
      <w:numFmt w:val="lowerRoman"/>
      <w:start w:val="1"/>
    </w:lvl>
  </w:abstractNum>
  <w:abstractNum w:abstractNumId="103">
    <w:nsid w:val="56438D15"/>
    <w:multiLevelType w:val="hybridMultilevel"/>
    <w:lvl w:ilvl="0">
      <w:lvlJc w:val="left"/>
      <w:lvlText w:val="(%1)"/>
      <w:numFmt w:val="lowerRoman"/>
      <w:start w:val="4"/>
    </w:lvl>
  </w:abstractNum>
  <w:abstractNum w:abstractNumId="104">
    <w:nsid w:val="519E3149"/>
    <w:multiLevelType w:val="hybridMultilevel"/>
    <w:lvl w:ilvl="0">
      <w:lvlJc w:val="left"/>
      <w:lvlText w:val="●"/>
      <w:numFmt w:val="bullet"/>
      <w:start w:val="1"/>
    </w:lvl>
  </w:abstractNum>
  <w:abstractNum w:abstractNumId="105">
    <w:nsid w:val="2C6E4AFD"/>
    <w:multiLevelType w:val="hybridMultilevel"/>
    <w:lvl w:ilvl="0">
      <w:lvlJc w:val="left"/>
      <w:lvlText w:val="●"/>
      <w:numFmt w:val="bullet"/>
      <w:start w:val="1"/>
    </w:lvl>
  </w:abstractNum>
  <w:abstractNum w:abstractNumId="106">
    <w:nsid w:val="17A1B582"/>
    <w:multiLevelType w:val="hybridMultilevel"/>
    <w:lvl w:ilvl="0">
      <w:lvlJc w:val="left"/>
      <w:lvlText w:val="%1."/>
      <w:numFmt w:val="decimal"/>
      <w:start w:val="8"/>
    </w:lvl>
  </w:abstractNum>
  <w:abstractNum w:abstractNumId="107">
    <w:nsid w:val="4DF72E4E"/>
    <w:multiLevelType w:val="hybridMultilevel"/>
    <w:lvl w:ilvl="0">
      <w:lvlJc w:val="left"/>
      <w:lvlText w:val="●"/>
      <w:numFmt w:val="bullet"/>
      <w:start w:val="1"/>
    </w:lvl>
  </w:abstractNum>
  <w:abstractNum w:abstractNumId="108">
    <w:nsid w:val="5046B5A9"/>
    <w:multiLevelType w:val="hybridMultilevel"/>
    <w:lvl w:ilvl="0">
      <w:lvlJc w:val="left"/>
      <w:lvlText w:val="%1."/>
      <w:numFmt w:val="decimal"/>
      <w:start w:val="12"/>
    </w:lvl>
  </w:abstractNum>
  <w:abstractNum w:abstractNumId="109">
    <w:nsid w:val="5D888A08"/>
    <w:multiLevelType w:val="hybridMultilevel"/>
    <w:lvl w:ilvl="0">
      <w:lvlJc w:val="left"/>
      <w:lvlText w:val="●"/>
      <w:numFmt w:val="bullet"/>
      <w:start w:val="1"/>
    </w:lvl>
  </w:abstractNum>
  <w:abstractNum w:abstractNumId="110">
    <w:nsid w:val="2A082C70"/>
    <w:multiLevelType w:val="hybridMultilevel"/>
    <w:lvl w:ilvl="0">
      <w:lvlJc w:val="left"/>
      <w:lvlText w:val="●"/>
      <w:numFmt w:val="bullet"/>
      <w:start w:val="1"/>
    </w:lvl>
  </w:abstractNum>
  <w:abstractNum w:abstractNumId="111">
    <w:nsid w:val="5EC6AFD4"/>
    <w:multiLevelType w:val="hybridMultilevel"/>
    <w:lvl w:ilvl="0">
      <w:lvlJc w:val="left"/>
      <w:lvlText w:val="$"/>
      <w:numFmt w:val="bullet"/>
      <w:start w:val="1"/>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
      <w:numFmt w:val="bullet"/>
      <w:start w:val="1"/>
    </w:lvl>
  </w:abstractNum>
  <w:abstractNum w:abstractNumId="115">
    <w:nsid w:val="5399C654"/>
    <w:multiLevelType w:val="hybridMultilevel"/>
    <w:lvl w:ilvl="0">
      <w:lvlJc w:val="left"/>
      <w:lvlText w:val="$"/>
      <w:numFmt w:val="bullet"/>
      <w:start w:val="1"/>
    </w:lvl>
  </w:abstractNum>
  <w:abstractNum w:abstractNumId="116">
    <w:nsid w:val="20EE1348"/>
    <w:multiLevelType w:val="hybridMultilevel"/>
    <w:lvl w:ilvl="0">
      <w:lvlJc w:val="left"/>
      <w:lvlText w:val="(%1)"/>
      <w:numFmt w:val="upperLetter"/>
      <w:start w:val="2"/>
    </w:lvl>
  </w:abstractNum>
  <w:abstractNum w:abstractNumId="117">
    <w:nsid w:val="4427069A"/>
    <w:multiLevelType w:val="hybridMultilevel"/>
    <w:lvl w:ilvl="0">
      <w:lvlJc w:val="left"/>
      <w:lvlText w:val="(%1)"/>
      <w:numFmt w:val="upperLetter"/>
      <w:start w:val="1"/>
    </w:lvl>
  </w:abstractNum>
  <w:abstractNum w:abstractNumId="118">
    <w:nsid w:val="B37E80A"/>
    <w:multiLevelType w:val="hybridMultilevel"/>
    <w:lvl w:ilvl="0">
      <w:lvlJc w:val="left"/>
      <w:lvlText w:val="(%1)"/>
      <w:numFmt w:val="lowerLetter"/>
      <w:start w:val="25"/>
    </w:lvl>
  </w:abstractNum>
  <w:abstractNum w:abstractNumId="119">
    <w:nsid w:val="2157F6BC"/>
    <w:multiLevelType w:val="hybridMultilevel"/>
    <w:lvl w:ilvl="0">
      <w:lvlJc w:val="left"/>
      <w:lvlText w:val="●"/>
      <w:numFmt w:val="bullet"/>
      <w:start w:val="1"/>
    </w:lvl>
  </w:abstractNum>
  <w:abstractNum w:abstractNumId="120">
    <w:nsid w:val="704E1DD5"/>
    <w:multiLevelType w:val="hybridMultilevel"/>
    <w:lvl w:ilvl="0">
      <w:lvlJc w:val="left"/>
      <w:lvlText w:val="$"/>
      <w:numFmt w:val="bullet"/>
      <w:start w:val="1"/>
    </w:lvl>
  </w:abstractNum>
  <w:abstractNum w:abstractNumId="121">
    <w:nsid w:val="57D2F10E"/>
    <w:multiLevelType w:val="hybridMultilevel"/>
    <w:lvl w:ilvl="0">
      <w:lvlJc w:val="left"/>
      <w:lvlText w:val="$"/>
      <w:numFmt w:val="bullet"/>
      <w:start w:val="1"/>
    </w:lvl>
  </w:abstractNum>
  <w:abstractNum w:abstractNumId="122">
    <w:nsid w:val="BFFAE18"/>
    <w:multiLevelType w:val="hybridMultilevel"/>
    <w:lvl w:ilvl="0">
      <w:lvlJc w:val="left"/>
      <w:lvlText w:val="(%1)"/>
      <w:numFmt w:val="lowerRoman"/>
      <w:start w:val="1"/>
    </w:lvl>
  </w:abstractNum>
  <w:abstractNum w:abstractNumId="123">
    <w:nsid w:val="E3E47A8"/>
    <w:multiLevelType w:val="hybridMultilevel"/>
    <w:lvl w:ilvl="0">
      <w:lvlJc w:val="left"/>
      <w:lvlText w:val="(%1)"/>
      <w:numFmt w:val="lowerLetter"/>
      <w:start w:val="3"/>
    </w:lvl>
  </w:abstractNum>
  <w:abstractNum w:abstractNumId="124">
    <w:nsid w:val="2E48F044"/>
    <w:multiLevelType w:val="hybridMultilevel"/>
    <w:lvl w:ilvl="0">
      <w:lvlJc w:val="left"/>
      <w:lvlText w:val="(%1)"/>
      <w:numFmt w:val="upperLetter"/>
      <w:start w:val="2"/>
    </w:lvl>
  </w:abstractNum>
  <w:abstractNum w:abstractNumId="125">
    <w:nsid w:val="49D0FEAC"/>
    <w:multiLevelType w:val="hybridMultilevel"/>
    <w:lvl w:ilvl="0">
      <w:lvlJc w:val="left"/>
      <w:lvlText w:val="(%1)"/>
      <w:numFmt w:val="lowerLetter"/>
      <w:start w:val="25"/>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1)"/>
      <w:numFmt w:val="lowerLetter"/>
      <w:start w:val="1"/>
    </w:lvl>
  </w:abstractNum>
  <w:abstractNum w:abstractNumId="128">
    <w:nsid w:val="24F6AB8E"/>
    <w:multiLevelType w:val="hybridMultilevel"/>
    <w:lvl w:ilvl="0">
      <w:lvlJc w:val="left"/>
      <w:lvlText w:val="(%1)"/>
      <w:numFmt w:val="lowerLetter"/>
      <w:start w:val="5"/>
    </w:lvl>
  </w:abstractNum>
  <w:abstractNum w:abstractNumId="129">
    <w:nsid w:val="634C574C"/>
    <w:multiLevelType w:val="hybridMultilevel"/>
    <w:lvl w:ilvl="0">
      <w:lvlJc w:val="left"/>
      <w:lvlText w:val="%1)"/>
      <w:numFmt w:val="decimal"/>
      <w:start w:val="1"/>
    </w:lvl>
  </w:abstractNum>
  <w:abstractNum w:abstractNumId="130">
    <w:nsid w:val="24E99DD7"/>
    <w:multiLevelType w:val="hybridMultilevel"/>
    <w:lvl w:ilvl="0">
      <w:lvlJc w:val="left"/>
      <w:lvlText w:val="!"/>
      <w:numFmt w:val="bullet"/>
      <w:start w:val="1"/>
    </w:lvl>
    <w:lvl w:ilvl="1">
      <w:lvlJc w:val="left"/>
      <w:lvlText w:val="%2"/>
      <w:numFmt w:val="decimal"/>
      <w:start w:val="101"/>
    </w:lvl>
  </w:abstractNum>
  <w:abstractNum w:abstractNumId="131">
    <w:nsid w:val="2A31B62D"/>
    <w:multiLevelType w:val="hybridMultilevel"/>
    <w:lvl w:ilvl="0">
      <w:lvlJc w:val="left"/>
      <w:lvlText w:val="*"/>
      <w:numFmt w:val="bullet"/>
      <w:start w:val="1"/>
    </w:lvl>
  </w:abstractNum>
  <w:abstractNum w:abstractNumId="132">
    <w:nsid w:val="1849C29B"/>
    <w:multiLevelType w:val="hybridMultilevel"/>
    <w:lvl w:ilvl="0">
      <w:lvlJc w:val="left"/>
      <w:lvlText w:val="**"/>
      <w:numFmt w:val="bullet"/>
      <w:start w:val="1"/>
    </w:lvl>
  </w:abstractNum>
  <w:abstractNum w:abstractNumId="133">
    <w:nsid w:val="7DFF9D09"/>
    <w:multiLevelType w:val="hybridMultilevel"/>
    <w:lvl w:ilvl="0">
      <w:lvlJc w:val="left"/>
      <w:lvlText w:val="˄"/>
      <w:numFmt w:val="bullet"/>
      <w:start w:val="1"/>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1)"/>
      <w:numFmt w:val="decimal"/>
      <w:start w:val="1"/>
    </w:lvl>
    <w:lvl w:ilvl="1">
      <w:lvlJc w:val="left"/>
      <w:lvlText w:val="(%2)"/>
      <w:numFmt w:val="lowerRoman"/>
      <w:start w:val="1"/>
    </w:lvl>
  </w:abstractNum>
  <w:abstractNum w:abstractNumId="136">
    <w:nsid w:val="2A6DE806"/>
    <w:multiLevelType w:val="hybridMultilevel"/>
    <w:lvl w:ilvl="0">
      <w:lvlJc w:val="left"/>
      <w:lvlText w:val="(%1)"/>
      <w:numFmt w:val="decimal"/>
      <w:start w:val="2"/>
    </w:lvl>
    <w:lvl w:ilvl="1">
      <w:lvlJc w:val="left"/>
      <w:lvlText w:val="(%2)"/>
      <w:numFmt w:val="lowerRoman"/>
      <w:start w:val="1"/>
    </w:lvl>
  </w:abstractNum>
  <w:abstractNum w:abstractNumId="137">
    <w:nsid w:val="1816F8C4"/>
    <w:multiLevelType w:val="hybridMultilevel"/>
    <w:lvl w:ilvl="0">
      <w:lvlJc w:val="left"/>
      <w:lvlText w:val="%1"/>
      <w:numFmt w:val="decimal"/>
      <w:start w:val="1"/>
    </w:lvl>
    <w:lvl w:ilvl="1">
      <w:lvlJc w:val="left"/>
      <w:lvlText w:val="(%2)"/>
      <w:numFmt w:val="lowerRoman"/>
      <w:start w:val="4"/>
    </w:lvl>
  </w:abstractNum>
  <w:abstractNum w:abstractNumId="138">
    <w:nsid w:val="37DF2233"/>
    <w:multiLevelType w:val="hybridMultilevel"/>
    <w:lvl w:ilvl="0">
      <w:lvlJc w:val="left"/>
      <w:lvlText w:val="(%1)"/>
      <w:numFmt w:val="decimal"/>
      <w:start w:val="6"/>
    </w:lvl>
    <w:lvl w:ilvl="1">
      <w:lvlJc w:val="left"/>
      <w:lvlText w:val="%2"/>
      <w:numFmt w:val="lowerRoman"/>
      <w:start w:val="1"/>
    </w:lvl>
  </w:abstractNum>
  <w:abstractNum w:abstractNumId="139">
    <w:nsid w:val="7AB49DAF"/>
    <w:multiLevelType w:val="hybridMultilevel"/>
    <w:lvl w:ilvl="0">
      <w:lvlJc w:val="left"/>
      <w:lvlText w:val="(%1)"/>
      <w:numFmt w:val="lowerRoman"/>
      <w:start w:val="1"/>
    </w:lvl>
  </w:abstractNum>
  <w:abstractNum w:abstractNumId="140">
    <w:nsid w:val="759F82CD"/>
    <w:multiLevelType w:val="hybridMultilevel"/>
    <w:lvl w:ilvl="0">
      <w:lvlJc w:val="left"/>
      <w:lvlText w:val="(%1)"/>
      <w:numFmt w:val="decimal"/>
      <w:start w:val="1"/>
    </w:lvl>
  </w:abstractNum>
  <w:abstractNum w:abstractNumId="141">
    <w:nsid w:val="61E74EA3"/>
    <w:multiLevelType w:val="hybridMultilevel"/>
    <w:lvl w:ilvl="0">
      <w:lvlJc w:val="left"/>
      <w:lvlText w:val="%1."/>
      <w:numFmt w:val="upperLetter"/>
      <w:start w:val="1"/>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3"/>
    </w:lvl>
  </w:abstractNum>
  <w:abstractNum w:abstractNumId="144">
    <w:nsid w:val="57C7D42D"/>
    <w:multiLevelType w:val="hybridMultilevel"/>
    <w:lvl w:ilvl="0">
      <w:lvlJc w:val="left"/>
      <w:lvlText w:val="%1."/>
      <w:numFmt w:val="decimal"/>
      <w:start w:val="4"/>
    </w:lvl>
  </w:abstractNum>
  <w:abstractNum w:abstractNumId="145">
    <w:nsid w:val="312167AD"/>
    <w:multiLevelType w:val="hybridMultilevel"/>
    <w:lvl w:ilvl="0">
      <w:lvlJc w:val="left"/>
      <w:lvlText w:val="%1."/>
      <w:numFmt w:val="decimal"/>
      <w:start w:val="5"/>
    </w:lvl>
  </w:abstractNum>
  <w:abstractNum w:abstractNumId="146">
    <w:nsid w:val="631B64D4"/>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43" Type="http://schemas.openxmlformats.org/officeDocument/2006/relationships/image" Target="media/image324.png"/><Relationship Id="rId357" Type="http://schemas.openxmlformats.org/officeDocument/2006/relationships/image" Target="media/image325.png"/><Relationship Id="rId373" Type="http://schemas.openxmlformats.org/officeDocument/2006/relationships/image" Target="media/image326.png"/><Relationship Id="rId388" Type="http://schemas.openxmlformats.org/officeDocument/2006/relationships/image" Target="media/image327.png"/><Relationship Id="rId391" Type="http://schemas.openxmlformats.org/officeDocument/2006/relationships/image" Target="media/image328.png"/><Relationship Id="rId392" Type="http://schemas.openxmlformats.org/officeDocument/2006/relationships/image" Target="media/image329.png"/><Relationship Id="rId393" Type="http://schemas.openxmlformats.org/officeDocument/2006/relationships/image" Target="media/image330.png"/><Relationship Id="rId394" Type="http://schemas.openxmlformats.org/officeDocument/2006/relationships/image" Target="media/image331.png"/><Relationship Id="rId395" Type="http://schemas.openxmlformats.org/officeDocument/2006/relationships/image" Target="media/image332.png"/><Relationship Id="rId396" Type="http://schemas.openxmlformats.org/officeDocument/2006/relationships/image" Target="media/image333.png"/><Relationship Id="rId397" Type="http://schemas.openxmlformats.org/officeDocument/2006/relationships/image" Target="media/image334.jpeg"/><Relationship Id="rId398" Type="http://schemas.openxmlformats.org/officeDocument/2006/relationships/image" Target="media/image335.jpeg"/><Relationship Id="rId399" Type="http://schemas.openxmlformats.org/officeDocument/2006/relationships/image" Target="media/image336.png"/><Relationship Id="rId400" Type="http://schemas.openxmlformats.org/officeDocument/2006/relationships/image" Target="media/image337.jpeg"/><Relationship Id="rId401" Type="http://schemas.openxmlformats.org/officeDocument/2006/relationships/image" Target="media/image338.png"/><Relationship Id="rId402" Type="http://schemas.openxmlformats.org/officeDocument/2006/relationships/image" Target="media/image339.png"/><Relationship Id="rId403" Type="http://schemas.openxmlformats.org/officeDocument/2006/relationships/image" Target="media/image340.png"/><Relationship Id="rId404" Type="http://schemas.openxmlformats.org/officeDocument/2006/relationships/image" Target="media/image341.png"/><Relationship Id="rId405" Type="http://schemas.openxmlformats.org/officeDocument/2006/relationships/image" Target="media/image342.png"/><Relationship Id="rId406" Type="http://schemas.openxmlformats.org/officeDocument/2006/relationships/image" Target="media/image343.png"/><Relationship Id="rId407" Type="http://schemas.openxmlformats.org/officeDocument/2006/relationships/image" Target="media/image344.png"/><Relationship Id="rId408" Type="http://schemas.openxmlformats.org/officeDocument/2006/relationships/image" Target="media/image345.png"/><Relationship Id="rId409" Type="http://schemas.openxmlformats.org/officeDocument/2006/relationships/image" Target="media/image346.png"/><Relationship Id="rId410" Type="http://schemas.openxmlformats.org/officeDocument/2006/relationships/image" Target="media/image347.png"/><Relationship Id="rId411" Type="http://schemas.openxmlformats.org/officeDocument/2006/relationships/image" Target="media/image348.png"/><Relationship Id="rId412" Type="http://schemas.openxmlformats.org/officeDocument/2006/relationships/image" Target="media/image349.png"/><Relationship Id="rId413" Type="http://schemas.openxmlformats.org/officeDocument/2006/relationships/image" Target="media/image350.png"/><Relationship Id="rId414" Type="http://schemas.openxmlformats.org/officeDocument/2006/relationships/image" Target="media/image351.png"/><Relationship Id="rId415" Type="http://schemas.openxmlformats.org/officeDocument/2006/relationships/image" Target="media/image352.png"/><Relationship Id="rId416" Type="http://schemas.openxmlformats.org/officeDocument/2006/relationships/image" Target="media/image353.png"/><Relationship Id="rId331" Type="http://schemas.openxmlformats.org/officeDocument/2006/relationships/hyperlink" Target="https://www.sec.gov/Archives/edgar/data/1818382/000121390021039798/fs42021a4_alphahealthcare.htm#T301" TargetMode="External"/><Relationship Id="rId332" Type="http://schemas.openxmlformats.org/officeDocument/2006/relationships/hyperlink" Target="https://www.sec.gov/Archives/edgar/data/1818382/000110465921110678/tm2126013d1_ex3-1.htm" TargetMode="External"/><Relationship Id="rId333" Type="http://schemas.openxmlformats.org/officeDocument/2006/relationships/hyperlink" Target="https://www.sec.gov/Archives/edgar/data/1818382/000110465921110678/tm2126013d1_ex3-2.htm" TargetMode="External"/><Relationship Id="rId334" Type="http://schemas.openxmlformats.org/officeDocument/2006/relationships/hyperlink" Target="https://www.sec.gov/Archives/edgar/data/1818382/000121390020027850/ea127151ex4-1_alphahealth.htm" TargetMode="External"/><Relationship Id="rId335" Type="http://schemas.openxmlformats.org/officeDocument/2006/relationships/hyperlink" Target="https://www.sec.gov/Archives/edgar/data/1818382/000121390021017053/fs42021ex10-3_alphahealth.htm" TargetMode="External"/><Relationship Id="rId336" Type="http://schemas.openxmlformats.org/officeDocument/2006/relationships/hyperlink" Target="https://www.sec.gov/Archives/edgar/data/1818382/000121390021032196/fs42021a1ex10-6i_alphahealt.htm" TargetMode="External"/><Relationship Id="rId337" Type="http://schemas.openxmlformats.org/officeDocument/2006/relationships/hyperlink" Target="https://www.sec.gov/Archives/edgar/data/1818382/000121390021032196/fs42021a1ex10-6ii_alphahealt.htm" TargetMode="External"/><Relationship Id="rId338" Type="http://schemas.openxmlformats.org/officeDocument/2006/relationships/hyperlink" Target="https://www.sec.gov/Archives/edgar/data/1818382/000121390021032196/fs42021a1ex10-1_alphahealt.htm" TargetMode="External"/><Relationship Id="rId339" Type="http://schemas.openxmlformats.org/officeDocument/2006/relationships/hyperlink" Target="https://www.sec.gov/Archives/edgar/data/1818382/000121390021032196/fs42021a1ex10-6_alphahealt.htm" TargetMode="External"/><Relationship Id="rId340" Type="http://schemas.openxmlformats.org/officeDocument/2006/relationships/hyperlink" Target="https://www.sec.gov/Archives/edgar/data/1818382/000121390021038422/fs42021a3ex10-6i_alphahealt.htm" TargetMode="External"/><Relationship Id="rId341" Type="http://schemas.openxmlformats.org/officeDocument/2006/relationships/hyperlink" Target="https://www.sec.gov/Archives/edgar/data/1818382/000121390021017053/fs42021ex10-6_alphahealth.htm" TargetMode="External"/><Relationship Id="rId342" Type="http://schemas.openxmlformats.org/officeDocument/2006/relationships/hyperlink" Target="https://www.sec.gov/Archives/edgar/data/1818382/000121390021017053/fs42021ex10-6i_alphahealth.htm" TargetMode="External"/><Relationship Id="rId344" Type="http://schemas.openxmlformats.org/officeDocument/2006/relationships/hyperlink" Target="https://www.sec.gov/Archives/edgar/data/1818382/000121390021017053/fs42021ex10-6ii_alphahealth.htm" TargetMode="External"/><Relationship Id="rId345" Type="http://schemas.openxmlformats.org/officeDocument/2006/relationships/hyperlink" Target="https://www.sec.gov/Archives/edgar/data/1818382/000121390021032196/fs42021a1ex10-8_alphahealt.htm" TargetMode="External"/><Relationship Id="rId346" Type="http://schemas.openxmlformats.org/officeDocument/2006/relationships/hyperlink" Target="https://www.sec.gov/Archives/edgar/data/1818382/000121390021032196/fs42021a1ex10-9_alphahealt.htm" TargetMode="External"/><Relationship Id="rId347" Type="http://schemas.openxmlformats.org/officeDocument/2006/relationships/hyperlink" Target="https://www.sec.gov/Archives/edgar/data/1818382/000121390021032196/fs42021a1ex10-10_alphahealt.htm" TargetMode="External"/><Relationship Id="rId348" Type="http://schemas.openxmlformats.org/officeDocument/2006/relationships/hyperlink" Target="https://www.sec.gov/Archives/edgar/data/1818382/000121390021017053/fs42021ex10-10_alphahealth.htm" TargetMode="External"/><Relationship Id="rId349" Type="http://schemas.openxmlformats.org/officeDocument/2006/relationships/hyperlink" Target="https://www.sec.gov/Archives/edgar/data/1818382/000121390021017053/fs42021ex10-10i_alphahealth.htm" TargetMode="External"/><Relationship Id="rId350" Type="http://schemas.openxmlformats.org/officeDocument/2006/relationships/hyperlink" Target="https://www.sec.gov/Archives/edgar/data/1818382/000121390021017053/fs42021ex10-10ii_alphahealth.htm" TargetMode="External"/><Relationship Id="rId351" Type="http://schemas.openxmlformats.org/officeDocument/2006/relationships/hyperlink" Target="https://www.sec.gov/Archives/edgar/data/1818382/000121390021017053/fs42021ex10-10iii_alphahealt.htm" TargetMode="External"/><Relationship Id="rId352" Type="http://schemas.openxmlformats.org/officeDocument/2006/relationships/hyperlink" Target="https://www.sec.gov/Archives/edgar/data/1818382/000121390021017053/fs42021ex10-10iv_alphahealth.htm" TargetMode="External"/><Relationship Id="rId353" Type="http://schemas.openxmlformats.org/officeDocument/2006/relationships/hyperlink" Target="https://www.sec.gov/Archives/edgar/data/1818382/000121390021017053/fs42021ex10-10v_alphahealth.htm" TargetMode="External"/><Relationship Id="rId354" Type="http://schemas.openxmlformats.org/officeDocument/2006/relationships/hyperlink" Target="https://www.sec.gov/Archives/edgar/data/1818382/000121390021017053/fs42021ex10-11_alphahealth.htm" TargetMode="External"/><Relationship Id="rId355" Type="http://schemas.openxmlformats.org/officeDocument/2006/relationships/hyperlink" Target="https://www.sec.gov/Archives/edgar/data/1818382/000121390021017053/fs42021ex10-11i_alphahealth.htm" TargetMode="External"/><Relationship Id="rId356" Type="http://schemas.openxmlformats.org/officeDocument/2006/relationships/hyperlink" Target="https://www.sec.gov/Archives/edgar/data/1818382/000121390021032196/fs42021a1ex10-12ii_alphahea.htm" TargetMode="External"/><Relationship Id="rId358" Type="http://schemas.openxmlformats.org/officeDocument/2006/relationships/hyperlink" Target="https://www.sec.gov/Archives/edgar/data/1818382/000121390021032196/fs42021a1ex10-13_alphahealt.htm" TargetMode="External"/><Relationship Id="rId359" Type="http://schemas.openxmlformats.org/officeDocument/2006/relationships/hyperlink" Target="https://www.sec.gov/Archives/edgar/data/1818382/000121390021017053/fs42021ex10-13_alphahealth.htm" TargetMode="External"/><Relationship Id="rId360" Type="http://schemas.openxmlformats.org/officeDocument/2006/relationships/hyperlink" Target="https://www.sec.gov/Archives/edgar/data/1818382/000121390021017053/fs42021ex10-14_alphahealth.htm" TargetMode="External"/><Relationship Id="rId361" Type="http://schemas.openxmlformats.org/officeDocument/2006/relationships/hyperlink" Target="https://www.sec.gov/Archives/edgar/data/1818382/000121390021017053/fs42021ex10-14i_alphahealth.htm" TargetMode="External"/><Relationship Id="rId362" Type="http://schemas.openxmlformats.org/officeDocument/2006/relationships/hyperlink" Target="https://www.sec.gov/Archives/edgar/data/1818382/000121390021017053/fs42021ex10-15_alphahealth.htm" TargetMode="External"/><Relationship Id="rId363" Type="http://schemas.openxmlformats.org/officeDocument/2006/relationships/hyperlink" Target="https://www.sec.gov/Archives/edgar/data/1818382/000121390021032196/fs42021a1ex10-25_alphahealt.htm" TargetMode="External"/><Relationship Id="rId364" Type="http://schemas.openxmlformats.org/officeDocument/2006/relationships/hyperlink" Target="https://www.sec.gov/Archives/edgar/data/1818382/000121390021032196/fs42021a1ex10-26_alphahealt.htm" TargetMode="External"/><Relationship Id="rId365" Type="http://schemas.openxmlformats.org/officeDocument/2006/relationships/hyperlink" Target="https://www.sec.gov/Archives/edgar/data/1818382/000121390021017053/fs42021ex10-16_alphahealth.htm" TargetMode="External"/><Relationship Id="rId366" Type="http://schemas.openxmlformats.org/officeDocument/2006/relationships/hyperlink" Target="https://www.sec.gov/Archives/edgar/data/1818382/000110465921110678/tm2126013d1_ex10-4.htm" TargetMode="External"/><Relationship Id="rId367" Type="http://schemas.openxmlformats.org/officeDocument/2006/relationships/hyperlink" Target="https://www.sec.gov/Archives/edgar/data/1818382/000110465921110678/tm2126013d1_ex10-4d1.htm" TargetMode="External"/><Relationship Id="rId368" Type="http://schemas.openxmlformats.org/officeDocument/2006/relationships/hyperlink" Target="https://www.sec.gov/Archives/edgar/data/1818382/000110465921110678/tm2126013d1_ex10-5.htm" TargetMode="External"/><Relationship Id="rId369" Type="http://schemas.openxmlformats.org/officeDocument/2006/relationships/hyperlink" Target="https://www.sec.gov/Archives/edgar/data/1818382/000110465921110678/tm2126013d1_ex10-8.htm" TargetMode="External"/><Relationship Id="rId370" Type="http://schemas.openxmlformats.org/officeDocument/2006/relationships/hyperlink" Target="https://www.sec.gov/Archives/edgar/data/1818382/000121390021017053/fs42021ex10-18_alphahealth.htm" TargetMode="External"/><Relationship Id="rId371" Type="http://schemas.openxmlformats.org/officeDocument/2006/relationships/hyperlink" Target="https://www.sec.gov/Archives/edgar/data/1818382/000121390021017053/fs42021ex10-18i_alphahealth.htm" TargetMode="External"/><Relationship Id="rId372" Type="http://schemas.openxmlformats.org/officeDocument/2006/relationships/hyperlink" Target="https://www.sec.gov/Archives/edgar/data/1818382/000121390021017053/fs42021ex10-18ii_alphahealth.htm" TargetMode="External"/><Relationship Id="rId374" Type="http://schemas.openxmlformats.org/officeDocument/2006/relationships/hyperlink" Target="https://www.sec.gov/Archives/edgar/data/1818382/000121390021017053/fs42021ex10-18iii_humacyte.htm" TargetMode="External"/><Relationship Id="rId375" Type="http://schemas.openxmlformats.org/officeDocument/2006/relationships/hyperlink" Target="https://www.sec.gov/Archives/edgar/data/1818382/000121390021017053/fs42021ex10-18iv_alphahealth.htm" TargetMode="External"/><Relationship Id="rId376" Type="http://schemas.openxmlformats.org/officeDocument/2006/relationships/hyperlink" Target="https://www.sec.gov/Archives/edgar/data/1818382/000121390021017053/fs42021ex10-18v_alphahealth.htm" TargetMode="External"/><Relationship Id="rId377" Type="http://schemas.openxmlformats.org/officeDocument/2006/relationships/hyperlink" Target="https://www.sec.gov/Archives/edgar/data/1818382/000121390021017053/fs42021ex10-19_alphahealth.htm" TargetMode="External"/><Relationship Id="rId378" Type="http://schemas.openxmlformats.org/officeDocument/2006/relationships/hyperlink" Target="https://www.sec.gov/Archives/edgar/data/1818382/000121390021017053/fs42021ex10-19i_alphahealth.htm" TargetMode="External"/><Relationship Id="rId379" Type="http://schemas.openxmlformats.org/officeDocument/2006/relationships/hyperlink" Target="https://www.sec.gov/Archives/edgar/data/1818382/000121390021017053/fs42021ex10-19ii_alphahealth.htm" TargetMode="External"/><Relationship Id="rId380" Type="http://schemas.openxmlformats.org/officeDocument/2006/relationships/hyperlink" Target="https://www.sec.gov/Archives/edgar/data/1818382/000121390021017053/fs42021ex10-19iii_alphahealt.htm" TargetMode="External"/><Relationship Id="rId381" Type="http://schemas.openxmlformats.org/officeDocument/2006/relationships/hyperlink" Target="https://www.sec.gov/Archives/edgar/data/1818382/000121390021017053/fs42021ex10-19iv_alphahealth.htm" TargetMode="External"/><Relationship Id="rId382" Type="http://schemas.openxmlformats.org/officeDocument/2006/relationships/hyperlink" Target="https://www.sec.gov/Archives/edgar/data/1818382/000121390021035153/fs42021a2ex10-23_alpha.htm" TargetMode="External"/><Relationship Id="rId383" Type="http://schemas.openxmlformats.org/officeDocument/2006/relationships/hyperlink" Target="https://www.sec.gov/Archives/edgar/data/1818382/000121390021017053/fs42021ex10-22_alphahealth.htm" TargetMode="External"/><Relationship Id="rId384" Type="http://schemas.openxmlformats.org/officeDocument/2006/relationships/hyperlink" Target="https://www.sec.gov/Archives/edgar/data/1818382/000121390021017053/fs42021ex10-22i_alphahealth.htm" TargetMode="External"/><Relationship Id="rId385" Type="http://schemas.openxmlformats.org/officeDocument/2006/relationships/hyperlink" Target="https://www.sec.gov/Archives/edgar/data/1818382/000121390021017053/fs42021ex10-22ii_alphahealth.htm" TargetMode="External"/><Relationship Id="rId386" Type="http://schemas.openxmlformats.org/officeDocument/2006/relationships/hyperlink" Target="https://www.sec.gov/Archives/edgar/data/1818382/000121390021017053/fs42021ex10-22iii_alphahealt.htm" TargetMode="External"/><Relationship Id="rId387" Type="http://schemas.openxmlformats.org/officeDocument/2006/relationships/hyperlink" Target="https://www.sec.gov/Archives/edgar/data/1818382/000121390021017053/fs42021ex10-22iv_alphahealth.htm" TargetMode="External"/><Relationship Id="rId389" Type="http://schemas.openxmlformats.org/officeDocument/2006/relationships/hyperlink" Target="https://www.sec.gov/Archives/edgar/data/1818382/000110465921110678/tm2126013d1_ex16-1.htm" TargetMode="External"/><Relationship Id="rId390" Type="http://schemas.openxmlformats.org/officeDocument/2006/relationships/hyperlink" Target="https://www.sec.gov/Archives/edgar/data/1818382/000110465921110678/tm2126013d1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2021-09-17T16:07:53Z</dcterms:created>
  <dcterms:modified xsi:type="dcterms:W3CDTF">2021-09-17T16:07:53Z</dcterms:modified>
</cp:coreProperties>
</file>