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2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001-39532</w:t>
      </w:r>
    </w:p>
    <w:p>
      <w:pPr>
        <w:spacing w:after="0" w:line="6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Humacyte,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156" w:lineRule="exact"/>
        <w:rPr>
          <w:sz w:val="24"/>
          <w:szCs w:val="24"/>
          <w:color w:val="auto"/>
        </w:rPr>
      </w:pPr>
    </w:p>
    <w:tbl>
      <w:tblPr>
        <w:tblLayout w:type="fixed"/>
        <w:tblInd w:w="1600" w:type="dxa"/>
        <w:tblCellMar>
          <w:top w:w="0" w:type="dxa"/>
          <w:left w:w="0" w:type="dxa"/>
          <w:bottom w:w="0" w:type="dxa"/>
          <w:right w:w="0" w:type="dxa"/>
        </w:tblCellMar>
      </w:tblPr>
      <w:tr>
        <w:trPr>
          <w:trHeight w:val="190"/>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85-1763759</w:t>
            </w:r>
          </w:p>
        </w:tc>
      </w:tr>
      <w:tr>
        <w:trPr>
          <w:trHeight w:val="217"/>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00" w:type="dxa"/>
            <w:vAlign w:val="bottom"/>
          </w:tcPr>
          <w:p>
            <w:pPr>
              <w:spacing w:after="0"/>
              <w:rPr>
                <w:sz w:val="16"/>
                <w:szCs w:val="16"/>
                <w:color w:val="auto"/>
              </w:rPr>
            </w:pPr>
          </w:p>
        </w:tc>
      </w:tr>
      <w:tr>
        <w:trPr>
          <w:trHeight w:val="662"/>
        </w:trPr>
        <w:tc>
          <w:tcPr>
            <w:tcW w:w="25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2525 East North Carolina Highway 54</w:t>
            </w:r>
          </w:p>
        </w:tc>
        <w:tc>
          <w:tcPr>
            <w:tcW w:w="5300" w:type="dxa"/>
            <w:vAlign w:val="bottom"/>
          </w:tcPr>
          <w:p>
            <w:pPr>
              <w:spacing w:after="0"/>
              <w:rPr>
                <w:sz w:val="24"/>
                <w:szCs w:val="24"/>
                <w:color w:val="auto"/>
              </w:rPr>
            </w:pPr>
          </w:p>
        </w:tc>
      </w:tr>
      <w:tr>
        <w:trPr>
          <w:trHeight w:val="216"/>
        </w:trPr>
        <w:tc>
          <w:tcPr>
            <w:tcW w:w="2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Durham, NC</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27713</w:t>
            </w:r>
          </w:p>
        </w:tc>
      </w:tr>
      <w:tr>
        <w:trPr>
          <w:trHeight w:val="203"/>
        </w:trPr>
        <w:tc>
          <w:tcPr>
            <w:tcW w:w="2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300" w:type="dxa"/>
            <w:vAlign w:val="bottom"/>
          </w:tcPr>
          <w:p>
            <w:pPr>
              <w:jc w:val="center"/>
              <w:ind w:left="3150"/>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2520" w:type="dxa"/>
            <w:vAlign w:val="bottom"/>
          </w:tcPr>
          <w:p>
            <w:pPr>
              <w:spacing w:after="0"/>
              <w:rPr>
                <w:sz w:val="24"/>
                <w:szCs w:val="24"/>
                <w:color w:val="auto"/>
              </w:rPr>
            </w:pPr>
          </w:p>
        </w:tc>
        <w:tc>
          <w:tcPr>
            <w:tcW w:w="5300" w:type="dxa"/>
            <w:vAlign w:val="bottom"/>
          </w:tcPr>
          <w:p>
            <w:pPr>
              <w:jc w:val="right"/>
              <w:ind w:right="3270"/>
              <w:spacing w:after="0"/>
              <w:rPr>
                <w:sz w:val="20"/>
                <w:szCs w:val="20"/>
                <w:color w:val="auto"/>
              </w:rPr>
            </w:pPr>
            <w:r>
              <w:rPr>
                <w:rFonts w:ascii="Times New Roman" w:cs="Times New Roman" w:eastAsia="Times New Roman" w:hAnsi="Times New Roman"/>
                <w:sz w:val="14"/>
                <w:szCs w:val="14"/>
                <w:b w:val="1"/>
                <w:bCs w:val="1"/>
                <w:color w:val="auto"/>
              </w:rPr>
              <w:t>(919) 313-9633</w:t>
            </w:r>
          </w:p>
        </w:tc>
      </w:tr>
      <w:tr>
        <w:trPr>
          <w:trHeight w:val="164"/>
        </w:trPr>
        <w:tc>
          <w:tcPr>
            <w:tcW w:w="2520" w:type="dxa"/>
            <w:vAlign w:val="bottom"/>
          </w:tcPr>
          <w:p>
            <w:pPr>
              <w:spacing w:after="0"/>
              <w:rPr>
                <w:sz w:val="14"/>
                <w:szCs w:val="14"/>
                <w:color w:val="auto"/>
              </w:rPr>
            </w:pPr>
          </w:p>
        </w:tc>
        <w:tc>
          <w:tcPr>
            <w:tcW w:w="5300" w:type="dxa"/>
            <w:vAlign w:val="bottom"/>
          </w:tcPr>
          <w:p>
            <w:pPr>
              <w:jc w:val="center"/>
              <w:ind w:right="221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HUMA</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8"/>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HUMAW</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90"/>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Common Stock at an exercise price of $11.50</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spacing w:after="0"/>
              <w:rPr>
                <w:sz w:val="16"/>
                <w:szCs w:val="16"/>
                <w:color w:val="auto"/>
              </w:rPr>
            </w:pPr>
          </w:p>
        </w:tc>
      </w:tr>
    </w:tbl>
    <w:p>
      <w:pPr>
        <w:spacing w:after="0" w:line="203"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o</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rPr>
              <w:t>o</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800"/>
              <w:spacing w:after="0"/>
              <w:rPr>
                <w:sz w:val="20"/>
                <w:szCs w:val="20"/>
                <w:color w:val="auto"/>
              </w:rPr>
            </w:pPr>
            <w:r>
              <w:rPr>
                <w:rFonts w:ascii="Wingdings" w:cs="Wingdings" w:eastAsia="Wingdings" w:hAnsi="Wingdings"/>
                <w:sz w:val="14"/>
                <w:szCs w:val="14"/>
                <w:b w:val="1"/>
                <w:bCs w:val="1"/>
                <w:color w:val="auto"/>
              </w:rPr>
              <w:t>x</w:t>
            </w: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6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19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388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November 4, 2022, 103,118,461 shares of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Humacyte,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Convertible Preferred Stock and Stockholders’ Equity</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560" w:type="dxa"/>
            <w:vAlign w:val="bottom"/>
            <w:tcBorders>
              <w:top w:val="single" w:sz="8" w:color="0000FF"/>
            </w:tcBorders>
            <w:gridSpan w:val="1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0000FF"/>
              </w:rPr>
              <w:t>(Deficit) (unaudited)</w:t>
            </w: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8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gridSpan w:val="2"/>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891"/>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10"/>
          </w:tcPr>
          <w:p>
            <w:pPr>
              <w:jc w:val="center"/>
              <w:ind w:left="3951"/>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17" w:lineRule="exact"/>
        <w:rPr>
          <w:sz w:val="20"/>
          <w:szCs w:val="20"/>
          <w:color w:val="auto"/>
        </w:rPr>
      </w:pPr>
    </w:p>
    <w:p>
      <w:pPr>
        <w:ind w:left="660" w:right="7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and ability to obtain marketing approval from the U.S. Food and Drug Administration (“FDA”) and other regulatory authorities, including the European Medicines Agency, for our bioengineered human acellular vessels (“HAVs”) and other product candidates;</w:t>
      </w:r>
    </w:p>
    <w:p>
      <w:pPr>
        <w:spacing w:after="0" w:line="31" w:lineRule="exact"/>
        <w:rPr>
          <w:rFonts w:ascii="Times New Roman" w:cs="Times New Roman" w:eastAsia="Times New Roman" w:hAnsi="Times New Roman"/>
          <w:sz w:val="17"/>
          <w:szCs w:val="17"/>
          <w:color w:val="auto"/>
        </w:rPr>
      </w:pPr>
    </w:p>
    <w:p>
      <w:pPr>
        <w:ind w:left="660" w:right="14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design, initiate and successfully complete clinical trials and other studies for our product candidates and our plans and expectations regarding our ongoing or planned clinical trials, including for our ongoing V005 Phase II/III clinical trial and V007 Phase III clinical trial;</w:t>
      </w:r>
    </w:p>
    <w:p>
      <w:pPr>
        <w:spacing w:after="0" w:line="31" w:lineRule="exact"/>
        <w:rPr>
          <w:rFonts w:ascii="Times New Roman" w:cs="Times New Roman" w:eastAsia="Times New Roman" w:hAnsi="Times New Roman"/>
          <w:sz w:val="17"/>
          <w:szCs w:val="17"/>
          <w:color w:val="auto"/>
        </w:rPr>
      </w:pPr>
    </w:p>
    <w:p>
      <w:pPr>
        <w:ind w:left="660" w:right="9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ongoing V005 Phase II/III clinical trial, including determination of trial size, and the scope of any approved indication for our HAVs;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HAVs;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our HAVs and other product candidates, if approved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HAVs relative to existing alternatives;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HAVs, if approved, and the availability of third-party coverage and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HAVs and other product candidates in sufficient quantities to satisfy our clinical trial and commercial needs;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(“Fresenius Medical Care”) to sell, market and distribute our 6 millimeter HAV for certain specified indications and in specified markets;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including our manufacturing efforts, and our preclinical studies and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2021, which we filed with the SEC on March 29, 2022.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217,502</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174,612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229,340</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right-of-use assets, net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226,219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286,533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SVB loan payable, current portion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obligation,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payroll tax</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Earnout Liability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SVB loan payable,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27,361</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 net of current portion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 net of current portion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Common stock warrant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164,359</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8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20,000,000 shares designated as of September 30, 2022 and December 31, 2021; 0 shares issued and</w:t>
            </w:r>
          </w:p>
        </w:tc>
        <w:tc>
          <w:tcPr>
            <w:tcW w:w="2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outstanding as of September 30, 2022 and December 31, 2021</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as of September 30, 2022 and December 31, 2021; 103,098,768 and</w:t>
            </w: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103,003,646 shares issued and outstanding as of September 30, 2022 and December 31, 2021, respectively</w:t>
            </w: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536,737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(414,573)</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118,672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122,174</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226,219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286,533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7"/>
                <w:szCs w:val="17"/>
                <w:color w:val="auto"/>
              </w:rPr>
            </w:pPr>
          </w:p>
        </w:tc>
        <w:tc>
          <w:tcPr>
            <w:tcW w:w="27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(59,581)</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expensed</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(69,062)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103,031,980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43,950,856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103,014,009</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18,728,471</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20" w:type="dxa"/>
            <w:vAlign w:val="bottom"/>
          </w:tcPr>
          <w:p>
            <w:pPr>
              <w:spacing w:after="0"/>
              <w:rPr>
                <w:sz w:val="15"/>
                <w:szCs w:val="15"/>
                <w:color w:val="auto"/>
              </w:rPr>
            </w:pPr>
          </w:p>
        </w:tc>
        <w:tc>
          <w:tcPr>
            <w:tcW w:w="19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96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960" w:type="dxa"/>
            <w:vAlign w:val="bottom"/>
            <w:tcBorders>
              <w:bottom w:val="single" w:sz="8" w:color="auto"/>
            </w:tcBorders>
            <w:gridSpan w:val="4"/>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103,003,646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536,737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(414,573)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122,174</w:t>
            </w:r>
          </w:p>
        </w:tc>
        <w:tc>
          <w:tcPr>
            <w:tcW w:w="0" w:type="dxa"/>
            <w:vAlign w:val="bottom"/>
          </w:tcPr>
          <w:p>
            <w:pPr>
              <w:spacing w:after="0"/>
              <w:rPr>
                <w:sz w:val="1"/>
                <w:szCs w:val="1"/>
                <w:color w:val="auto"/>
              </w:rPr>
            </w:pPr>
          </w:p>
        </w:tc>
      </w:tr>
      <w:tr>
        <w:trPr>
          <w:trHeight w:val="19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(19,832)</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103,004,572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538,285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(434,405)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103,890</w:t>
            </w:r>
          </w:p>
        </w:tc>
        <w:tc>
          <w:tcPr>
            <w:tcW w:w="0" w:type="dxa"/>
            <w:vAlign w:val="bottom"/>
          </w:tcPr>
          <w:p>
            <w:pPr>
              <w:spacing w:after="0"/>
              <w:rPr>
                <w:sz w:val="1"/>
                <w:szCs w:val="1"/>
                <w:color w:val="auto"/>
              </w:rPr>
            </w:pPr>
          </w:p>
        </w:tc>
      </w:tr>
      <w:tr>
        <w:trPr>
          <w:trHeight w:val="19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103,006,803</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539,787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(397,537)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142,260</w:t>
            </w:r>
          </w:p>
        </w:tc>
        <w:tc>
          <w:tcPr>
            <w:tcW w:w="0" w:type="dxa"/>
            <w:vAlign w:val="bottom"/>
          </w:tcPr>
          <w:p>
            <w:pPr>
              <w:spacing w:after="0"/>
              <w:rPr>
                <w:sz w:val="1"/>
                <w:szCs w:val="1"/>
                <w:color w:val="auto"/>
              </w:rPr>
            </w:pPr>
          </w:p>
        </w:tc>
      </w:tr>
      <w:tr>
        <w:trPr>
          <w:trHeight w:val="19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91,965</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103,098,768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541,480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(422,818)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118,672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 Stockholders’ Equity (Deficit)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00" w:type="dxa"/>
            <w:vAlign w:val="bottom"/>
          </w:tcPr>
          <w:p>
            <w:pPr>
              <w:spacing w:after="0"/>
              <w:rPr>
                <w:sz w:val="15"/>
                <w:szCs w:val="15"/>
                <w:color w:val="auto"/>
              </w:rPr>
            </w:pPr>
          </w:p>
        </w:tc>
        <w:tc>
          <w:tcPr>
            <w:tcW w:w="2320" w:type="dxa"/>
            <w:vAlign w:val="bottom"/>
            <w:tcBorders>
              <w:right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5"/>
                <w:szCs w:val="15"/>
                <w:color w:val="auto"/>
              </w:rPr>
            </w:pPr>
          </w:p>
        </w:tc>
        <w:tc>
          <w:tcPr>
            <w:tcW w:w="19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22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310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20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5,822,396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37,778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(388,096)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(350,317)</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116,149</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5,938,545</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42,872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(408,397)</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(365,524)</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(17,198)</w:t>
            </w:r>
          </w:p>
        </w:tc>
        <w:tc>
          <w:tcPr>
            <w:tcW w:w="0" w:type="dxa"/>
            <w:vAlign w:val="bottom"/>
          </w:tcPr>
          <w:p>
            <w:pPr>
              <w:spacing w:after="0"/>
              <w:rPr>
                <w:sz w:val="1"/>
                <w:szCs w:val="1"/>
                <w:color w:val="auto"/>
              </w:rPr>
            </w:pPr>
          </w:p>
        </w:tc>
      </w:tr>
      <w:tr>
        <w:trPr>
          <w:trHeight w:val="19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5,943,749</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45,832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(425,595)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(379,762)</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stock into common stock in connection with the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420,982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Merger and related PIPE financing</w:t>
            </w: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The Merger and related PIPE financing, net of</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27,346,449</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209,478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209,480</w:t>
            </w:r>
          </w:p>
        </w:tc>
        <w:tc>
          <w:tcPr>
            <w:tcW w:w="0" w:type="dxa"/>
            <w:vAlign w:val="bottom"/>
          </w:tcPr>
          <w:p>
            <w:pPr>
              <w:spacing w:after="0"/>
              <w:rPr>
                <w:sz w:val="1"/>
                <w:szCs w:val="1"/>
                <w:color w:val="auto"/>
              </w:rPr>
            </w:pPr>
          </w:p>
        </w:tc>
      </w:tr>
      <w:tr>
        <w:trPr>
          <w:trHeight w:val="193"/>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costs and acquired liabilities</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Public warrants assumed upon the Merger, net of</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Contingent Earnout Liability recognized upon</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0" w:type="dxa"/>
            <w:vAlign w:val="bottom"/>
          </w:tcPr>
          <w:p>
            <w:pPr>
              <w:spacing w:after="0"/>
              <w:rPr>
                <w:sz w:val="1"/>
                <w:szCs w:val="1"/>
                <w:color w:val="auto"/>
              </w:rPr>
            </w:pPr>
          </w:p>
        </w:tc>
      </w:tr>
      <w:tr>
        <w:trPr>
          <w:trHeight w:val="193"/>
        </w:trPr>
        <w:tc>
          <w:tcPr>
            <w:tcW w:w="3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closing of the reverse recapitalization</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(31,563)</w:t>
            </w:r>
          </w:p>
        </w:tc>
        <w:tc>
          <w:tcPr>
            <w:tcW w:w="0" w:type="dxa"/>
            <w:vAlign w:val="bottom"/>
          </w:tcPr>
          <w:p>
            <w:pPr>
              <w:spacing w:after="0"/>
              <w:rPr>
                <w:sz w:val="1"/>
                <w:szCs w:val="1"/>
                <w:color w:val="auto"/>
              </w:rPr>
            </w:pPr>
          </w:p>
        </w:tc>
      </w:tr>
      <w:tr>
        <w:trPr>
          <w:trHeight w:val="23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103,003,384</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533,009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(457,158)</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3"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(69,062)</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common stock warrant liabilities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interest on PPP loan obligation</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PPP loan forgiveness</w:t>
            </w:r>
          </w:p>
        </w:tc>
        <w:tc>
          <w:tcPr>
            <w:tcW w:w="10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liabilities assumed in Merger</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(12,363)</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5"/>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195"/>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9"/>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(59,742)</w:t>
            </w:r>
          </w:p>
        </w:tc>
      </w:tr>
      <w:tr>
        <w:trPr>
          <w:trHeight w:val="156"/>
        </w:trPr>
        <w:tc>
          <w:tcPr>
            <w:tcW w:w="7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9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short-term investments (certificates of deposit)</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9"/>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56"/>
        </w:trPr>
        <w:tc>
          <w:tcPr>
            <w:tcW w:w="7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9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finance lease principal</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Merger and PIPE financing, net of offering costs paid</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242,400</w:t>
            </w:r>
          </w:p>
        </w:tc>
      </w:tr>
      <w:tr>
        <w:trPr>
          <w:trHeight w:val="195"/>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transaction costs related to Merger</w:t>
            </w:r>
          </w:p>
        </w:tc>
        <w:tc>
          <w:tcPr>
            <w:tcW w:w="10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21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SVB loan</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19,659</w:t>
            </w:r>
          </w:p>
        </w:tc>
      </w:tr>
      <w:tr>
        <w:trPr>
          <w:trHeight w:val="196"/>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10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260,437</w:t>
            </w:r>
          </w:p>
        </w:tc>
      </w:tr>
    </w:tbl>
    <w:p>
      <w:pPr>
        <w:spacing w:after="0" w:line="139" w:lineRule="exact"/>
        <w:rPr>
          <w:sz w:val="20"/>
          <w:szCs w:val="20"/>
          <w:color w:val="auto"/>
        </w:rPr>
      </w:pPr>
    </w:p>
    <w:p>
      <w:pPr>
        <w:sectPr>
          <w:pgSz w:w="11900" w:h="16838" w:orient="portrait"/>
          <w:cols w:equalWidth="0" w:num="1">
            <w:col w:w="11240"/>
          </w:cols>
          <w:pgMar w:left="320" w:top="513"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80" w:type="dxa"/>
            <w:vAlign w:val="bottom"/>
          </w:tcPr>
          <w:p>
            <w:pPr>
              <w:spacing w:after="0"/>
              <w:rPr>
                <w:sz w:val="16"/>
                <w:szCs w:val="16"/>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(53,771)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200,520</w:t>
            </w:r>
          </w:p>
        </w:tc>
      </w:tr>
      <w:tr>
        <w:trPr>
          <w:trHeight w:val="203"/>
        </w:trPr>
        <w:tc>
          <w:tcPr>
            <w:tcW w:w="580" w:type="dxa"/>
            <w:vAlign w:val="bottom"/>
          </w:tcPr>
          <w:p>
            <w:pPr>
              <w:spacing w:after="0"/>
              <w:rPr>
                <w:sz w:val="17"/>
                <w:szCs w:val="17"/>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217,502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39,929</w:t>
            </w:r>
          </w:p>
        </w:tc>
      </w:tr>
      <w:tr>
        <w:trPr>
          <w:trHeight w:val="2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163,731</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240,449</w:t>
            </w:r>
          </w:p>
        </w:tc>
      </w:tr>
      <w:tr>
        <w:trPr>
          <w:trHeight w:val="27"/>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-427990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-170815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7200" w:space="720"/>
            <w:col w:w="332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1,867</w:t>
            </w:r>
          </w:p>
        </w:tc>
        <w:tc>
          <w:tcPr>
            <w:tcW w:w="6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156"/>
        </w:trPr>
        <w:tc>
          <w:tcPr>
            <w:tcW w:w="74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 in accounts payable</w:t>
            </w:r>
          </w:p>
        </w:tc>
        <w:tc>
          <w:tcPr>
            <w:tcW w:w="11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6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21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liabilities assumed in connection with Merger</w:t>
            </w:r>
          </w:p>
        </w:tc>
        <w:tc>
          <w:tcPr>
            <w:tcW w:w="11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95"/>
        </w:trPr>
        <w:tc>
          <w:tcPr>
            <w:tcW w:w="7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transaction costs in connection with Merger</w:t>
            </w: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r>
      <w:tr>
        <w:trPr>
          <w:trHeight w:val="21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Conversion of redeemable convertible preferred stock into common stock in connection with the reverse capitalization</w:t>
            </w:r>
          </w:p>
        </w:tc>
        <w:tc>
          <w:tcPr>
            <w:tcW w:w="11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r>
      <w:tr>
        <w:trPr>
          <w:trHeight w:val="188"/>
        </w:trPr>
        <w:tc>
          <w:tcPr>
            <w:tcW w:w="7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Contingent Consideration Liability recognized upon the closing of the reverse recapitalization</w:t>
            </w: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7780" w:firstLine="8"/>
        <w:spacing w:after="0" w:line="46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Humacyte, Inc. and subsidiary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technology platform to develop proprietary product candidates for use in the treatment of diseases and conditions across a range of anatomic locations in multiple therapeutic areas.</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26, 2021 (the </w:t>
      </w:r>
      <w:r>
        <w:rPr>
          <w:rFonts w:ascii="Arial" w:cs="Arial" w:eastAsia="Arial" w:hAnsi="Arial"/>
          <w:sz w:val="18"/>
          <w:szCs w:val="18"/>
          <w:color w:val="auto"/>
        </w:rPr>
        <w:t>“</w:t>
      </w:r>
      <w:r>
        <w:rPr>
          <w:rFonts w:ascii="Times New Roman" w:cs="Times New Roman" w:eastAsia="Times New Roman" w:hAnsi="Times New Roman"/>
          <w:sz w:val="18"/>
          <w:szCs w:val="18"/>
          <w:color w:val="auto"/>
        </w:rPr>
        <w:t>Closing Date</w:t>
      </w:r>
      <w:r>
        <w:rPr>
          <w:rFonts w:ascii="Arial" w:cs="Arial" w:eastAsia="Arial" w:hAnsi="Arial"/>
          <w:sz w:val="18"/>
          <w:szCs w:val="18"/>
          <w:color w:val="auto"/>
        </w:rPr>
        <w:t>”</w:t>
      </w:r>
      <w:r>
        <w:rPr>
          <w:rFonts w:ascii="Times New Roman" w:cs="Times New Roman" w:eastAsia="Times New Roman" w:hAnsi="Times New Roman"/>
          <w:sz w:val="18"/>
          <w:szCs w:val="18"/>
          <w:color w:val="auto"/>
        </w:rPr>
        <w:t>), Alpha Healthcare Acquisition Corp. (</w:t>
      </w:r>
      <w:r>
        <w:rPr>
          <w:rFonts w:ascii="Arial" w:cs="Arial" w:eastAsia="Arial" w:hAnsi="Arial"/>
          <w:sz w:val="18"/>
          <w:szCs w:val="18"/>
          <w:color w:val="auto"/>
        </w:rPr>
        <w:t>“</w:t>
      </w:r>
      <w:r>
        <w:rPr>
          <w:rFonts w:ascii="Times New Roman" w:cs="Times New Roman" w:eastAsia="Times New Roman" w:hAnsi="Times New Roman"/>
          <w:sz w:val="18"/>
          <w:szCs w:val="18"/>
          <w:color w:val="auto"/>
        </w:rPr>
        <w:t>AHAC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consummated a merger pursuant to a </w:t>
      </w:r>
      <w:r>
        <w:rPr>
          <w:rFonts w:ascii="Times New Roman" w:cs="Times New Roman" w:eastAsia="Times New Roman" w:hAnsi="Times New Roman"/>
          <w:sz w:val="18"/>
          <w:szCs w:val="18"/>
          <w:color w:val="231F20"/>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The Merger is accounted for as a reverse recapitalization in accordance with accounting principles generally accepted in the United States of America (“U.S. GAAP”), and under this method of accounting, AHAC is treated as the acquired company for financial reporting purposes and Legacy Humacyte is treated as the acquirer. Operations prior to the Merger are those of Legacy Humacyte.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 Reverse Recapitalization for further details of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September 30, 2022 and December 31, 2021, the Company had an accumulated deficit of $422.8 million and $414.6 million, respectively.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operating losses were $63.8 million and $59.6 million for the nine months ended September 30, 2022 and 2021, respectively. Net cash flows used in operating activities were $52.2 million and $59.7 million during the nine months ended September 30, 2022 and 2021, respectively. Substantially all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operating losses resulted from costs incurred in connection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research and development programs and from general and administrative costs associated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operations. The Company expects to incur substantial operating losses and negative cash flows from operations for the foreseeable future as the Company advances its product candidates.</w:t>
      </w:r>
    </w:p>
    <w:p>
      <w:pPr>
        <w:spacing w:after="0" w:line="15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cash and cash equivalents and short-term investments of $171.7 million. The Company believes its combined cash and cash equivalents and short-term investments on hand will be sufficient to fund operations, including clinical trial expenses and capital expenditure requirements, for at least 12 months from the issuance date of these interim financial statements.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COVID-19 pandemic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as supply chains have been disrupted, and facilities and production have been suspended. The future progression of the pandemic and its effects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and operations are uncertain. The COVID-19 pandemic may affect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initiate and complete preclinical studies, delay its clinical trials or future clinical trials, disrupt regulatory activities, or have other adverse effects on its business and operations. The pandemic has already caused significant disruptions in the financial markets and may continue to cause such disruptions, which could impact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raise additional funds to support its operations. Moreover, the pandemic has significantly impacted economies worldwide and could result in adverse effects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and operations.</w:t>
      </w:r>
    </w:p>
    <w:p>
      <w:pPr>
        <w:spacing w:after="0" w:line="1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To date, there have been no material financial impacts or impairment losses in the carrying values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assets as a result of the pandemic and the Company is not aware of any specific related event or circumstance that would require it to revise the estimates reflected in these financial statements. The extent to which the COVID-19 pandemic will directly or indirectly impact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the emergence of new virus variants, and the duration and intensity of the related economic impact of the pandemic.</w:t>
      </w:r>
    </w:p>
    <w:p>
      <w:pPr>
        <w:spacing w:after="0" w:line="142" w:lineRule="exact"/>
        <w:rPr>
          <w:sz w:val="20"/>
          <w:szCs w:val="20"/>
          <w:color w:val="auto"/>
        </w:rPr>
      </w:pPr>
    </w:p>
    <w:p>
      <w:pPr>
        <w:ind w:right="7680" w:firstLine="8"/>
        <w:spacing w:after="0" w:line="46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financial statements in conformity with U.S. GAAP. The Company’s condensed consolidated financial statements reflect the operations of the Company and its wholly owned subsidiaries. All intercompany accounts and transactions have been eliminated in consolidation.</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the Company has retroactively adjusted all common and preferred share and related price information to give effect to the exchange ratio established in the Merger Agreement. Operations prior to the Merger are those of Legacy Humacyte.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September 30, 2022 and its results of operations for the three and nine months ended September 30, 2022 and 2021, and cash flows for the nine months ended September 30, 2022 and 2021. The results of operations for the three and nine months ended September 30, 2022 are not necessarily indicative of the results to be expected for the year ended December 31, 2022 or any other period. The December 31, 2021 year-end condensed consolidated balance sheet was derived from audited annual financial statements but does not include all disclosures from the annual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2021 and the related notes included in the Company’s Annual Report on Form 10-K, filed with the SEC on March 29, 2022 (the “Annual Report”),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2021 and 2020 included in the Company’s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and short-term investments consisting of certificates of deposit (“CDs”). Total cash balances exceeded insured balances by the Federal Deposit Insurance Corporation (“FDIC”) as of September 30, 2022 and December 31, 2021. The Company has cash equivalents that are invested in highly rated money market funds that are invested only in obligations of the U.S. government and its agencies.</w:t>
      </w:r>
    </w:p>
    <w:p>
      <w:pPr>
        <w:spacing w:after="0" w:line="15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As of both </w:t>
      </w:r>
      <w:r>
        <w:rPr>
          <w:rFonts w:ascii="Times New Roman" w:cs="Times New Roman" w:eastAsia="Times New Roman" w:hAnsi="Times New Roman"/>
          <w:sz w:val="18"/>
          <w:szCs w:val="18"/>
          <w:color w:val="000000"/>
        </w:rPr>
        <w:t>September 30, 2022 and</w:t>
      </w:r>
      <w:r>
        <w:rPr>
          <w:rFonts w:ascii="Times New Roman" w:cs="Times New Roman" w:eastAsia="Times New Roman" w:hAnsi="Times New Roman"/>
          <w:sz w:val="18"/>
          <w:szCs w:val="18"/>
          <w:color w:val="231F20"/>
        </w:rPr>
        <w:t xml:space="preserve"> December 31, 2021, the Company had approximately </w:t>
      </w:r>
      <w:r>
        <w:rPr>
          <w:rFonts w:ascii="Times New Roman" w:cs="Times New Roman" w:eastAsia="Times New Roman" w:hAnsi="Times New Roman"/>
          <w:sz w:val="18"/>
          <w:szCs w:val="18"/>
          <w:color w:val="000000"/>
        </w:rPr>
        <w:t>$10.0 million</w:t>
      </w:r>
      <w:r>
        <w:rPr>
          <w:rFonts w:ascii="Times New Roman" w:cs="Times New Roman" w:eastAsia="Times New Roman" w:hAnsi="Times New Roman"/>
          <w:sz w:val="18"/>
          <w:szCs w:val="18"/>
          <w:color w:val="231F20"/>
        </w:rPr>
        <w:t xml:space="preserve"> in CDs. These cash deposits are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both </w:t>
      </w:r>
      <w:r>
        <w:rPr>
          <w:rFonts w:ascii="Times New Roman" w:cs="Times New Roman" w:eastAsia="Times New Roman" w:hAnsi="Times New Roman"/>
          <w:sz w:val="18"/>
          <w:szCs w:val="18"/>
          <w:color w:val="000000"/>
        </w:rPr>
        <w:t>September 30, 2022 and December 31, 2021, t</w:t>
      </w:r>
      <w:r>
        <w:rPr>
          <w:rFonts w:ascii="Times New Roman" w:cs="Times New Roman" w:eastAsia="Times New Roman" w:hAnsi="Times New Roman"/>
          <w:sz w:val="18"/>
          <w:szCs w:val="18"/>
          <w:color w:val="231F20"/>
        </w:rPr>
        <w:t xml:space="preserve">he Company classified </w:t>
      </w:r>
      <w:r>
        <w:rPr>
          <w:rFonts w:ascii="Times New Roman" w:cs="Times New Roman" w:eastAsia="Times New Roman" w:hAnsi="Times New Roman"/>
          <w:sz w:val="18"/>
          <w:szCs w:val="18"/>
          <w:color w:val="000000"/>
        </w:rPr>
        <w:t>$2.0 million</w:t>
      </w:r>
      <w:r>
        <w:rPr>
          <w:rFonts w:ascii="Times New Roman" w:cs="Times New Roman" w:eastAsia="Times New Roman" w:hAnsi="Times New Roman"/>
          <w:sz w:val="18"/>
          <w:szCs w:val="18"/>
          <w:color w:val="231F20"/>
        </w:rPr>
        <w:t xml:space="preserve"> of its certificates of deposit as cash and cash equivalents and </w:t>
      </w:r>
      <w:r>
        <w:rPr>
          <w:rFonts w:ascii="Times New Roman" w:cs="Times New Roman" w:eastAsia="Times New Roman" w:hAnsi="Times New Roman"/>
          <w:sz w:val="18"/>
          <w:szCs w:val="18"/>
          <w:color w:val="000000"/>
        </w:rPr>
        <w:t>$8.0 million</w:t>
      </w:r>
      <w:r>
        <w:rPr>
          <w:rFonts w:ascii="Times New Roman" w:cs="Times New Roman" w:eastAsia="Times New Roman" w:hAnsi="Times New Roman"/>
          <w:sz w:val="18"/>
          <w:szCs w:val="18"/>
          <w:color w:val="231F20"/>
        </w:rPr>
        <w:t xml:space="preserve"> of its certificates of deposit as short-term investments on its condensed consolidated balance sheets.</w:t>
      </w:r>
    </w:p>
    <w:p>
      <w:pPr>
        <w:spacing w:after="0" w:line="14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100% of the Company’s total revenue relates to an award it received from the Department of Defense (“DoD”) in August 2017. As of September 30, 2022 and December 31, 2021, 100% of the Company’s accounts receivable relates to the DoD grant.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w:t>
      </w:r>
    </w:p>
    <w:p>
      <w:pPr>
        <w:spacing w:after="0" w:line="14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each period because including them would have had an antidilutive effect were as follows:</w:t>
      </w:r>
    </w:p>
    <w:p>
      <w:pPr>
        <w:spacing w:after="0" w:line="19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and 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41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55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6,722,422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6,399,888</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5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5,465,204</w:t>
            </w:r>
          </w:p>
        </w:tc>
      </w:tr>
      <w:tr>
        <w:trPr>
          <w:trHeight w:val="900"/>
        </w:trPr>
        <w:tc>
          <w:tcPr>
            <w:tcW w:w="4100" w:type="dxa"/>
            <w:vAlign w:val="bottom"/>
          </w:tcPr>
          <w:p>
            <w:pPr>
              <w:spacing w:after="0"/>
              <w:rPr>
                <w:sz w:val="24"/>
                <w:szCs w:val="24"/>
                <w:color w:val="auto"/>
              </w:rPr>
            </w:pPr>
          </w:p>
        </w:tc>
        <w:tc>
          <w:tcPr>
            <w:tcW w:w="40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15,000,000 Contingent Earnout Shares, as defined in Note 3, are excluded from the anti-dilutive table for all periods presented, as such shares are contingently issuable until the share price of the Company exceeds specified thresholds that have not yet been achieved, or upon the occurrence of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ind w:right="220" w:firstLine="324"/>
        <w:spacing w:after="0" w:line="26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II/III clinical trial and V007 Phase III clinical trial, the regulatory approval and commercialization of its HAVs and other product</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candidates, the expected size of the target populations for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implementation and maintenance of effective internal controls, and the ability to secure additional capital to fund operations and the commercial success of its product candidates.</w:t>
      </w:r>
    </w:p>
    <w:p>
      <w:pPr>
        <w:spacing w:after="0" w:line="143" w:lineRule="exact"/>
        <w:rPr>
          <w:sz w:val="20"/>
          <w:szCs w:val="20"/>
          <w:color w:val="auto"/>
        </w:rPr>
      </w:pPr>
    </w:p>
    <w:p>
      <w:pPr>
        <w:ind w:right="280" w:firstLine="324"/>
        <w:spacing w:after="0" w:line="276" w:lineRule="auto"/>
        <w:rPr>
          <w:sz w:val="20"/>
          <w:szCs w:val="20"/>
          <w:color w:val="auto"/>
        </w:rPr>
      </w:pPr>
      <w:r>
        <w:rPr>
          <w:rFonts w:ascii="Times New Roman" w:cs="Times New Roman" w:eastAsia="Times New Roman" w:hAnsi="Times New Roman"/>
          <w:sz w:val="17"/>
          <w:szCs w:val="17"/>
          <w:color w:val="auto"/>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commercialization efforts are successful, it is uncertain when, if ever, the Company will realize significant revenue from product sales, and the Company may depend on certain strategic relationships to distribute its products, including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strategic partnership with Fresenius Medical Care, to sell, market and distribute its 6 millimeter HAV for certain specified indications outside the 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In May 2021, the Financial Accounting Standards Board (the “FASB”) issued Accounting Standards Update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w:t>
      </w:r>
      <w:r>
        <w:rPr>
          <w:rFonts w:ascii="Times New Roman" w:cs="Times New Roman" w:eastAsia="Times New Roman" w:hAnsi="Times New Roman"/>
          <w:sz w:val="18"/>
          <w:szCs w:val="18"/>
          <w:color w:val="000000"/>
        </w:rPr>
        <w:t>The Company adopted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ASU 2021-04 as of January 1, 2022. The adoption of this ASU had no impact on the Company</w:t>
      </w:r>
      <w:r>
        <w:rPr>
          <w:rFonts w:ascii="Arial" w:cs="Arial" w:eastAsia="Arial" w:hAnsi="Arial"/>
          <w:sz w:val="18"/>
          <w:szCs w:val="18"/>
          <w:color w:val="000000"/>
        </w:rPr>
        <w:t>’</w:t>
      </w:r>
      <w:r>
        <w:rPr>
          <w:rFonts w:ascii="Times New Roman" w:cs="Times New Roman" w:eastAsia="Times New Roman" w:hAnsi="Times New Roman"/>
          <w:sz w:val="18"/>
          <w:szCs w:val="18"/>
          <w:color w:val="000000"/>
        </w:rPr>
        <w:t>s financial statements and related disclosures.</w:t>
      </w:r>
    </w:p>
    <w:p>
      <w:pPr>
        <w:spacing w:after="0" w:line="15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In November 2021, the FASB issued ASU No. 2021-10, “Government Assistance (Topic 832): Disclosures by Business Entities about Government Assistance” (“ASU 2021-10”) to improve financial reporting by requiring annual disclosures that increase the transparency of transactions with a government accounted for by applying a grant or contribution model by analogy, including (i) the types of transactions, (ii) an entity’s accounting for those transactions, and (iii) the effect of those transactions on an entity’s financial statements. ASU 2021-10 is effective for all entities within their scope for financial statements issued for annual periods beginning after December 15, 2021, and an entity can elect to apply the amendments in this guidance prospectively or retrospectively. The Company adopted ASU 2021-10 effective January 1, 2022, and does not expect a material impact to its annual consolidated financial statement disclosures.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18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On August 26, 2021, Merger Sub, a wholly-owned subsidiary of AHAC, merged with Legacy Humacyte, with Legacy Humacyte surviving as a wholly-owned subsidiary of AHAC. At the effective time of the Merger:</w:t>
      </w:r>
    </w:p>
    <w:p>
      <w:pPr>
        <w:spacing w:after="0" w:line="121" w:lineRule="exact"/>
        <w:rPr>
          <w:sz w:val="20"/>
          <w:szCs w:val="20"/>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Humacyte common stock was converted into approximately 0.26260 shares of New Humacyte’s common stock, par value $0.0001 per share (“Common Stock”);</w:t>
      </w:r>
    </w:p>
    <w:p>
      <w:pPr>
        <w:spacing w:after="0" w:line="134"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Legacy Humacyte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and</w:t>
      </w:r>
    </w:p>
    <w:p>
      <w:pPr>
        <w:spacing w:after="0" w:line="13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or warrant to purchase Legacy Humacyte common stock was converted into an option or warrant, as applicable, to purchase a number of shares of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rounded down to the nearest whole share.</w:t>
      </w:r>
    </w:p>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upon the closing of the Merger (the “Closing”), 2,500,000 Class B shares of AHAC (the “Founder Shares”) automatically converted into shares of Common Stock on a one-for-one basis.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Former holders of the Legacy Humacyte common stock and Legacy Humacyte preferred stock are eligible to receive up to an aggregate of 15,000,000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of Common Stock (the “Contingent Earnout Shares”) in the aggregate, comprised of two equal tranches of 7,500,000 shares per tranche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volume-weighted average closing sale price of the Common Stock is greater than or equal to $15.00 and $20.00, respectively, for any 20 trading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any 30 consecutive trading day period. At the Closing on August 26, 2021, the Company recorded a liability (“Contingent Earnout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$159.4 million, based on the estimated fair value of the 15,000,000 Contingent Earnout Shares with a corresponding reduction of 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equity section of the Company’s condensed consolidated balance sheet.</w:t>
      </w:r>
    </w:p>
    <w:p>
      <w:pPr>
        <w:spacing w:after="0" w:line="16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AHAC entered into subscription agreements (the “Subscription Agreements”) with certain investors (the “PIPE Investors”). Pursuant to the Subscription Agreements, the PIPE Investors purchased an aggregate of 17,500,000 shares of Common Stock (the “PIPE Shares”) in a private placement at a price of $10.00 per share for an aggregate purchase price of $175 million (the “PIPE Financing”). The PIPE Financing was consummated in connection with the Closing.</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 was: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r>
      <w:tr>
        <w:trPr>
          <w:trHeight w:val="23"/>
        </w:trPr>
        <w:tc>
          <w:tcPr>
            <w:tcW w:w="9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 outstanding prior to Merger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10,355,000</w:t>
            </w:r>
          </w:p>
        </w:tc>
        <w:tc>
          <w:tcPr>
            <w:tcW w:w="420" w:type="dxa"/>
            <w:vAlign w:val="bottom"/>
            <w:shd w:val="clear" w:color="auto" w:fill="CCEEFF"/>
          </w:tcPr>
          <w:p>
            <w:pPr>
              <w:spacing w:after="0"/>
              <w:rPr>
                <w:sz w:val="19"/>
                <w:szCs w:val="19"/>
                <w:color w:val="auto"/>
              </w:rPr>
            </w:pPr>
          </w:p>
        </w:tc>
      </w:tr>
      <w:tr>
        <w:trPr>
          <w:trHeight w:val="22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AHAC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(3,008,551)</w:t>
            </w:r>
          </w:p>
        </w:tc>
        <w:tc>
          <w:tcPr>
            <w:tcW w:w="420" w:type="dxa"/>
            <w:vAlign w:val="bottom"/>
            <w:tcBorders>
              <w:bottom w:val="single" w:sz="8" w:color="CCEEFF"/>
            </w:tcBorders>
          </w:tcPr>
          <w:p>
            <w:pPr>
              <w:spacing w:after="0"/>
              <w:rPr>
                <w:sz w:val="19"/>
                <w:szCs w:val="19"/>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7,346,449</w:t>
            </w:r>
          </w:p>
        </w:tc>
        <w:tc>
          <w:tcPr>
            <w:tcW w:w="420" w:type="dxa"/>
            <w:vAlign w:val="bottom"/>
            <w:shd w:val="clear" w:color="auto" w:fill="CCEEFF"/>
          </w:tcPr>
          <w:p>
            <w:pPr>
              <w:spacing w:after="0"/>
              <w:rPr>
                <w:sz w:val="19"/>
                <w:szCs w:val="19"/>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AHAC Founder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20" w:type="dxa"/>
            <w:vAlign w:val="bottom"/>
          </w:tcPr>
          <w:p>
            <w:pPr>
              <w:spacing w:after="0"/>
              <w:rPr>
                <w:sz w:val="19"/>
                <w:szCs w:val="19"/>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to PIPE Investors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420" w:type="dxa"/>
            <w:vAlign w:val="bottom"/>
            <w:shd w:val="clear" w:color="auto" w:fill="CCEEFF"/>
          </w:tcPr>
          <w:p>
            <w:pPr>
              <w:spacing w:after="0"/>
              <w:rPr>
                <w:sz w:val="19"/>
                <w:szCs w:val="19"/>
                <w:color w:val="auto"/>
              </w:rPr>
            </w:pP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reverse recapitalization and PIPE Financing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27,346,449</w:t>
            </w:r>
          </w:p>
        </w:tc>
        <w:tc>
          <w:tcPr>
            <w:tcW w:w="420" w:type="dxa"/>
            <w:vAlign w:val="bottom"/>
          </w:tcPr>
          <w:p>
            <w:pPr>
              <w:spacing w:after="0"/>
              <w:rPr>
                <w:sz w:val="19"/>
                <w:szCs w:val="19"/>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in Merger to Legacy Humacyte stockholders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75,656,935</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(1)</w:t>
            </w:r>
          </w:p>
        </w:tc>
      </w:tr>
      <w:tr>
        <w:trPr>
          <w:trHeight w:val="22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103,003,384</w:t>
            </w:r>
          </w:p>
        </w:tc>
        <w:tc>
          <w:tcPr>
            <w:tcW w:w="420" w:type="dxa"/>
            <w:vAlign w:val="bottom"/>
          </w:tcPr>
          <w:p>
            <w:pPr>
              <w:spacing w:after="0"/>
              <w:rPr>
                <w:sz w:val="19"/>
                <w:szCs w:val="19"/>
                <w:color w:val="auto"/>
              </w:rPr>
            </w:pPr>
          </w:p>
        </w:tc>
      </w:tr>
      <w:tr>
        <w:trPr>
          <w:trHeight w:val="21"/>
        </w:trPr>
        <w:tc>
          <w:tcPr>
            <w:tcW w:w="9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5540" w:right="1280" w:hanging="5532"/>
        <w:spacing w:after="0" w:line="970"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69,613,562 shares of Common Stock issued upon conversion of Legacy Humacyte’s redeemable convertible preferred stock.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AHAC was treated as the acquired company for financial reporting purposes and Legacy Humacyte was treated as the acquirer. This determination was primarily based on the fact that subsequent to the Merger, the Legacy Humacyte stockholders held a majority of the voting rights of the combined company, Legacy Humacyte comprised all of the ongoing operations of the combined company, Legacy Humacyte comprised a majority of the governing body of the combined company, and Legacy Humacyte’s senior management comprised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spacing w:after="0" w:line="1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condensed consolidated balance sheets, was expensed in the condensed consolidated statements of operations and comprehensive loss during the three months ended September 30, 2021. All transaction costs were paid as of December 31, 2021. Legacy Humacyte assumed $15.2 million of liabilities, including PIPE Financing fees and legal fees, and $0.1 million of assets from AHAC. Of the $15.2 million of liabilities assumed from AHAC, $0.1 million was included in accrued expenses as of December 31, 2021, and there were no unpaid liabilities as of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the principal or most advantageous market in an orderly transaction between market participants at the measurement date. Accounting Standards Codification (“ASC”) 820, </w:t>
      </w:r>
      <w:r>
        <w:rPr>
          <w:rFonts w:ascii="Times New Roman" w:cs="Times New Roman" w:eastAsia="Times New Roman" w:hAnsi="Times New Roman"/>
          <w:sz w:val="18"/>
          <w:szCs w:val="18"/>
          <w:i w:val="1"/>
          <w:iCs w:val="1"/>
          <w:color w:val="auto"/>
        </w:rPr>
        <w:t>Fair Value Measurement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establishes a hierarchy whereby inputs to valuation techniques used in measuring fair value are prioritized, or the fair value hierarchy.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little or no market data exists, therefore requiring the Company to develop its own assumptions.</w:t>
      </w:r>
    </w:p>
    <w:p>
      <w:pPr>
        <w:spacing w:after="0" w:line="18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were measured at fair value on a recurring basis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Measured as of September 30,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 summary of the changes in the fair value of the Company’s Level 3 financial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4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06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Contingent Earnout Liability recognized upon the closing of the</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reverse recapitalization</w:t>
            </w:r>
          </w:p>
        </w:tc>
        <w:tc>
          <w:tcPr>
            <w:tcW w:w="26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(159,432)</w:t>
            </w:r>
          </w:p>
        </w:tc>
      </w:tr>
      <w:tr>
        <w:trPr>
          <w:trHeight w:val="229"/>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(169,200)</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4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 liability acquired as part of the Merger</w:t>
            </w:r>
          </w:p>
        </w:tc>
        <w:tc>
          <w:tcPr>
            <w:tcW w:w="2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Earnout Liability and Private Placement Warrants (as defined in Note 8 — Stockholders’ Equity (Deficit)) liability are based on significant unobservable inputs, which represent Level 3 measurements within the fair value hierarchy.</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(Deficit)). Contingent earnout payments involve certain assumptions requiring significant judgment and actual results can differ from assumed and estimated amounts.</w:t>
      </w:r>
    </w:p>
    <w:p>
      <w:pPr>
        <w:spacing w:after="0" w:line="14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 (Deficit)).</w:t>
      </w:r>
    </w:p>
    <w:p>
      <w:pPr>
        <w:spacing w:after="0" w:line="1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Certificates of deposit are carried at amortized cost in the Company’s condensed consolidated balance sheets, which approximates their fair value based on Level 2 inputs. The carrying values of other receivables, accounts payable and accrued expenses as of September 30, 2022 and December 31, 2021 approximated their fair values due to the short-term nature of these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Scientific equipment</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8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As of December 31, 2021, includes </w:t>
      </w:r>
      <w:r>
        <w:rPr>
          <w:rFonts w:ascii="Times New Roman" w:cs="Times New Roman" w:eastAsia="Times New Roman" w:hAnsi="Times New Roman"/>
          <w:sz w:val="18"/>
          <w:szCs w:val="18"/>
          <w:color w:val="000000"/>
        </w:rPr>
        <w:t>$3.6 million</w:t>
      </w:r>
      <w:r>
        <w:rPr>
          <w:rFonts w:ascii="Times New Roman" w:cs="Times New Roman" w:eastAsia="Times New Roman" w:hAnsi="Times New Roman"/>
          <w:sz w:val="18"/>
          <w:szCs w:val="18"/>
          <w:color w:val="231F20"/>
        </w:rPr>
        <w:t xml:space="preserve"> related to scientific equipment not depreciated until being placed in service during the third quarter of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totaled $1.5 million and $4.6 million for the three and nine months ended September 30, 2022, respectively, and $1.5 million and $4.7 million for the three and nine months ended September 30, 2021, respectively. All long-lived assets are maintained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5"/>
        </w:trPr>
        <w:tc>
          <w:tcPr>
            <w:tcW w:w="8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On March 30, 2021, the Company entered into a term loan agreement with Silicon Valley Bank (“SVB”) and SVB Innovation Credit Fund VIII, L.P., as amended in June 2021 and September 2021 (the “Loan Agreement”), which provides a term loan facility of up to $50.0 million with a maturity date of March 1, 2025.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September 30, 2022, the Company was in compliance with all covenants. The Company may use the proceeds of borrowings under the Loan Agreement as working capital and to fund its general business requirements.</w:t>
      </w:r>
    </w:p>
    <w:p>
      <w:pPr>
        <w:spacing w:after="0" w:line="14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As of September 30, 2022, two subsequent $10.0 million term loan tranches will be eligible to be drawn at the request of the Company during specified draw periods prior to May 15, 2023, the first tranche subject to submission by the Company of its first Biologics License Application (“BLA”) to the FDA for its HAV prior to March 31, 2023, and the second tranche subject to the first approval from the FDA of any BLA for the HAV prior to March 31, 2023 and the Company having borrowed the first remaining tranche.</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Borrowings bear interest at the greater of 7.5% or the Wall Street Journal Prime Rate plus 4.25% (10.50% as of September 30, 2022). Interest only payments on the principal amount outstanding are due monthly beginning in the first month after the loan is dispersed. Repayment of principal may begin as soon as July 1, 2023 under the level of borrowing outstanding at September 30, 2022, and no later than April 1, 2024 if the remaining two loan tranches are drawn. The term loans may only be prepaid in full, and such prepayment requires 30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advance notice and was subject initially to a prepayment fee of 3.00% that was decreased to 2.00% after March 30, 2022 (with a further decrease to 1.00% after March 30, 2023). The Company is not obligated to pay a prepayment fee if the Company makes a prepayment after March 30, 2024.</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Loan Agreement, the Company granted warrants to the lenders to purchase shares of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 per share, of which 287,704 warrants were immediately exercisable. The warrants are classified within stockholders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equity, as the settlement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 indexed to the Common Stock. The Company recognized the fair value of the warrants immediately exercisable within stockholders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 Black-Scholes valuation model at issuance.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Common Stock.</w:t>
      </w:r>
    </w:p>
    <w:p>
      <w:pPr>
        <w:spacing w:after="0" w:line="14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the fair value of warrants ($3.3 million), a 5% final payment fee ($1.5 million) and debt issuance costs ($0.3 million) are being accreted to interest expense over the term of the loan using the effective interest method.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SVB loan payable and net discount or premium balances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9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SVB loan payable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Final payment amount of SVB loan payable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 associated with accretion of final payment and other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SVB loan payable, current and noncurrent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SVB loan payable,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SVB loan payable, noncurrent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24,286</w:t>
            </w:r>
          </w:p>
        </w:tc>
        <w:tc>
          <w:tcPr>
            <w:tcW w:w="0" w:type="dxa"/>
            <w:vAlign w:val="bottom"/>
          </w:tcPr>
          <w:p>
            <w:pPr>
              <w:spacing w:after="0"/>
              <w:rPr>
                <w:sz w:val="1"/>
                <w:szCs w:val="1"/>
                <w:color w:val="auto"/>
              </w:rPr>
            </w:pPr>
          </w:p>
        </w:tc>
      </w:tr>
      <w:tr>
        <w:trPr>
          <w:trHeight w:val="21"/>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of principal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outstanding variable rate borrowings as of September 30, 2022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Year ending 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48"/>
        </w:trPr>
        <w:tc>
          <w:tcPr>
            <w:tcW w:w="9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April 30, 2020, the Company received loan proceeds in the amount of approximately $3.3 million under the Paycheck Protection Program (“PPP”) established under the Coronavirus Aid, Relief, and Economic Security Act. All or a portion of this loan and any accrued interest was eligible to be forgiven after a twenty-four week period as long as the borrower used the loan proceeds for eligible purposes, including payroll, benefits, rent and utilities, and maintained its payroll levels. On May 25, 2021, the PPP loan was forgiven and the Company recognized a gain from loan extinguishment in the amount of $3.3 million during the three months ended June 30, 2021.</w:t>
      </w:r>
    </w:p>
    <w:p>
      <w:pPr>
        <w:spacing w:after="0" w:line="139" w:lineRule="exact"/>
        <w:rPr>
          <w:sz w:val="20"/>
          <w:szCs w:val="20"/>
          <w:color w:val="auto"/>
        </w:rPr>
      </w:pPr>
    </w:p>
    <w:p>
      <w:pPr>
        <w:ind w:right="8080" w:firstLine="8"/>
        <w:spacing w:after="0" w:line="490" w:lineRule="auto"/>
        <w:tabs>
          <w:tab w:leader="none" w:pos="1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w:t>
      </w:r>
      <w:r>
        <w:rPr>
          <w:rFonts w:ascii="Arial" w:cs="Arial" w:eastAsia="Arial" w:hAnsi="Arial"/>
          <w:sz w:val="17"/>
          <w:szCs w:val="17"/>
          <w:b w:val="1"/>
          <w:bCs w:val="1"/>
          <w:color w:val="auto"/>
        </w:rPr>
        <w:t>’</w:t>
      </w:r>
      <w:r>
        <w:rPr>
          <w:rFonts w:ascii="Times New Roman" w:cs="Times New Roman" w:eastAsia="Times New Roman" w:hAnsi="Times New Roman"/>
          <w:sz w:val="17"/>
          <w:szCs w:val="17"/>
          <w:b w:val="1"/>
          <w:bCs w:val="1"/>
          <w:color w:val="auto"/>
        </w:rPr>
        <w:t xml:space="preserve"> Equity (Deficit) Redeemable Convertible Preferred Stock</w:t>
      </w:r>
    </w:p>
    <w:p>
      <w:pPr>
        <w:spacing w:after="0" w:line="1"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w:t>
      </w:r>
      <w:r>
        <w:rPr>
          <w:rFonts w:ascii="Arial" w:cs="Arial" w:eastAsia="Arial" w:hAnsi="Arial"/>
          <w:sz w:val="18"/>
          <w:szCs w:val="18"/>
          <w:color w:val="auto"/>
        </w:rPr>
        <w:t>“</w:t>
      </w:r>
      <w:r>
        <w:rPr>
          <w:rFonts w:ascii="Times New Roman" w:cs="Times New Roman" w:eastAsia="Times New Roman" w:hAnsi="Times New Roman"/>
          <w:sz w:val="18"/>
          <w:szCs w:val="18"/>
          <w:color w:val="auto"/>
        </w:rPr>
        <w:t>redeemable convertible preferred stock.</w:t>
      </w:r>
      <w:r>
        <w:rPr>
          <w:rFonts w:ascii="Arial" w:cs="Arial" w:eastAsia="Arial" w:hAnsi="Arial"/>
          <w:sz w:val="18"/>
          <w:szCs w:val="18"/>
          <w:color w:val="auto"/>
        </w:rPr>
        <w:t>”</w:t>
      </w:r>
    </w:p>
    <w:p>
      <w:pPr>
        <w:spacing w:after="0" w:line="1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all previously issued and outstanding redeemable convertible preferred stock was converted into an equivalent number of shares of Common Stock of the Company on a one-for-one basis, then multiplied by the exchange ratio pursuant to the Merger Agreement and the amounts were reclassified as additional paid-in capital.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w:t>
      </w:r>
    </w:p>
    <w:p>
      <w:pPr>
        <w:spacing w:after="0" w:line="152" w:lineRule="exact"/>
        <w:rPr>
          <w:sz w:val="20"/>
          <w:szCs w:val="20"/>
          <w:color w:val="auto"/>
        </w:rPr>
      </w:pPr>
    </w:p>
    <w:p>
      <w:pPr>
        <w:ind w:right="180" w:firstLine="324"/>
        <w:spacing w:after="0" w:line="260" w:lineRule="auto"/>
        <w:rPr>
          <w:sz w:val="20"/>
          <w:szCs w:val="20"/>
          <w:color w:val="auto"/>
        </w:rPr>
      </w:pPr>
      <w:r>
        <w:rPr>
          <w:rFonts w:ascii="Times New Roman" w:cs="Times New Roman" w:eastAsia="Times New Roman" w:hAnsi="Times New Roman"/>
          <w:sz w:val="18"/>
          <w:szCs w:val="18"/>
          <w:color w:val="auto"/>
        </w:rPr>
        <w:t>As of September 30, 2022,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of the capital stock of the Company entitled to vote and may require a separate class vote of the Common Stock.</w:t>
      </w:r>
    </w:p>
    <w:p>
      <w:pPr>
        <w:spacing w:after="0" w:line="142"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from time to time as may be declared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Through September 30, 2022, no dividends have been declared.</w:t>
      </w:r>
    </w:p>
    <w:p>
      <w:pPr>
        <w:spacing w:after="0" w:line="12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with respect to all matters voted on by the common stockholders of the Company.</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a reorganization of the Company, after payment to the preferred stockholders of their liquidation preferences, holders of Common Stock are entitled to share ratably in all remaining assets of the Company.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the Company had reserved Common Stock for future issuances as follows:</w:t>
      </w:r>
    </w:p>
    <w:p>
      <w:pPr>
        <w:spacing w:after="0" w:line="219"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options under stock plans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15,000,000</w:t>
      </w:r>
    </w:p>
    <w:p>
      <w:pPr>
        <w:spacing w:after="0" w:line="3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6,722,422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7,312,585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1,030,033</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5,588,506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9429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35,653,546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24765</wp:posOffset>
            </wp:positionV>
            <wp:extent cx="942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50165</wp:posOffset>
            </wp:positionV>
            <wp:extent cx="942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747" w:lineRule="exact"/>
        <w:rPr>
          <w:sz w:val="20"/>
          <w:szCs w:val="20"/>
          <w:color w:val="auto"/>
        </w:rPr>
      </w:pPr>
    </w:p>
    <w:p>
      <w:pPr>
        <w:sectPr>
          <w:pgSz w:w="11900" w:h="16838" w:orient="portrait"/>
          <w:cols w:equalWidth="0" w:num="2">
            <w:col w:w="9640" w:space="720"/>
            <w:col w:w="860"/>
          </w:cols>
          <w:pgMar w:left="320" w:top="513" w:right="359" w:bottom="1440" w:gutter="0" w:footer="0" w:header="0"/>
          <w:type w:val="continuous"/>
        </w:sectPr>
      </w:pPr>
    </w:p>
    <w:p>
      <w:pPr>
        <w:spacing w:after="0" w:line="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Second Amended and Restated Certificate of Incorporation provides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September 30, 2022 and December 31, 2021.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the following common stock warrants outstanding as of September 30, 2022 and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6"/>
        </w:trPr>
        <w:tc>
          <w:tcPr>
            <w:tcW w:w="97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56"/>
        </w:trPr>
        <w:tc>
          <w:tcPr>
            <w:tcW w:w="97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60" w:firstLine="324"/>
        <w:spacing w:after="0" w:line="260" w:lineRule="auto"/>
        <w:rPr>
          <w:sz w:val="20"/>
          <w:szCs w:val="20"/>
          <w:color w:val="auto"/>
        </w:rPr>
      </w:pPr>
      <w:r>
        <w:rPr>
          <w:rFonts w:ascii="Times New Roman" w:cs="Times New Roman" w:eastAsia="Times New Roman" w:hAnsi="Times New Roman"/>
          <w:sz w:val="18"/>
          <w:szCs w:val="18"/>
          <w:color w:val="auto"/>
        </w:rPr>
        <w:t>See Note 7 — Debt for a discussion of common stock warrants issued in conjunction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Loan Agreement in 2021 (such warrants, “Legacy Humacyte Common Stock Warrants”). There were no issuances, exercises or expirations of warrants during the nine months ended September 30, 2022. During the nine months ended September 30, 2021 there were 32,961 of warrants exercised that were issued in conjunction with a long-term debt agreement repaid in a prior reporting period. There were no expirations of warrants during the nine months ended September 30, 2021.</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The Company then evaluated the Common Stock Warrants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Public Warrants are considered to be “indexed to the Company’s own stock”. The agreement provides that in the event of a tender or exchange offer made to and accepted by holders of more than 50% of the outstanding shares of the Company’s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 always result in a change in control and would not preclude permanent equity classification of the Public Warrants. Based on this evaluation, the Company concluded that the Public Warrants meet the criteria to be classified within stockholders’ equity. The Public Warrants were initially recognized as equity on the Closing Date at a fair value of $2.80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on the Closing Date, at a fair value of $0.6 million, and the liability was remeasured to an estimated fair value of $0.5 million as of December 31, 2021. See Note 4 — Fair Value Measurements for a summary of the change in the fair value of the Private Placement Warrants during the three and nine months ended September 30, 2022 and 2021. The remeasurement of the Private Placement Warrant liability to a fair value of $0.3 million as of September 30, 2022 resulted in a non-cash loss of $0.1 million and a non-cash gain of $0.2 million for the three and nine months ended September 30, 2022, respectively, compared to a non-cash loss of less than $0.1 million for each of the three and nine months ended September 30, 2021. The remeasurement of the Private Placement Warrant liability is classified within Change in fair value of common stock warrant liabilities in the condensed consolidated statements of operations and comprehensive loss.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Monte Carlo simulation value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Liability</w:t>
      </w:r>
    </w:p>
    <w:p>
      <w:pPr>
        <w:spacing w:after="0" w:line="189" w:lineRule="exact"/>
        <w:rPr>
          <w:sz w:val="20"/>
          <w:szCs w:val="20"/>
          <w:color w:val="auto"/>
        </w:rPr>
      </w:pPr>
    </w:p>
    <w:p>
      <w:pPr>
        <w:ind w:right="60" w:firstLine="324"/>
        <w:spacing w:after="0" w:line="260" w:lineRule="auto"/>
        <w:rPr>
          <w:sz w:val="20"/>
          <w:szCs w:val="20"/>
          <w:color w:val="auto"/>
        </w:rPr>
      </w:pPr>
      <w:r>
        <w:rPr>
          <w:rFonts w:ascii="Times New Roman" w:cs="Times New Roman" w:eastAsia="Times New Roman" w:hAnsi="Times New Roman"/>
          <w:sz w:val="18"/>
          <w:szCs w:val="18"/>
          <w:color w:val="auto"/>
        </w:rPr>
        <w:t>Following the Closing, former holders of Legacy Humacyte common and preferred shares may receive up to 15,000,000 additional shares of Common Stock in the aggregate, in two equal tranches of 7,500,000 shares of Common Stock per tranche. The first and second tranches are issuable if the closing volume weighted average price (</w:t>
      </w:r>
      <w:r>
        <w:rPr>
          <w:rFonts w:ascii="Arial" w:cs="Arial" w:eastAsia="Arial" w:hAnsi="Arial"/>
          <w:sz w:val="18"/>
          <w:szCs w:val="18"/>
          <w:color w:val="auto"/>
        </w:rPr>
        <w:t>“</w:t>
      </w:r>
      <w:r>
        <w:rPr>
          <w:rFonts w:ascii="Times New Roman" w:cs="Times New Roman" w:eastAsia="Times New Roman" w:hAnsi="Times New Roman"/>
          <w:sz w:val="18"/>
          <w:szCs w:val="18"/>
          <w:color w:val="auto"/>
        </w:rPr>
        <w:t>VWAP</w:t>
      </w:r>
      <w:r>
        <w:rPr>
          <w:rFonts w:ascii="Arial" w:cs="Arial" w:eastAsia="Arial" w:hAnsi="Arial"/>
          <w:sz w:val="18"/>
          <w:szCs w:val="18"/>
          <w:color w:val="auto"/>
        </w:rPr>
        <w:t>”</w:t>
      </w:r>
      <w:r>
        <w:rPr>
          <w:rFonts w:ascii="Times New Roman" w:cs="Times New Roman" w:eastAsia="Times New Roman" w:hAnsi="Times New Roman"/>
          <w:sz w:val="18"/>
          <w:szCs w:val="18"/>
          <w:color w:val="auto"/>
        </w:rPr>
        <w:t>) per share of Common Stock quoted on Nasdaq (or the exchange on which the shares of Common Stock are then listed) is greater or equal to $15.00 and $20.00, respectively, over any 20 trading days within any 30 consecutive trading day period.</w:t>
      </w:r>
    </w:p>
    <w:p>
      <w:pPr>
        <w:spacing w:after="0" w:line="15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(expense) income,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ten-year period using the most reliable information available. The estimated fair value of the total Contingent Earnout Shares at December 31, 2021 was $103.7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See Note 4 — Fair Value Measurements for a summary of the change in the fair value of the Contingent Earnout Liability during the three and nine months ended September 30, 2022. The remeasurement of the Contingent Earnout Liability to a fair value of $45.0 million as of September 30, 2022 resulted in a non-cash loss of $1.0 million and a non-cash gain of $58.6 million for the three and nine months ended September 30, 2022, respectively, compared to a non-cash loss of $9.8 million for each of the three and nine months ended September 30, 2021.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Assumptions used in the valuations are described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0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At Closing, the 2021 Long-Term Incentive Plan, (the “2021 Plan”), and the 2021 Employee Stock Purchase Plan, (the “ESPP”), became effective. As of September 30, 2022, 7,312,585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outstanding on December 31 of the preceding year and (b) a number of shares of Common Stock determined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In December 2021, the Company’s board of directors determined that there would be no automatic increase in the number of shares reserved under the 2021 Plan or the ESPP on January 1, 2022.</w:t>
      </w:r>
    </w:p>
    <w:p>
      <w:pPr>
        <w:spacing w:after="0" w:line="14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2021 Plan, the Company can grant non-statutory stock options (“NSOs”), incentive stock options (“ISOs),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4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September 30, 2022, 5,233,533 and 504,254 shares of Common Stock remain reserved for outstanding options issued under the 2015 Plan and 2005 Plan, respectively.</w:t>
      </w:r>
    </w:p>
    <w:p>
      <w:pPr>
        <w:spacing w:after="0" w:line="16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 plans allow for the grant of awards that the Company believes aid in aligning the interests of award recipients with those of its stockholders.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compensation committee determines the specific terms of equity incentive grants, including the exercise price per share and vesting period for option awards. Option awards are granted with an exercise price equal to the fair market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at the date of grant.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Option awards under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option plans generally provide for accelerated vesting of the unvested portions of any option award in the event of an involuntary termination, as such term is defined in the relevant stock option agreement, of a grantee</w:t>
      </w:r>
      <w:r>
        <w:rPr>
          <w:rFonts w:ascii="Arial" w:cs="Arial" w:eastAsia="Arial" w:hAnsi="Arial"/>
          <w:sz w:val="18"/>
          <w:szCs w:val="18"/>
          <w:color w:val="auto"/>
        </w:rPr>
        <w:t>’</w:t>
      </w:r>
      <w:r>
        <w:rPr>
          <w:rFonts w:ascii="Times New Roman" w:cs="Times New Roman" w:eastAsia="Times New Roman" w:hAnsi="Times New Roman"/>
          <w:sz w:val="18"/>
          <w:szCs w:val="18"/>
          <w:color w:val="auto"/>
        </w:rPr>
        <w:t>s employment during the period that commences 30 days prior to the effective date of a corporate transaction and that ends 12 months following the effective date of such transaction. Additionally,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may, in its sole discretion, accelerate the vesting of any unvested stock options in the event of a corporate transaction.</w:t>
      </w:r>
    </w:p>
    <w:p>
      <w:pPr>
        <w:spacing w:after="0" w:line="13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stock options on the date of grant using the following assumptions in the Black-Scholes option-pricing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1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5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20" w:type="dxa"/>
            <w:vAlign w:val="bottom"/>
            <w:tcBorders>
              <w:bottom w:val="single" w:sz="8" w:color="auto"/>
            </w:tcBorders>
          </w:tcPr>
          <w:p>
            <w:pPr>
              <w:ind w:left="50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share price volatility (weighted average and</w:t>
            </w:r>
          </w:p>
        </w:tc>
        <w:tc>
          <w:tcPr>
            <w:tcW w:w="1640" w:type="dxa"/>
            <w:vAlign w:val="bottom"/>
            <w:gridSpan w:val="2"/>
          </w:tcPr>
          <w:p>
            <w:pPr>
              <w:ind w:left="440"/>
              <w:spacing w:after="0" w:line="175" w:lineRule="exact"/>
              <w:rPr>
                <w:sz w:val="20"/>
                <w:szCs w:val="20"/>
                <w:color w:val="auto"/>
              </w:rPr>
            </w:pPr>
            <w:r>
              <w:rPr>
                <w:rFonts w:ascii="Times New Roman" w:cs="Times New Roman" w:eastAsia="Times New Roman" w:hAnsi="Times New Roman"/>
                <w:sz w:val="16"/>
                <w:szCs w:val="16"/>
                <w:color w:val="auto"/>
              </w:rPr>
              <w:t>89.3% (89.2% to</w:t>
            </w:r>
          </w:p>
        </w:tc>
        <w:tc>
          <w:tcPr>
            <w:tcW w:w="1520" w:type="dxa"/>
            <w:vAlign w:val="bottom"/>
            <w:gridSpan w:val="2"/>
          </w:tcPr>
          <w:p>
            <w:pPr>
              <w:ind w:left="1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93.3% (89.0% to</w:t>
            </w:r>
          </w:p>
        </w:tc>
        <w:tc>
          <w:tcPr>
            <w:tcW w:w="15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91.4% (91.0% to</w:t>
            </w:r>
          </w:p>
        </w:tc>
        <w:tc>
          <w:tcPr>
            <w:tcW w:w="0" w:type="dxa"/>
            <w:vAlign w:val="bottom"/>
          </w:tcPr>
          <w:p>
            <w:pPr>
              <w:spacing w:after="0"/>
              <w:rPr>
                <w:sz w:val="1"/>
                <w:szCs w:val="1"/>
                <w:color w:val="auto"/>
              </w:rPr>
            </w:pPr>
          </w:p>
        </w:tc>
      </w:tr>
      <w:tr>
        <w:trPr>
          <w:trHeight w:val="23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 if applicable)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w:t>
            </w:r>
          </w:p>
        </w:tc>
        <w:tc>
          <w:tcPr>
            <w:tcW w:w="1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3.58% (3.46% to</w:t>
            </w:r>
          </w:p>
        </w:tc>
        <w:tc>
          <w:tcPr>
            <w:tcW w:w="15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 (1.89% to 3.65%)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 (0.62% to</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20"/>
                <w:szCs w:val="20"/>
                <w:color w:val="auto"/>
              </w:rPr>
            </w:pP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3"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grant any stock options during the three months ended September 30, 2021.</w:t>
      </w:r>
    </w:p>
    <w:p>
      <w:pPr>
        <w:spacing w:after="0" w:line="182"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Prior to the Merger, as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was not publicly traded, the fair value of the shares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underlying the options was determined by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with input from management, after considering independent third-party valuation reports. Subsequent to the Merger, the fair value of the Common Stock has been determined based on the closing price of the shares on the Nasdaq market.</w:t>
      </w:r>
    </w:p>
    <w:p>
      <w:pPr>
        <w:spacing w:after="0" w:line="137"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was determined based on a blended approach using the historical share volatility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to the expected term of the options.</w:t>
      </w:r>
    </w:p>
    <w:p>
      <w:pPr>
        <w:spacing w:after="0" w:line="131"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Company has estimated the dividend yield to be zero.</w:t>
      </w:r>
    </w:p>
    <w:p>
      <w:pPr>
        <w:spacing w:after="0" w:line="12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2022, there were 7,312,585 options remaining available for grant under the 2021 Plan. The Company has sufficient authorized and unissued shares to issue Common Stock in satisfaction of any awards available for grant under the 2021 Plan.</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show a summary of stock-based compensation expense included in the condensed consolidated statements of operations and comprehensive loss for the three and nine months ended September 30, 2022 and 2021, and remaining unrecognized cost as of September 30, 2022 and December 31, 2021: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60" w:type="dxa"/>
            <w:vAlign w:val="bottom"/>
            <w:vMerge w:val="continue"/>
          </w:tcPr>
          <w:p>
            <w:pPr>
              <w:spacing w:after="0"/>
              <w:rPr>
                <w:sz w:val="15"/>
                <w:szCs w:val="15"/>
                <w:color w:val="auto"/>
              </w:rPr>
            </w:pPr>
          </w:p>
        </w:tc>
        <w:tc>
          <w:tcPr>
            <w:tcW w:w="15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stock-based compensation cost</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0" w:type="dxa"/>
            <w:vAlign w:val="bottom"/>
          </w:tcPr>
          <w:p>
            <w:pPr>
              <w:spacing w:after="0"/>
              <w:rPr>
                <w:sz w:val="1"/>
                <w:szCs w:val="1"/>
                <w:color w:val="auto"/>
              </w:rPr>
            </w:pPr>
          </w:p>
        </w:tc>
      </w:tr>
      <w:tr>
        <w:trPr>
          <w:trHeight w:val="234"/>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weighted average period compensation costs to be recognized (years)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option activity under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 plans during the nine months ended September 30, 2022 is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6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1"/>
                <w:szCs w:val="11"/>
                <w:color w:val="auto"/>
              </w:rPr>
            </w:pP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4,408,060</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September 30,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904"/>
        </w:trPr>
        <w:tc>
          <w:tcPr>
            <w:tcW w:w="462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September 30, 2022.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effective federal tax rate for the three and nine months ended September 30, 2022 and 2021 was 0%, primarily as a result of estimated tax losses for the fiscal year to date offset by the increase in the valuation allowance in the net operating loss carryforwards.</w:t>
      </w:r>
    </w:p>
    <w:p>
      <w:pPr>
        <w:spacing w:after="0" w:line="142" w:lineRule="exact"/>
        <w:rPr>
          <w:sz w:val="20"/>
          <w:szCs w:val="20"/>
          <w:color w:val="auto"/>
        </w:rPr>
      </w:pPr>
    </w:p>
    <w:p>
      <w:pPr>
        <w:ind w:right="100" w:firstLine="324"/>
        <w:spacing w:after="0" w:line="265" w:lineRule="auto"/>
        <w:rPr>
          <w:sz w:val="20"/>
          <w:szCs w:val="20"/>
          <w:color w:val="auto"/>
        </w:rPr>
      </w:pPr>
      <w:r>
        <w:rPr>
          <w:rFonts w:ascii="Times New Roman" w:cs="Times New Roman" w:eastAsia="Times New Roman" w:hAnsi="Times New Roman"/>
          <w:sz w:val="18"/>
          <w:szCs w:val="18"/>
          <w:color w:val="auto"/>
        </w:rPr>
        <w:t>The Company did not record any income tax expense or benefit during the three and nine months ended September 30, 2022 and 2021. The Company has a net operating loss and has provided a valuation allowance against net deferred tax assets due to uncertainties regarding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realize these assets. All losses before income taxes arose in the United States.</w:t>
      </w:r>
    </w:p>
    <w:p>
      <w:pPr>
        <w:spacing w:after="0" w:line="173" w:lineRule="exact"/>
        <w:rPr>
          <w:sz w:val="20"/>
          <w:szCs w:val="20"/>
          <w:color w:val="auto"/>
        </w:rPr>
      </w:pPr>
    </w:p>
    <w:p>
      <w:pPr>
        <w:ind w:right="8400" w:firstLine="8"/>
        <w:spacing w:after="0" w:line="462" w:lineRule="auto"/>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Patent License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Duke University</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2006, the Company entered into a license agreement with Duke University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61" w:lineRule="exact"/>
        <w:rPr>
          <w:sz w:val="20"/>
          <w:szCs w:val="20"/>
          <w:color w:val="auto"/>
        </w:rPr>
      </w:pPr>
    </w:p>
    <w:p>
      <w:pPr>
        <w:ind w:right="40" w:firstLine="324"/>
        <w:spacing w:after="0" w:line="285" w:lineRule="auto"/>
        <w:rPr>
          <w:sz w:val="20"/>
          <w:szCs w:val="20"/>
          <w:color w:val="auto"/>
        </w:rPr>
      </w:pPr>
      <w:r>
        <w:rPr>
          <w:rFonts w:ascii="Times New Roman" w:cs="Times New Roman" w:eastAsia="Times New Roman" w:hAnsi="Times New Roman"/>
          <w:sz w:val="18"/>
          <w:szCs w:val="18"/>
          <w:color w:val="auto"/>
        </w:rPr>
        <w:t>In connection with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entry into the license agreement, the Company granted equity consideration to Duke in the form of 52,693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Under the license agreement, the Company also agreed to pay Duke:</w:t>
      </w:r>
    </w:p>
    <w:p>
      <w:pPr>
        <w:spacing w:after="0" w:line="115" w:lineRule="exact"/>
        <w:rPr>
          <w:sz w:val="20"/>
          <w:szCs w:val="20"/>
          <w:color w:val="auto"/>
        </w:rPr>
      </w:pPr>
    </w:p>
    <w:p>
      <w:pPr>
        <w:ind w:left="660" w:right="6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eligible sales of licensed products and licensed services, plus a low double-digit percentage of any sublicensing revenue;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royalty beginning in 2012, which increases in the calendar year immediately following the first commercial sale of licensed products or licensed services (whichever occurs first);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in license fees, as certain milestones are met.</w:t>
      </w:r>
    </w:p>
    <w:p>
      <w:pPr>
        <w:spacing w:after="0" w:line="184"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The license agreement remains effective until the later of (i) the last of the patent rights expires or (ii) four years after the Company</w:t>
      </w:r>
      <w:r>
        <w:rPr>
          <w:rFonts w:ascii="Arial" w:cs="Arial" w:eastAsia="Arial" w:hAnsi="Arial"/>
          <w:sz w:val="17"/>
          <w:szCs w:val="17"/>
          <w:color w:val="auto"/>
        </w:rPr>
        <w:t>’</w:t>
      </w:r>
      <w:r>
        <w:rPr>
          <w:rFonts w:ascii="Times New Roman" w:cs="Times New Roman" w:eastAsia="Times New Roman" w:hAnsi="Times New Roman"/>
          <w:sz w:val="17"/>
          <w:szCs w:val="17"/>
          <w:color w:val="auto"/>
        </w:rPr>
        <w:t>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prior notice to Duke. The Company agrees to indemnify Duke against certain third-party claims. Payments to Duke under the license agreement were immaterial during the periods presented.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12mm in diameter),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6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42"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agreement up to a maximum of less than $0.1 million per year for this license.</w:t>
      </w:r>
    </w:p>
    <w:p>
      <w:pPr>
        <w:spacing w:after="0" w:line="14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without Yale</w:t>
      </w:r>
      <w:r>
        <w:rPr>
          <w:rFonts w:ascii="Arial" w:cs="Arial" w:eastAsia="Arial" w:hAnsi="Arial"/>
          <w:sz w:val="18"/>
          <w:szCs w:val="18"/>
          <w:color w:val="auto"/>
        </w:rPr>
        <w:t>’</w:t>
      </w:r>
      <w:r>
        <w:rPr>
          <w:rFonts w:ascii="Times New Roman" w:cs="Times New Roman" w:eastAsia="Times New Roman" w:hAnsi="Times New Roman"/>
          <w:sz w:val="18"/>
          <w:szCs w:val="18"/>
          <w:color w:val="auto"/>
        </w:rPr>
        <w:t>s prior written consent, but such sublicense is subject to certain conditions.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its entry into the license agreement, the Company paid Yale upfront cash fees. The Company has also agreed to pay Yale:</w:t>
      </w:r>
    </w:p>
    <w:p>
      <w:pPr>
        <w:spacing w:after="0" w:line="185"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maintenance fees, increasing between the first anniversary of the agreement until the fifth anniversary for the coating and BVP licenses and until the fourth anniversary for the tubular prostheses license up to a maximum of less than $0.1 million per year;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upon achievement of certain regulatory and commercial milestones of $0.2 million and $0.6 million, respectively;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 double-digit percentage of sublicensing income.</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non-payment, uncured material breach, failure to obtain adequate insurance, bringing or assisting in bringing of a patent challenge against Yale, abandonment of the research and development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products or insolvency. The Company may terminate the license agreements (i) on 90 days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prior written notice to Yale, provided the Company is not in breach of the license agreements and has made all required payments to Yale thereunder and (ii) on written notice to Yale following an uncured material breach. With respect to the license agreements related to small-diameter vessels and BVP,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02" w:lineRule="exact"/>
        <w:rPr>
          <w:sz w:val="20"/>
          <w:szCs w:val="20"/>
          <w:color w:val="auto"/>
        </w:rPr>
      </w:pPr>
    </w:p>
    <w:p>
      <w:pPr>
        <w:ind w:right="620" w:firstLine="324"/>
        <w:spacing w:after="0" w:line="285"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financial condition, results of operations, or cash flows.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request in such capacity. The indemnification period covers all pertinent events and occurrences during the director</w:t>
      </w:r>
      <w:r>
        <w:rPr>
          <w:rFonts w:ascii="Arial" w:cs="Arial" w:eastAsia="Arial" w:hAnsi="Arial"/>
          <w:sz w:val="18"/>
          <w:szCs w:val="18"/>
          <w:color w:val="auto"/>
        </w:rPr>
        <w:t>’</w:t>
      </w:r>
      <w:r>
        <w:rPr>
          <w:rFonts w:ascii="Times New Roman" w:cs="Times New Roman" w:eastAsia="Times New Roman" w:hAnsi="Times New Roman"/>
          <w:sz w:val="18"/>
          <w:szCs w:val="18"/>
          <w:color w:val="auto"/>
        </w:rPr>
        <w:t>s or officer</w:t>
      </w:r>
      <w:r>
        <w:rPr>
          <w:rFonts w:ascii="Arial" w:cs="Arial" w:eastAsia="Arial" w:hAnsi="Arial"/>
          <w:sz w:val="18"/>
          <w:szCs w:val="18"/>
          <w:color w:val="auto"/>
        </w:rPr>
        <w:t>’</w:t>
      </w:r>
      <w:r>
        <w:rPr>
          <w:rFonts w:ascii="Times New Roman" w:cs="Times New Roman" w:eastAsia="Times New Roman" w:hAnsi="Times New Roman"/>
          <w:sz w:val="18"/>
          <w:szCs w:val="18"/>
          <w:color w:val="auto"/>
        </w:rPr>
        <w:t>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Fresenius Medical Care investments and distribution agreement</w:t>
      </w:r>
    </w:p>
    <w:p>
      <w:pPr>
        <w:spacing w:after="0" w:line="187" w:lineRule="exact"/>
        <w:rPr>
          <w:sz w:val="20"/>
          <w:szCs w:val="20"/>
          <w:color w:val="auto"/>
        </w:rPr>
      </w:pPr>
    </w:p>
    <w:p>
      <w:pPr>
        <w:ind w:right="140" w:firstLine="324"/>
        <w:spacing w:after="0" w:line="260"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of the Merger converted into 15,812,735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 In August 2021, Fresenius Medical Care invested $25 million as part of the PIPE Financing and received an additional 2.5 million shares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common stock.</w:t>
      </w:r>
    </w:p>
    <w:p>
      <w:pPr>
        <w:spacing w:after="0" w:line="1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arterial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6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47"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withdrawals of regulatory approval or (ii) for termination or expiration of any of our in-licenses that is necessary for the exercise of Fresenius Medical Care</w:t>
      </w:r>
      <w:r>
        <w:rPr>
          <w:rFonts w:ascii="Arial" w:cs="Arial" w:eastAsia="Arial" w:hAnsi="Arial"/>
          <w:sz w:val="18"/>
          <w:szCs w:val="18"/>
          <w:color w:val="auto"/>
        </w:rPr>
        <w:t>’</w:t>
      </w:r>
      <w:r>
        <w:rPr>
          <w:rFonts w:ascii="Times New Roman" w:cs="Times New Roman" w:eastAsia="Times New Roman" w:hAnsi="Times New Roman"/>
          <w:sz w:val="18"/>
          <w:szCs w:val="18"/>
          <w:color w:val="auto"/>
        </w:rPr>
        <w:t>s rights, or the satisfaction of its obligations, under the distribution agreement. In addition, Fresenius Medical Care may terminate the distribution agreement for convenience on a country-by-country basis upon not less than 12 months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Yale University</w:t>
      </w:r>
    </w:p>
    <w:p>
      <w:pPr>
        <w:spacing w:after="0" w:line="187" w:lineRule="exact"/>
        <w:rPr>
          <w:sz w:val="20"/>
          <w:szCs w:val="20"/>
          <w:color w:val="auto"/>
        </w:rPr>
      </w:pPr>
    </w:p>
    <w:p>
      <w:pPr>
        <w:ind w:right="200" w:firstLine="324"/>
        <w:spacing w:after="0" w:line="265" w:lineRule="auto"/>
        <w:rPr>
          <w:sz w:val="20"/>
          <w:szCs w:val="20"/>
          <w:color w:val="auto"/>
        </w:rPr>
      </w:pPr>
      <w:r>
        <w:rPr>
          <w:rFonts w:ascii="Times New Roman" w:cs="Times New Roman" w:eastAsia="Times New Roman" w:hAnsi="Times New Roman"/>
          <w:sz w:val="18"/>
          <w:szCs w:val="18"/>
          <w:color w:val="auto"/>
        </w:rPr>
        <w:t xml:space="preserve">The Company’s President and Chief Executive Officer, Laura Niklason M.D., PhD., serves as an Adjunct Professor in Anesthesia at Yale University. As of September 30, 2022 and December 31, 2021, the Company was a party to license agreements with Yale University as described in Note 11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Commitments and Contingencies, above.</w:t>
      </w:r>
    </w:p>
    <w:p>
      <w:pPr>
        <w:spacing w:after="0" w:line="15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related party expenses included in the statements of operations and comprehensive loss for the three and nine months ended September 30,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vMerge w:val="continue"/>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expenses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3"/>
          </w:tcPr>
          <w:p>
            <w:pPr>
              <w:jc w:val="right"/>
              <w:ind w:right="868"/>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on Form 10-K for the year ended December 31, 2021 (“Annual Report”), filed with the Securities and Exchange Commission (the “SEC”) on March 29, 2022.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pioneering the development and manufacture of off-the-shelf, universally implantable, bioengineered human tissues, advanced tissue constructs and organ systems with the goal of improving the lives of patients and transforming the practice of medicine. We believe our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product candidates for use in the treatment of diseases and conditions across a range of anatomic locations in multiple therapeutic areas.</w:t>
      </w:r>
    </w:p>
    <w:p>
      <w:pPr>
        <w:spacing w:after="0" w:line="14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initially using our proprietary, scientific technology platform to engineer and manufacture human, acellular vessels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arterial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6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conducting Phase II and Phase III trials of our 6 millimeter HAV across two therapeutic indications, vascular trauma and AV access for hemodialysis, as well as continuing long-term follow up of patients in our Phase II PAD studies.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III trials, we intend to submit a Biologics License Application (“BLA”) to the FDA for an indication in vascular trauma in mid-2023.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generated no product revenue and incurred operating losses and negative cash flows from operations in each year since our inception in 2004. As of September 30, 2022 and December 31, 2021, we had an accumulated deficit of $422.8 million and $414.6 million, respectively, and working capital of $156.7 million and $218.3 million, respectively. Our operating losses were approximately $23.5 million and $63.8 million for the three and nine months ended September 30, 2022, respectively, and $20.5 million and $59.6 million for the three and nine months ended September 30, 2021, respectively. Net cash flows used in operating activities were $52.2 million and $59.7 million during the nine months ended September 30, 2022 and 2021,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we had cash and cash equivalents and short-term investments of $171.7 million. We believe our cash and cash equivalents and short-term investments on hand will be sufficient to fund operations, including clinical trial expenses and capital expenditure requirements,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spacing w:after="0" w:line="15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5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21" w:lineRule="exact"/>
        <w:rPr>
          <w:sz w:val="20"/>
          <w:szCs w:val="20"/>
          <w:color w:val="auto"/>
        </w:rPr>
      </w:pPr>
    </w:p>
    <w:p>
      <w:pPr>
        <w:ind w:left="660" w:right="26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vascular trauma and AV access for hemodialysis;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in vascular trauma and hemodialysis AV access;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84" w:lineRule="exact"/>
        <w:rPr>
          <w:rFonts w:ascii="Times New Roman" w:cs="Times New Roman" w:eastAsia="Times New Roman" w:hAnsi="Times New Roman"/>
          <w:sz w:val="18"/>
          <w:szCs w:val="18"/>
          <w:color w:val="231F20"/>
        </w:rPr>
      </w:pPr>
    </w:p>
    <w:p>
      <w:pPr>
        <w:ind w:left="660" w:right="44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21"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and expenses for compliance with public company reporting requirements under the Securities Exchange Act of 1934 (the “Exchange Act”) and rules implemented by the SEC and The Nasdaq Stock Market LLC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Public Company Costs</w:t>
      </w:r>
    </w:p>
    <w:p>
      <w:pPr>
        <w:spacing w:after="0" w:line="202"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On August 26, 2021 (the “Closing Date”), Legacy Humacyte and AHAC consummated a merger pursuant to that certain Business Combination Agreement, dated as of February 17, 2021 (the “Merger Agreement”), by and among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 Operations prior to the Merger included in this Quarterly Report are those of Legacy Humacyte.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of the Merger (the “Effective Time”), (1) each outstanding share of common stock of Legacy Humacyte (“Legacy Humacyte common stock”) was cancelled and converted into the right to receive approximately 0.26260 shares of the Company’s common stock, par value $0.0001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resulting in the issuance of a total of 75,656,935 shares of Common Stock. Prior holders of shares of Legacy Humacyte common stock and Legacy Humacyte preferred stock also received the contingent right to receive certain Contingent Earnout Shares (as defined below), for each share owned by each such Legacy Humacyte stockholder that was outstanding immediately prior to the closing of the Merger (the “Closing”). In addition, certain investors purchased an aggregate of 17,500,000 shares of Common Stock (such investors, the “PIPE Investors”) in a private placement that closed concurrently with the Closing for an aggregate purchase price of $175 million (the “PIPE Financing”). Additionally, at the Closing, 2,500,000 shares of AHAC’s Class B common stock (“Founder Shares”) automatically converted into shares of Common Stock on a one-for-one basis.</w:t>
      </w:r>
    </w:p>
    <w:p>
      <w:pPr>
        <w:spacing w:after="0" w:line="1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Date, former holders of Legacy Humacyte common stock and Legacy Humacyte preferred stock may receive up to 15,000,000 additional shares of Common Stock (“Contingent Earnout Shares”) in the aggregate in two equal tranches if the volume-weighted average closing sale price of our Common Stock is greater than or equal to $15.00 and $20.00, respectively, for any 20 trading days within any 30 consecutive trading day period.</w:t>
      </w:r>
    </w:p>
    <w:p>
      <w:pPr>
        <w:spacing w:after="0" w:line="15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price information to give effect to the exchange ratio established in the Merger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including shelter-in-place orders and the mandatory shutdown of certain businesses. The outbreak and government measures taken in response have had a significant impact, both direct and indirect, on our business, as supply chains have been disrupted, and facilities and production have been suspended. The future progression of the COVID-19 pandemic, including any existing or potential variants of the virus which causes COVID-19, and its effects on our business and operations are uncertain. The COVID-19 pandemic may affect our ability to initiate and complete preclinical studies, delay our clinical trials or future clinical trials, disrupt regulatory activities, or have other adverse effects on our business and operations. The pandemic has already caused significant disruptions in the financial markets and may continue to cause such disruptions, which could impact our ability to raise additional funds to support our operations. Moreover, the pandemic has significantly impacted economies worldwide and could result in adverse effects on our business and operations.</w:t>
      </w:r>
    </w:p>
    <w:p>
      <w:pPr>
        <w:spacing w:after="0" w:line="16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date, the COVID-19 pandemic has not resulted in material financial impacts or impairment losses in the carrying values of our assets and we are not aware of any specific related event or circumstance that would require us to revise the estimates reflected in our financial statements. The extent to which the COVID-19 pandemic will directly or indirectly impact our business, results of operations and financial condition, including current and future clinical trials and research and development costs, will depend on future developments that are highly uncertain, including as a result of new information that may emerge concerning COVID-19, the actions taken to contain or treat it, the emergence of new virus variants, and the duration and intensity of the related economic impact of the COVID-19 pandemic.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of our revenue has been derived from government and other grants. Since inception we have been awarded grants from the California Institute of Regenerative Medicine (“CIRM”), the National Institutes of Health (“NIH”), and the Department of Defense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4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overhead expenses for personnel in research and development functions, including stock-based compensation and benefits;</w:t>
      </w:r>
    </w:p>
    <w:p>
      <w:pPr>
        <w:spacing w:after="0" w:line="184"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facility lease and maintenance costs;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leasehold improvements, laboratory equipment and computers;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manufacturing development and expanded-capabilities initiatives;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technologies.</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research and development resources are currently focused on our Phase II and III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II and Phase III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6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39" w:lineRule="exact"/>
        <w:rPr>
          <w:sz w:val="20"/>
          <w:szCs w:val="20"/>
          <w:color w:val="auto"/>
        </w:rPr>
      </w:pPr>
    </w:p>
    <w:p>
      <w:pPr>
        <w:ind w:left="660" w:right="3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preclinical development activities, our ongoing clinical trials and any additional clinical trials that we may conduct, and other research and development activities;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U.S. Food and Drug Administration (“FDA”) and non-U.S. regulators;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product candidates that obtain marketing approval;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Loan Agreement, finance leases, and our PPP loan during the periods each were outstanding, (iv) a change in fair value of private placement common stock warrant liabilities related to the Private Placement Warrants, which we assumed in connection with the Merger, and which are subject to remeasurement to fair value at each balance sheet date resulting in a non-cash gain or loss, (v) a non-cash gain on PPP loan forgiveness during the nine months ended September 30, 2021, and (vi) during the nine months ended September 30, 2021, legal, accounting, and underwriting fees and other costs directly related to the consummation of the Merger that were associated with the aforementioned warrant liabilities.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(25,281)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(31,563)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revenue was less than $0.1 million and approximately $0.2 million, respectively, and related to our grant from DoD. The decrease in revenue of $0.2 million, or 87%, relates to the timing of reimbursement of certain allowable costs related to our grant from DoD, currently estimated to total approximately $6.8 million over the life of the grant.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$2.0 million, or 13%, from $15.4 million for the three months ended September 30, 2021 to $17.3 million for the three months ended September 30, 2022. The increase was primarily driven by expenses to support our expanded research and development initiatives, including (i) increased salaries and benefits of $0.9 million, (ii) a $0.7 million increase in external services, (iii) a $0.4 million increase in other research and development expenses including software costs, professional fees and facility maintenance, and (iv) a $0.2 million increase in the purchase of materials and supplies to be used in the development of our commercial-scale manufacturing process and other research and development initiatives, partially offset by a $0.3 million decrease in non-cash stock compensation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$6.2 million and $5.4 million for the three months ended September 30, 2022 and 2021, respectively. The increase in general and administrative expenses during this period of $0.8 million, or 15%, was primarily driven by expenses associated with the transition to public company status and company growth, including (i) a $0.4 million increase in salaries and benefits due to higher headcount, including the initial members of the planned commercial launch team, (ii) a $0.3 million increase in external services and (iii) a $0.2 million increase in professional fees, partially offset by a $0.1 million decrease in non-cash stock compensation expense.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18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Total other expense, net was $1.8 million and $11.0 million for the three months ended September 30, 2022 and 2021, respectively. The decrease in expense of $9.2 million primarily resulted from a $8.8 million reduction in the non-cash loss related to the remeasurement of the Contingent Earnout Liability as of September 30, 2022 compared to September 30, 2021 and a $0.9 million increase in interest income, partially offset by a $0.4 million increase in interest expense primarily related to our loan facility with Silicon Valley Bank.</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2022 and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(69,062)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60,817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and 2021, revenue was approximately $1.6 million and $1.1 million, respectively, and related to our grant from DoD. The increase in revenue of $0.5 million, or 44%, relates to the timing of reimbursement of certain allowable costs related to our grant from DoD, currently estimated to total approximately $6.8 million over the life of the grant.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45,091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from $45.1 million for the nine months ended September 30, 2021 to $48.3 million for the nine months ended September 30, 2022. The increase of $3.2 million, or 7%, was primarily driven by expenses to support our expanded research and development initiatives, including (i) increased salaries and benefits of $2.2 million, (ii) a $1.0 million increase in other research and development expenses including facility maintenance, travel and software costs, (iii) a $0.7 million increase in external services including the support of clinical studies, and (iv) a $0.6 million increase in the purchase of materials and supplies to be used in the development of our commercial-scale manufacturing process and other research and development initiatives, partially offset by a $1.2 million decrease in non-cash stock compensation expense.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$17.1 million and $15.6 million for the nine months ended September 30, 2022 and 2021, respectively. The increase in general and administrative expenses during this period of $1.5 million, or 9%, was primarily driven by expenses associated with the transition to public company status and company growth, including (i) a $1.2 million increase in salaries and benefits and recruiting costs primarily due to higher headcount, including the initial members of the planned commercial launch team, (ii) increased professional fees of $0.7 million primarily related to increased legal and audit fees, (iii) a $0.5 million increase in insurance costs, (iv) a $0.4 million increase in external services, and (v) a $0.3 million increase in other general and administrative expenses, partially offset by a $1.7 million decrease in non-cash stock compensation expense primarily due to higher costs in 2021 resulting from restructuring of the management team to accommodate the transition to being a public company.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00"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Total other income, net was $55.5 million for the nine months ended September 30, 2022, compared to total other expense, net of $9.5 million for the nine months ended September 30, 2021. The increase in income of $65.0 million primarily resulted from (i) a $58.6 million non-cash gain related to the remeasurement of the Contingent Earnout Liability as of September 30, 2022, compared to a $9.8 million non-cash loss during the nine months ended September 30, 2021, (ii) a $1.2 million increase in interest income, and (iii) a $0.2 million non-cash gain related to the remeasurement of our private placement warrant liability, partially offset by (i) a $3.3 million gain on PPP loan forgiveness we recognized during the nine months ended September 30, 2021 and (ii) a $1.6 million increase in interest expense primarily related to our loan facility with Silicon Valley Bank, which commenced in March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0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September 30, 2022 and December 31, 2021, we had an accumulated deficit of $422.8 million and $414.6 million,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we had cash and cash equivalents and short-term investments of $171.7 million and $225.5 million, respectively. We believe our cash and cash equivalents and short-term investments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w:t>
      </w:r>
    </w:p>
    <w:p>
      <w:pPr>
        <w:spacing w:after="0" w:line="14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As of September 30, 2022 and December 31, 2021, we had working capital of </w:t>
      </w:r>
      <w:r>
        <w:rPr>
          <w:rFonts w:ascii="Times New Roman" w:cs="Times New Roman" w:eastAsia="Times New Roman" w:hAnsi="Times New Roman"/>
          <w:sz w:val="18"/>
          <w:szCs w:val="18"/>
          <w:color w:val="000000"/>
        </w:rPr>
        <w:t>$156.7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$218.3 million</w:t>
      </w:r>
      <w:r>
        <w:rPr>
          <w:rFonts w:ascii="Times New Roman" w:cs="Times New Roman" w:eastAsia="Times New Roman" w:hAnsi="Times New Roman"/>
          <w:sz w:val="18"/>
          <w:szCs w:val="18"/>
          <w:color w:val="231F20"/>
        </w:rPr>
        <w:t xml:space="preserve">, respectively. As of September 30, 2022, we had </w:t>
      </w:r>
      <w:r>
        <w:rPr>
          <w:rFonts w:ascii="Times New Roman" w:cs="Times New Roman" w:eastAsia="Times New Roman" w:hAnsi="Times New Roman"/>
          <w:sz w:val="18"/>
          <w:szCs w:val="18"/>
          <w:color w:val="000000"/>
        </w:rPr>
        <w:t>$30.0 million</w:t>
      </w:r>
      <w:r>
        <w:rPr>
          <w:rFonts w:ascii="Times New Roman" w:cs="Times New Roman" w:eastAsia="Times New Roman" w:hAnsi="Times New Roman"/>
          <w:sz w:val="18"/>
          <w:szCs w:val="18"/>
          <w:color w:val="231F20"/>
        </w:rPr>
        <w:t xml:space="preserve"> outstanding principal and </w:t>
      </w:r>
      <w:r>
        <w:rPr>
          <w:rFonts w:ascii="Times New Roman" w:cs="Times New Roman" w:eastAsia="Times New Roman" w:hAnsi="Times New Roman"/>
          <w:sz w:val="18"/>
          <w:szCs w:val="18"/>
          <w:color w:val="000000"/>
        </w:rPr>
        <w:t>$20.0 million</w:t>
      </w:r>
      <w:r>
        <w:rPr>
          <w:rFonts w:ascii="Times New Roman" w:cs="Times New Roman" w:eastAsia="Times New Roman" w:hAnsi="Times New Roman"/>
          <w:sz w:val="18"/>
          <w:szCs w:val="18"/>
          <w:color w:val="231F20"/>
        </w:rPr>
        <w:t xml:space="preserve"> of contingent borrowing capacity under our Loan Agreement. We do not currently have any committed external source of funds beyond the Loan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debt repayments (for additional information, see below and Note 7 — Debt to our unaudited condensed consolidated financial statements contained elsewhere in this Quarterly Report); (3) employee wages, benefits, and incentives; and (4) financing and operating lease payments (for additional information see below).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2022, we had non-cancellable purchase com</w:t>
      </w:r>
      <w:r>
        <w:rPr>
          <w:rFonts w:ascii="Times New Roman" w:cs="Times New Roman" w:eastAsia="Times New Roman" w:hAnsi="Times New Roman"/>
          <w:sz w:val="18"/>
          <w:szCs w:val="18"/>
          <w:color w:val="231F20"/>
        </w:rPr>
        <w:t>mitments of $16.8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and have a distribution agreement with Fresenius Medical Care. The amount and timing of any potential milestone payments, license fee payments, royalties and other payments that we may be required to make under these agreements are unknown or uncertain at September 30, 2022. For additional information regarding our agreement with Fresenius Medical Care, and our agreements with Duke University and Yale University, see Note 12 — Related Party Transactions and Note 11 — Commitments and Contingencies, respectively, to our unaudited condensed consolidated financial statements contained elsewhere in this Quarterly Report.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In March 2021, we entered into the Loan Agreement with Silicon Valley Bank and SVB Innovation Credit Fund VIII, L.P., as amended in June and September 2021, which provides a term loan facility of up to $50.0 million, with a maturity date of March 1, 2025. The initial term loan tranche of $20.0 million was funded upon the closing of the Loan Agreement, and on October 13, 2021, we borrowed an additional $10.0 million under the Loan Agreement. The additional $20.0 million becomes accessible in two tranches of $10.0 million each contingent on the achievement of certain business and clinical development milestones. As a result of the additional borrowing in October 2021, the commencement of repayment of principal was deferred until no earlier than July 2023 and potentially later if the remaining tranches are drawn. As of September 30, 2022, principal of $30.0 million was outstanding under the Loan Agreement and we were in compliance with all covenants in all material respects. Assuming no additional borrowings under the Loan Agreement, we expect to make interest payments of approximately $5.3 million under the Loan Agreement from October 1, 2022 through March 1, 2025, approximately $3.1 million of which we expect to pay within one year of September 30, 2022.</w:t>
      </w:r>
    </w:p>
    <w:p>
      <w:pPr>
        <w:spacing w:after="0" w:line="148" w:lineRule="exact"/>
        <w:rPr>
          <w:sz w:val="20"/>
          <w:szCs w:val="20"/>
          <w:color w:val="auto"/>
        </w:rPr>
      </w:pPr>
    </w:p>
    <w:p>
      <w:pPr>
        <w:ind w:right="380" w:firstLine="324"/>
        <w:spacing w:after="0" w:line="289" w:lineRule="auto"/>
        <w:rPr>
          <w:sz w:val="20"/>
          <w:szCs w:val="20"/>
          <w:color w:val="auto"/>
        </w:rPr>
      </w:pPr>
      <w:r>
        <w:rPr>
          <w:rFonts w:ascii="Times New Roman" w:cs="Times New Roman" w:eastAsia="Times New Roman" w:hAnsi="Times New Roman"/>
          <w:sz w:val="17"/>
          <w:szCs w:val="17"/>
          <w:color w:val="231F20"/>
        </w:rPr>
        <w:t>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Borrowings under the Loan Agreement bear interest at a rate of 7.5% or the sum of the Wall Street Journal Prime Rate plus 4.25%, whichever is greater (</w:t>
      </w:r>
      <w:r>
        <w:rPr>
          <w:rFonts w:ascii="Times New Roman" w:cs="Times New Roman" w:eastAsia="Times New Roman" w:hAnsi="Times New Roman"/>
          <w:sz w:val="18"/>
          <w:szCs w:val="18"/>
          <w:color w:val="000000"/>
        </w:rPr>
        <w:t>10.50% as of September 30, 2022)</w:t>
      </w:r>
      <w:r>
        <w:rPr>
          <w:rFonts w:ascii="Times New Roman" w:cs="Times New Roman" w:eastAsia="Times New Roman" w:hAnsi="Times New Roman"/>
          <w:sz w:val="18"/>
          <w:szCs w:val="18"/>
          <w:color w:val="231F20"/>
        </w:rPr>
        <w:t>. In addition, the lenders were granted warrants to purchase common stock. Interest-only payments on the principal amount outstanding are due monthly beginning in the first month after the loan is dispersed. We are required to repay principal beginning on July 1, 2023, unless we draw the remaining two loan tranches, in which case repayment of the outstanding principal amount will begin no later than April 1, 2024. Additionally, we are obligated to pay to the lenders a final payment fee of $1.5 million upon the maturity of the loan.</w:t>
      </w:r>
    </w:p>
    <w:p>
      <w:pPr>
        <w:spacing w:after="0" w:line="14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Our contractual obligations under the Loan Agreement as of September 30, 2022 include $4.3 million of cash payments related to principal within one year and $25.7 million of principal payments within one to three years.</w:t>
      </w:r>
    </w:p>
    <w:p>
      <w:pPr>
        <w:spacing w:after="0" w:line="13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April 2020, we received loan proceeds in the amount of approximately $3.3 million under the PPP. The loan and accrued interest were forgivable after a 24-week period as long as we used the loan proceeds for eligible purposes, including payroll, benefits, rent and utilities, and maintained our payroll levels. On May 25, 2021, the Small Business Administration approved the forgiveness of the outstanding amount of the PPP loan and we recognized a gain from loan extinguishment in the amount of $3.3 million during the three months ended June 30, 2021.</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September 30, 2022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200"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On September 1, 2022, the Company entered into an agreement for the sale from time to time up to $80.0 million of shares of Common Stock pursuant to a sales agreement (the “ATM Facility”). As of September 30, 2022, the Company has not conducted any sales of Common Stock under the ATM Facility.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hemodialysis AV access and submit biologics license applications for FDA approval, (ii) if marketing approval is obtained, to launch and commercialize our HAVs for hemodialysis AV access and vascular repair in the U.S. market, including subsequent launches in key international markets, (iii) advance our pipeline in major markets, including PAD Phase III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19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34"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Quarterly Report entitled “Risk Factors” for additional risks associated with our substantial capital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liabilities assumed in Merger</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(59,742)</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240,449</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180" w:right="560" w:hanging="172"/>
        <w:spacing w:after="0" w:line="229" w:lineRule="auto"/>
        <w:tabs>
          <w:tab w:leader="none" w:pos="199"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the change in fair value of our Contingent Earnout Liability and our common stock warrant liabilities, and in 2021 includes a gain on PPP loan forgiveness.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decrease in net cash used in operating activities from the nine months ended September 30, 2021 to the nine months ended September 30,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was primarily due to </w:t>
      </w:r>
      <w:r>
        <w:rPr>
          <w:rFonts w:ascii="Times New Roman" w:cs="Times New Roman" w:eastAsia="Times New Roman" w:hAnsi="Times New Roman"/>
          <w:sz w:val="18"/>
          <w:szCs w:val="18"/>
          <w:color w:val="231F20"/>
        </w:rPr>
        <w:t>$12.4 million in payments of liabilities acquired in the Merger during the nine months ended September 30, 2021, partially offset by</w:t>
      </w:r>
      <w:r>
        <w:rPr>
          <w:rFonts w:ascii="Times New Roman" w:cs="Times New Roman" w:eastAsia="Times New Roman" w:hAnsi="Times New Roman"/>
          <w:sz w:val="18"/>
          <w:szCs w:val="18"/>
          <w:color w:val="000000"/>
        </w:rPr>
        <w:t xml:space="preserve"> increased spending on pre-clinical, clinical and pre-commercial activities as well as payroll and personnel expenses.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Investing Activities</w:t>
      </w:r>
    </w:p>
    <w:p>
      <w:pPr>
        <w:spacing w:after="0" w:line="18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w:t>
      </w:r>
      <w:r>
        <w:rPr>
          <w:rFonts w:ascii="Times New Roman" w:cs="Times New Roman" w:eastAsia="Times New Roman" w:hAnsi="Times New Roman"/>
          <w:sz w:val="18"/>
          <w:szCs w:val="18"/>
          <w:color w:val="000000"/>
        </w:rPr>
        <w:t>the nine months ended September 30, 2022 and 2021 primarily consisted of the purchases of laboratory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equipment.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decrease in net cash provided by financing activities for the nine months ended September 30, 2022 was primarily due to</w:t>
      </w:r>
      <w:r>
        <w:rPr>
          <w:rFonts w:ascii="Times New Roman" w:cs="Times New Roman" w:eastAsia="Times New Roman" w:hAnsi="Times New Roman"/>
          <w:sz w:val="18"/>
          <w:szCs w:val="18"/>
          <w:color w:val="231F20"/>
        </w:rPr>
        <w:t xml:space="preserve"> $242.4 million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proceeds received in August 2021 in connection with the Merger, including proceeds from the trust account that we obtained in connection with the closing of the Merger, as well as from the PIPE Financing, along with $19.7 million of net proceeds in connection with </w:t>
      </w:r>
      <w:r>
        <w:rPr>
          <w:rFonts w:ascii="Times New Roman" w:cs="Times New Roman" w:eastAsia="Times New Roman" w:hAnsi="Times New Roman"/>
          <w:sz w:val="18"/>
          <w:szCs w:val="18"/>
          <w:color w:val="231F20"/>
        </w:rPr>
        <w:t>draws under our loan facility with Silicon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Valley Bank in March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SEC rules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U.S. generally accepted accounting principles.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2021 and 2020, included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as defined by Item 10 of Regulation S-K and, thus, are not required to provide the information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risk factors are disclosed in Part I, Item 1A of our Annual Report. There have been no material changes during the nine months ended September 30, 2022 from or updates to the risk factors discussed in Part I, Item 1A, </w:t>
      </w:r>
      <w:hyperlink r:id="rId67">
        <w:r>
          <w:rPr>
            <w:rFonts w:ascii="Times New Roman" w:cs="Times New Roman" w:eastAsia="Times New Roman" w:hAnsi="Times New Roman"/>
            <w:sz w:val="18"/>
            <w:szCs w:val="18"/>
            <w:u w:val="single" w:color="auto"/>
            <w:color w:val="0E32E1"/>
          </w:rPr>
          <w:t>Risk Factors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513" w:right="9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40"/>
          </w:cols>
          <w:pgMar w:left="320" w:top="513" w:right="33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wp:posOffset>
            </wp:positionV>
            <wp:extent cx="62147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7" w:lineRule="exact"/>
        <w:rPr>
          <w:sz w:val="20"/>
          <w:szCs w:val="20"/>
          <w:color w:val="auto"/>
        </w:rPr>
      </w:pPr>
    </w:p>
    <w:p>
      <w:pPr>
        <w:ind w:right="40"/>
        <w:spacing w:after="0" w:line="250"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Open Market Sale Agreement, dated September 1, 2022, by and between Humacyte, Inc. and Jefferies LLC, (incorporated by reference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to Exhibit 1.2 to Humacyte, Inc.’s Registration Statement on Form S-3 (File No. 333-267225), filed with the SEC on September 1,</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2022).</w:t>
        </w:r>
      </w:hyperlink>
    </w:p>
    <w:p>
      <w:pPr>
        <w:spacing w:after="0" w:line="6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720"/>
            <w:col w:w="9760"/>
          </w:cols>
          <w:pgMar w:left="320" w:top="51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420" w:type="dxa"/>
            <w:vAlign w:val="bottom"/>
            <w:tcBorders>
              <w:top w:val="single" w:sz="8" w:color="0000FF"/>
            </w:tcBorders>
            <w:gridSpan w:val="2"/>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380" w:type="dxa"/>
            <w:vAlign w:val="bottom"/>
            <w:tcBorders>
              <w:top w:val="single" w:sz="8" w:color="0000FF"/>
            </w:tcBorders>
          </w:tcPr>
          <w:p>
            <w:pPr>
              <w:spacing w:after="0"/>
              <w:rPr>
                <w:sz w:val="15"/>
                <w:szCs w:val="15"/>
                <w:color w:val="auto"/>
              </w:rPr>
            </w:pP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8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46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8760" w:type="dxa"/>
            <w:vAlign w:val="bottom"/>
            <w:tcBorders>
              <w:top w:val="single" w:sz="8" w:color="0000FF"/>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1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 following materials from Humacyte, Inc.’s Quarterly Report on Form 10-Q for the quarter ended September 30, 2022, formatted in</w:t>
            </w:r>
          </w:p>
        </w:tc>
      </w:tr>
      <w:tr>
        <w:trPr>
          <w:trHeight w:val="203"/>
        </w:trPr>
        <w:tc>
          <w:tcPr>
            <w:tcW w:w="1460" w:type="dxa"/>
            <w:vAlign w:val="bottom"/>
          </w:tcPr>
          <w:p>
            <w:pPr>
              <w:spacing w:after="0"/>
              <w:rPr>
                <w:sz w:val="17"/>
                <w:szCs w:val="17"/>
                <w:color w:val="auto"/>
              </w:rPr>
            </w:pPr>
          </w:p>
        </w:tc>
        <w:tc>
          <w:tcPr>
            <w:tcW w:w="97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(Inline eXtensible Business Reporting Language): (i) Condensed Consolidated Balance Sheets (unaudited), (ii)</w:t>
            </w:r>
          </w:p>
        </w:tc>
      </w:tr>
      <w:tr>
        <w:trPr>
          <w:trHeight w:val="203"/>
        </w:trPr>
        <w:tc>
          <w:tcPr>
            <w:tcW w:w="1460" w:type="dxa"/>
            <w:vAlign w:val="bottom"/>
          </w:tcPr>
          <w:p>
            <w:pPr>
              <w:spacing w:after="0"/>
              <w:rPr>
                <w:sz w:val="17"/>
                <w:szCs w:val="17"/>
                <w:color w:val="auto"/>
              </w:rPr>
            </w:pPr>
          </w:p>
        </w:tc>
        <w:tc>
          <w:tcPr>
            <w:tcW w:w="97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(iii) Condensed Consolidated Statements of</w:t>
            </w:r>
          </w:p>
        </w:tc>
      </w:tr>
      <w:tr>
        <w:trPr>
          <w:trHeight w:val="216"/>
        </w:trPr>
        <w:tc>
          <w:tcPr>
            <w:tcW w:w="146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Changes in Redeemable Convertible Preferred Stock and Stockholders’ Equity (Deficit) (unaudited), (iv) Condensed Consolidated</w:t>
            </w:r>
          </w:p>
        </w:tc>
      </w:tr>
      <w:tr>
        <w:trPr>
          <w:trHeight w:val="234"/>
        </w:trPr>
        <w:tc>
          <w:tcPr>
            <w:tcW w:w="1460" w:type="dxa"/>
            <w:vAlign w:val="bottom"/>
          </w:tcPr>
          <w:p>
            <w:pPr>
              <w:spacing w:after="0"/>
              <w:rPr>
                <w:sz w:val="20"/>
                <w:szCs w:val="20"/>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Statements of Cash Flows (unaudited), (v) Notes to Condensed Consolidated Financial Statements (unaudited), and (vi) Cover Page.</w:t>
            </w:r>
          </w:p>
        </w:tc>
      </w:tr>
    </w:tbl>
    <w:p>
      <w:pPr>
        <w:spacing w:after="0" w:line="76" w:lineRule="exact"/>
        <w:rPr>
          <w:rFonts w:ascii="Times New Roman" w:cs="Times New Roman" w:eastAsia="Times New Roman" w:hAnsi="Times New Roman"/>
          <w:sz w:val="18"/>
          <w:szCs w:val="18"/>
          <w:u w:val="single" w:color="auto"/>
          <w:color w:val="0000FF"/>
        </w:rPr>
      </w:pPr>
    </w:p>
    <w:p>
      <w:pPr>
        <w:ind w:left="1480" w:hanging="1454"/>
        <w:spacing w:after="0"/>
        <w:tabs>
          <w:tab w:leader="none" w:pos="1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rFonts w:ascii="Times New Roman" w:cs="Times New Roman" w:eastAsia="Times New Roman" w:hAnsi="Times New Roman"/>
          <w:sz w:val="18"/>
          <w:szCs w:val="18"/>
          <w:u w:val="single" w:color="auto"/>
          <w:color w:val="0000FF"/>
        </w:rPr>
      </w:pPr>
    </w:p>
    <w:p>
      <w:pPr>
        <w:spacing w:after="0" w:line="340"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10th day of November, 2022.</w:t>
      </w:r>
    </w:p>
    <w:p>
      <w:pPr>
        <w:spacing w:after="0" w:line="2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HUMACYTE, INC.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Laura E. Niklason, M.D., Ph.D.</w:t>
            </w:r>
          </w:p>
        </w:tc>
      </w:tr>
      <w:tr>
        <w:trPr>
          <w:trHeight w:val="243"/>
        </w:trPr>
        <w:tc>
          <w:tcPr>
            <w:tcW w:w="3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Laura E. Niklason, M.D., Ph.D.</w:t>
            </w:r>
          </w:p>
        </w:tc>
      </w:tr>
      <w:tr>
        <w:trPr>
          <w:trHeight w:val="256"/>
        </w:trPr>
        <w:tc>
          <w:tcPr>
            <w:tcW w:w="30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26"/>
        </w:trPr>
        <w:tc>
          <w:tcPr>
            <w:tcW w:w="3080" w:type="dxa"/>
            <w:vAlign w:val="bottom"/>
          </w:tcPr>
          <w:p>
            <w:pPr>
              <w:spacing w:after="0"/>
              <w:rPr>
                <w:sz w:val="24"/>
                <w:szCs w:val="24"/>
                <w:color w:val="auto"/>
              </w:rPr>
            </w:pPr>
          </w:p>
        </w:tc>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Dale A. Sander</w:t>
            </w:r>
          </w:p>
        </w:tc>
      </w:tr>
      <w:tr>
        <w:trPr>
          <w:trHeight w:val="243"/>
        </w:trPr>
        <w:tc>
          <w:tcPr>
            <w:tcW w:w="3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Dale A. Sander</w:t>
            </w:r>
          </w:p>
        </w:tc>
      </w:tr>
      <w:tr>
        <w:trPr>
          <w:trHeight w:val="256"/>
        </w:trPr>
        <w:tc>
          <w:tcPr>
            <w:tcW w:w="30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 Treasurer</w:t>
            </w:r>
          </w:p>
        </w:tc>
      </w:tr>
      <w:tr>
        <w:trPr>
          <w:trHeight w:val="905"/>
        </w:trPr>
        <w:tc>
          <w:tcPr>
            <w:tcW w:w="3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240"/>
          </w:cols>
          <w:pgMar w:left="320" w:top="5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September 30, 2022;</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20"/>
          <w:szCs w:val="20"/>
          <w:color w:val="auto"/>
        </w:rPr>
        <w:t>Date: November 10,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22860</wp:posOffset>
            </wp:positionV>
            <wp:extent cx="3385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5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Laura E. Niklason, M.D., Ph.D.</w:t>
      </w:r>
    </w:p>
    <w:p>
      <w:pPr>
        <w:spacing w:after="0" w:line="51" w:lineRule="exact"/>
        <w:rPr>
          <w:sz w:val="20"/>
          <w:szCs w:val="20"/>
          <w:color w:val="auto"/>
        </w:rPr>
      </w:pPr>
    </w:p>
    <w:p>
      <w:pPr>
        <w:sectPr>
          <w:pgSz w:w="11900" w:h="16838" w:orient="portrait"/>
          <w:cols w:equalWidth="0" w:num="2">
            <w:col w:w="6560" w:space="720"/>
            <w:col w:w="3960"/>
          </w:cols>
          <w:pgMar w:left="320" w:top="977" w:right="33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ectPr>
          <w:pgSz w:w="11900" w:h="16838" w:orient="portrait"/>
          <w:cols w:equalWidth="0" w:num="2">
            <w:col w:w="6560" w:space="720"/>
            <w:col w:w="3960"/>
          </w:cols>
          <w:pgMar w:left="320" w:top="977"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Humacyte, Inc. for the quarter ended September 30, 2022;</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10, 2022</w:t>
            </w:r>
          </w:p>
        </w:tc>
        <w:tc>
          <w:tcPr>
            <w:tcW w:w="18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By:</w:t>
            </w:r>
          </w:p>
        </w:tc>
        <w:tc>
          <w:tcPr>
            <w:tcW w:w="6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5180" w:type="dxa"/>
            <w:vAlign w:val="bottom"/>
          </w:tcPr>
          <w:p>
            <w:pPr>
              <w:ind w:left="32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89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September 30, 2022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10, 2022</w:t>
            </w:r>
          </w:p>
        </w:tc>
        <w:tc>
          <w:tcPr>
            <w:tcW w:w="222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By:</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6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Humacyte, Inc. (the “Company”) for the quarter ended September 30, 2022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10, 2022</w:t>
            </w:r>
          </w:p>
        </w:tc>
        <w:tc>
          <w:tcPr>
            <w:tcW w:w="186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By:</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c>
          <w:tcPr>
            <w:tcW w:w="4520" w:type="dxa"/>
            <w:vAlign w:val="bottom"/>
            <w:tcBorders>
              <w:bottom w:val="single" w:sz="8" w:color="auto"/>
            </w:tcBorders>
          </w:tcPr>
          <w:p>
            <w:pPr>
              <w:spacing w:after="0"/>
              <w:rPr>
                <w:sz w:val="22"/>
                <w:szCs w:val="22"/>
                <w:color w:val="auto"/>
              </w:rPr>
            </w:pPr>
          </w:p>
        </w:tc>
      </w:tr>
      <w:tr>
        <w:trPr>
          <w:trHeight w:val="244"/>
        </w:trPr>
        <w:tc>
          <w:tcPr>
            <w:tcW w:w="3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5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3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7" Type="http://schemas.openxmlformats.org/officeDocument/2006/relationships/hyperlink" Target="http://www.sec.gov/ix?doc=/Archives/edgar/data/1818382/000181838222000011/huma-20211231.htm#i4096a696b2df45cb8f9afa41738694d7_19" TargetMode="External"/><Relationship Id="rId71" Type="http://schemas.openxmlformats.org/officeDocument/2006/relationships/hyperlink" Target="http://www.sec.gov/Archives/edgar/data/1818382/000181838222000114/humashelfatms-3xexhibit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2022-11-10T08:00:42Z</dcterms:created>
  <dcterms:modified xsi:type="dcterms:W3CDTF">2022-11-10T08:00:42Z</dcterms:modified>
</cp:coreProperties>
</file>