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7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c>
          <w:tcPr>
            <w:tcW w:w="0" w:type="dxa"/>
            <w:vAlign w:val="bottom"/>
          </w:tcPr>
          <w:p>
            <w:pPr>
              <w:spacing w:after="0"/>
              <w:rPr>
                <w:sz w:val="1"/>
                <w:szCs w:val="1"/>
                <w:color w:val="auto"/>
              </w:rPr>
            </w:pPr>
          </w:p>
        </w:tc>
      </w:tr>
      <w:tr>
        <w:trPr>
          <w:trHeight w:val="229"/>
        </w:trPr>
        <w:tc>
          <w:tcPr>
            <w:tcW w:w="25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2520" w:type="dxa"/>
            <w:vAlign w:val="bottom"/>
            <w:vMerge w:val="continue"/>
          </w:tcPr>
          <w:p>
            <w:pPr>
              <w:spacing w:after="0"/>
              <w:rPr>
                <w:sz w:val="4"/>
                <w:szCs w:val="4"/>
                <w:color w:val="auto"/>
              </w:rPr>
            </w:pPr>
          </w:p>
        </w:tc>
        <w:tc>
          <w:tcPr>
            <w:tcW w:w="5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c>
          <w:tcPr>
            <w:tcW w:w="0" w:type="dxa"/>
            <w:vAlign w:val="bottom"/>
          </w:tcPr>
          <w:p>
            <w:pPr>
              <w:spacing w:after="0"/>
              <w:rPr>
                <w:sz w:val="1"/>
                <w:szCs w:val="1"/>
                <w:color w:val="auto"/>
              </w:rPr>
            </w:pP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c>
          <w:tcPr>
            <w:tcW w:w="0" w:type="dxa"/>
            <w:vAlign w:val="bottom"/>
          </w:tcPr>
          <w:p>
            <w:pPr>
              <w:spacing w:after="0"/>
              <w:rPr>
                <w:sz w:val="1"/>
                <w:szCs w:val="1"/>
                <w:color w:val="auto"/>
              </w:rPr>
            </w:pP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August 4, 2025, 158,372,173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61</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580" w:type="dxa"/>
            <w:vAlign w:val="bottom"/>
            <w:tcBorders>
              <w:top w:val="single" w:sz="8" w:color="CCEEFF"/>
            </w:tcBorders>
            <w:gridSpan w:val="12"/>
          </w:tcPr>
          <w:p>
            <w:pPr>
              <w:jc w:val="center"/>
              <w:ind w:left="413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740" w:hanging="328"/>
        <w:spacing w:after="0" w:line="22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plans and ability to commercialize Symvess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(acellular tissue engineered vessel-tyod or “ATEV</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if approved by regulatory authorities, our product candidates, successfully and on our anticipated timelines;</w:t>
      </w:r>
    </w:p>
    <w:p>
      <w:pPr>
        <w:spacing w:after="0" w:line="90"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degree of market acceptance of and the availability of third-party coverage and reimbursement for Symvess and, if approved by regulatory authorities, our product candidates;</w:t>
      </w:r>
    </w:p>
    <w:p>
      <w:pPr>
        <w:spacing w:after="0" w:line="5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manufacture Symvess and, if approved by regulatory authorities, our product candidates, in sufficient quantities to satisfy our clinical trial and commercial needs;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expected size of the target populations for Symvess and, if approved by regulatory authorities,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United States (“U.S.”) Food and Drug Administration (“FDA”) and other regulatory authorities, including the European Medicines Agency (“EMA”), for our ATEVs and product candidates;</w:t>
      </w:r>
    </w:p>
    <w:p>
      <w:pPr>
        <w:spacing w:after="0" w:line="6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achieve the expected benefits of our cost-saving measures and whether our efforts will result in further actions or additional asset impairment charges that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 and the public perception thereof;</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 including 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by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2024, which we filed with the SEC on March 31, 2025.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47,859</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138,795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 interest liability,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19,954</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interest liability, net of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19,254</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derivative liability</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134,743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190,541</w:t>
            </w:r>
          </w:p>
        </w:tc>
        <w:tc>
          <w:tcPr>
            <w:tcW w:w="0" w:type="dxa"/>
            <w:vAlign w:val="bottom"/>
          </w:tcPr>
          <w:p>
            <w:pPr>
              <w:spacing w:after="0"/>
              <w:rPr>
                <w:sz w:val="1"/>
                <w:szCs w:val="1"/>
                <w:color w:val="auto"/>
              </w:rPr>
            </w:pPr>
          </w:p>
        </w:tc>
      </w:tr>
      <w:tr>
        <w:trPr>
          <w:trHeight w:val="148"/>
        </w:trPr>
        <w:tc>
          <w:tcPr>
            <w:tcW w:w="8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June 30, 2025 and December 31, 2024; 0 shares issued and</w:t>
            </w:r>
          </w:p>
        </w:tc>
        <w:tc>
          <w:tcPr>
            <w:tcW w:w="28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as of June 30, 2025 and December 31, 2024</w:t>
            </w:r>
          </w:p>
        </w:tc>
        <w:tc>
          <w:tcPr>
            <w:tcW w:w="2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and 250,000,000 shares authorized as of June 30, 2025 and December 31, 2024,</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 156,342,893 and 130,027,509 shares issued and outstanding as of June 30, 2025 and December 31, 2024, respectively</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633,333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(686,015)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138,795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137,872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7"/>
                <w:szCs w:val="17"/>
                <w:color w:val="auto"/>
              </w:rPr>
            </w:pPr>
          </w:p>
        </w:tc>
        <w:tc>
          <w:tcPr>
            <w:tcW w:w="27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(56,077)</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(88,559)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155,437,281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119,174,681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143,533,212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113,710,344</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2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outstanding used in computing net income</w:t>
            </w: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155,437,281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119,174,681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143,664,424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113,710,344</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 stockholders, diluted</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3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130,027,509</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633,333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(686,015)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(52,669)</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ATM Facility, net of issuance costs</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15,514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39,139</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155,118,816</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682,903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(646,876)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36,043</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ATM Facility, net of issuance costs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1,224,077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0" w:type="dxa"/>
            <w:vAlign w:val="bottom"/>
          </w:tcPr>
          <w:p>
            <w:pPr>
              <w:spacing w:after="0"/>
              <w:rPr>
                <w:sz w:val="1"/>
                <w:szCs w:val="1"/>
                <w:color w:val="auto"/>
              </w:rPr>
            </w:pPr>
          </w:p>
        </w:tc>
      </w:tr>
      <w:tr>
        <w:trPr>
          <w:trHeight w:val="22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156,342,893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688,570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(684,534)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4,052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360" w:type="dxa"/>
            <w:vAlign w:val="bottom"/>
          </w:tcPr>
          <w:p>
            <w:pPr>
              <w:spacing w:after="0"/>
              <w:rPr>
                <w:sz w:val="24"/>
                <w:szCs w:val="24"/>
                <w:color w:val="auto"/>
              </w:rPr>
            </w:pPr>
          </w:p>
        </w:tc>
        <w:tc>
          <w:tcPr>
            <w:tcW w:w="23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103,673,728</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(537,314)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13,546</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15,410,000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119,084,353</w:t>
            </w:r>
          </w:p>
        </w:tc>
        <w:tc>
          <w:tcPr>
            <w:tcW w:w="8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595,350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(569,210)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26,152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263,335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119,347,688</w:t>
            </w: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597,574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(625,873)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(88,559)</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(55,014)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(48,638)</w:t>
            </w:r>
          </w:p>
        </w:tc>
      </w:tr>
      <w:tr>
        <w:trPr>
          <w:trHeight w:val="169"/>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169"/>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underwriting fees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43,396</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of costs related to public offering</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under ATM Facility, net of issuance costs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JDRF Agreement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Revenue Interest Purchase Agreement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96"/>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of transaction costs related to Revenue Interest Purchase Agreement</w:t>
            </w:r>
          </w:p>
        </w:tc>
        <w:tc>
          <w:tcPr>
            <w:tcW w:w="1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0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48,905</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62,328</w:t>
            </w:r>
          </w:p>
        </w:tc>
      </w:tr>
      <w:tr>
        <w:trPr>
          <w:trHeight w:val="16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13,115</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95,290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80,801</w:t>
            </w: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88,385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93,916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8"/>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6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described below, borrowings under loan facilities, proceeds from a revenue interest purchase agreement and, to a lesser extent, through governmental and other grants. At June 30, 2025 and December 31, 2024, the Company had an accumulated deficit of $684.5 million and $686.0 million, respectively. The Company’s operating losses were $52.9 million and $56.1 million for the six months ended June 30, 2025 and 2024, respectively. Net cash flows used in operating activities were $55.0 million and $48.6 million during the six months ended June 30, 2025 and 2024, respectively. Substantially all of the Company’s operating losses resulted from costs incurred in connection with the Company’s research and development programs and from general and administrative costs associated with the Company’s commercial launch and other operations. The Company expects to incur substantial operating losses and negative cash flows from operations for the foreseeable future as the Company advances its product candidates and commercial operations.</w:t>
      </w:r>
    </w:p>
    <w:p>
      <w:pPr>
        <w:spacing w:after="0" w:line="16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further disclosed in Note 7, on May 12, 2023, Humacyte, Inc. and Global (defined in Note 2 — Summary of Significant Accounting Policies)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As of June 30, 2025, $68.5 million was recorded as a revenue interest liability on the condensed consolidated balance sheets.</w:t>
      </w:r>
    </w:p>
    <w:p>
      <w:pPr>
        <w:spacing w:after="0" w:line="1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has certain consent and other rights to $50.0 million of the funds. The Company funded an account with the required $54.0 million on August 14, 2024. As of both June 30, 2025 and December 31, 2024, the $50.0 million was classified as restricted cash on the accompanying condensed consolidated balance sheets.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further disclosed in Note 8, 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The Company controls the timing and amount of any sales of Purchase Shares to Lincoln Park pursuant to the Common Stock Purchase Agreement in its sole discretion. As of June 30, 2025, the Company had $47.5 million in remaining availability for sales of Common Stock under the Common Stock Purchase Agreement.</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further disclosed in Note 8, o</w:t>
      </w:r>
      <w:r>
        <w:rPr>
          <w:rFonts w:ascii="Times New Roman" w:cs="Times New Roman" w:eastAsia="Times New Roman" w:hAnsi="Times New Roman"/>
          <w:sz w:val="18"/>
          <w:szCs w:val="18"/>
          <w:color w:val="231F20"/>
        </w:rPr>
        <w:t>n September 1, 2022, the Company entered into an agreement with Jefferies LLC for the sale from time to time of 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w:t>
      </w:r>
      <w:r>
        <w:rPr>
          <w:rFonts w:ascii="Times New Roman" w:cs="Times New Roman" w:eastAsia="Times New Roman" w:hAnsi="Times New Roman"/>
          <w:sz w:val="18"/>
          <w:szCs w:val="18"/>
          <w:color w:val="000000"/>
        </w:rPr>
        <w:t>$80.0 million</w:t>
      </w:r>
      <w:r>
        <w:rPr>
          <w:rFonts w:ascii="Times New Roman" w:cs="Times New Roman" w:eastAsia="Times New Roman" w:hAnsi="Times New Roman"/>
          <w:sz w:val="18"/>
          <w:szCs w:val="18"/>
          <w:color w:val="231F20"/>
        </w:rPr>
        <w:t xml:space="preserve"> of shares of Common Stock pursuant to a sales agreement (the “ATM Facility”).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$69.3 million</w:t>
      </w:r>
      <w:r>
        <w:rPr>
          <w:rFonts w:ascii="Times New Roman" w:cs="Times New Roman" w:eastAsia="Times New Roman" w:hAnsi="Times New Roman"/>
          <w:sz w:val="18"/>
          <w:szCs w:val="18"/>
          <w:color w:val="231F20"/>
        </w:rPr>
        <w:t xml:space="preserve"> remained available under the ATM Facility. Subsequent to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Company completed sales of shares under the ATM Facility that provided net proceeds of approximately </w:t>
      </w:r>
      <w:r>
        <w:rPr>
          <w:rFonts w:ascii="Times New Roman" w:cs="Times New Roman" w:eastAsia="Times New Roman" w:hAnsi="Times New Roman"/>
          <w:sz w:val="18"/>
          <w:szCs w:val="18"/>
          <w:color w:val="000000"/>
        </w:rPr>
        <w:t>$6.4 million.</w:t>
      </w:r>
    </w:p>
    <w:p>
      <w:pPr>
        <w:spacing w:after="0" w:line="15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of June 30, 2025, the Company had available cash and cash equivalents of $38.0 million. As further disclosed in Note 11, on April 28, 2025, the Company implemented a cost reduction action to reduce its workforce by 30 employees, cease recruitment of additional planned new hires, and reduce other operating expenses. The Company undertook these cost reductions to improve its cash runway and to better align the Company’s organizational structure with its top business objectives. The Company believes its cash and cash equivalents on hand and existing capacity under its Common Stock Purchase Agreement will be sufficient to fund operations for at least twelve months from the issuance date of these interim financial statements. The future viability of the Company beyond that point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the Company is unable to raise capital, it could be forced to delay, reduce, suspend or cease certain of its planned research and development programs or any future commercialization efforts, which would have a negative impact on its business, prospects, operating results and financial condition.</w:t>
      </w:r>
    </w:p>
    <w:p>
      <w:pPr>
        <w:spacing w:after="0" w:line="147" w:lineRule="exact"/>
        <w:rPr>
          <w:sz w:val="20"/>
          <w:szCs w:val="20"/>
          <w:color w:val="auto"/>
        </w:rPr>
      </w:pPr>
    </w:p>
    <w:p>
      <w:pPr>
        <w:ind w:right="7660" w:firstLine="8"/>
        <w:spacing w:after="0" w:line="46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accounting principles generally accepted in the United States of America (“U.S. GAAP”). The Company’s condensed consolidated financial statements reflect the operations of the Company and its wholly owned subsidiaries. All intercompany accounts and transactions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Recapitalization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August 26, 2021 (the “Closing Date”), Hunter Merger Sub, Inc. (“Merger Sub”), a wholly owned subsidiary of Alpha Healthcare Acquisition Corp. (“AHAC”) merged with Humacyte, Inc. (“Legacy Humacyte”), with Legacy Humacyte continuing as the surviving corporation and as a wholly-owned subsidiary of AHAC (the “Merger”). The Merger was accounted for as a reverse recapitalization in accordance with U.S. GAAP. As a result of the Merger, AHAC changed its name to Humacyte, Inc. and Legacy Humacyte changed its name to Humacyte Global, Inc. (“Global”).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2025 and its results of operations for the three and six months ended June 30, 2025 and 2024, and cash flows for the six months ended June 30, 2025 and 2024. The results of operations for the three and six months ended June 30, 2025 are not necessarily indicative of the results to be expected for the year ending December 31, 2025 or any other period. The December 31, 2024 year-end condensed consolidated balance sheet was derived from audited annual financial statements but does not include all disclosures from the annual financial statements.</w:t>
      </w:r>
    </w:p>
    <w:p>
      <w:pPr>
        <w:spacing w:after="0" w:line="16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2024 and the related notes included in the Company’s Annual Report on Form 10-K, filed with the SEC on March 31, 2025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2024 and 2023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Certain amounts from prior periods have been reclassified to conform to the current period’s presentation. None of these reclassifications had a material impact on the Company’s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condensed consolidated statements of operations. The measure of segment assets provided to and reviewed by the CODM is reported on the condensed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reportable and operating segment.</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single reportable segment entity, the Company’s segment performance measure is </w:t>
      </w:r>
      <w:r>
        <w:rPr>
          <w:rFonts w:ascii="Times New Roman" w:cs="Times New Roman" w:eastAsia="Times New Roman" w:hAnsi="Times New Roman"/>
          <w:sz w:val="18"/>
          <w:szCs w:val="18"/>
          <w:color w:val="231F20"/>
        </w:rPr>
        <w:t>consolidated net income (loss). Consolidated net income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 used to monitor the budget versus actual results and to help make key operating decisions such as the allocation of budget between research and development and selling, general and administrative expenses. Significant segment expenses within net income (loss) include cost of goods sold, research and development and selling, general and administrative expenses, which are each separately presented on the Company’s condensed consolidated statements of operations. Other segment items within net income (loss) include interest income, interest expense, the change in fair value of the Company’s Contingent Earnout Liability and the change in fair value of derivatives.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31F20"/>
        </w:rPr>
        <w:t>Additional disaggregated significant segment expenses that are not separately presented on the Company’s condensed consolidated statements of operations are presented below.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45,017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231F20"/>
        </w:rPr>
        <w:t>Direct expenses for the Company’s vascular trauma, arteriovenous (“AV”) access for hemodialysis and peripheral artery disease (“PAD”) indications include costs related to the Company’s clinical trials, including fees paid to clinical research organizations (“CROs”), consultants, clinical sites and investigators. Costs related to development activities which broadly support multiple programs using the Company’s technology platform, including personnel, materials and supplies cost prior to inventory capitalization,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 manufacturing analytics and preclinical research and development for prospective product candidates and new technologies.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Operating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60" w:type="dxa"/>
            <w:vAlign w:val="bottom"/>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income (loss) in the period incurred. The determination to capitalize inventory costs is based on various factors, including the product’s historical shelf life, the product’s current status in the development and regulatory approval process, results from related clinical trials, results from meetings with relevant regulatory agencies, potential obstacles to the approval process and viability of commercialization and market trends.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early 2025, based on the Company’s assessment of the legal and regulatory process related to Symvess, the Company concluded that it met the criteria to capitalize expenditures as inventory. The Company capitalized $11.1 million of inventory as of June 30, 2025 and none as of December 31, 2024. Inventory is stated at the lower of cost or net realizable value. The Company’s inventory is valued under the first in, first out method. The Company does not have an allowance for inventory obsolescence as of June 30, 2025. Cost of goods sold was $0.2 million and $0.4 million for the three and six months ended June 30, 2025, respectively, and includes overhead related to unused production capacity, which was recorded as an expense during the period, as well as royalty expense related to the Company’s product sales. There was no cost of goods sold recognized during the three and six months ended June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Revenue from Customers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4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In addition, ASC 606 requires disclosure of the nature, amount, timing, and uncertainty of revenue and cash flows arising from contracts with customers.</w:t>
      </w:r>
    </w:p>
    <w:p>
      <w:pPr>
        <w:spacing w:after="0" w:line="13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current source of product revenue has been from U.S. sales of Symvess. The Company recognizes product revenue upon delivery of Symvess to the customer. Revenue is recognized based on the price stated in the approved contract or purchase order. There are no contractual rights of returns and replacements for damaged products are provided free of charge. Accounts receivable related to product sales was approximately $0.2 million as of June 30, 2025.</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income (loss).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was approximately $0.2 million as of both June 30, 2025 and December 31, 2024.</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including amounts classified as restricted cash. Total cash balances exceeded insured balances by the Federal Deposit Insurance Corporation as of June 30, 2025 and December 31, 2024.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spacing w:after="0" w:line="16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credit risks associated with its customers and contractual partners are not significant and has not recorded an allowance for credit loss as of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 contractual provisions. As of both June 30, 2025 and December 31, 2024, restricted cash consists of $50.0 million maintained in an account that is not subject to the Company’s unilateral control, in accordance with the amended Purchase Agreement, $0.2 million in funds maintained in a separate deposit account to secure a letter of credit for the benefit of the lessor of the Company’s headquarters lease, and $0.1 million in cash balances held as collateral for the Company’s employee credit card program.</w:t>
      </w:r>
    </w:p>
    <w:p>
      <w:pPr>
        <w:spacing w:after="0" w:line="1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the amounts shown in the condensed consolidated statements of cash flows as of June 30, 2025 and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net income (loss) attributable to common stockholders by the weighted-average number of shares of Common Stock outstanding during the period without consideration of potentially dilutive shares of Common Stock. Diluted net income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The calculation of net income (loss) per share also considers the effect of participating securities. The Common Stock warrants issued in the Company’s October 2024 and November 2024 registered direct offerings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and per share amounts)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5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(88,559)</w:t>
            </w:r>
          </w:p>
        </w:tc>
        <w:tc>
          <w:tcPr>
            <w:tcW w:w="0" w:type="dxa"/>
            <w:vAlign w:val="bottom"/>
          </w:tcPr>
          <w:p>
            <w:pPr>
              <w:spacing w:after="0"/>
              <w:rPr>
                <w:sz w:val="1"/>
                <w:szCs w:val="1"/>
                <w:color w:val="auto"/>
              </w:rPr>
            </w:pPr>
          </w:p>
        </w:tc>
      </w:tr>
      <w:tr>
        <w:trPr>
          <w:trHeight w:val="213"/>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Undistributed earnings allocated to participating securities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155,437,281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119,174,681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143,533,212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113,710,344</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effect of assumed conversion of options to purchase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155,437,281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119,174,681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143,664,424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113,710,344</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net income (loss) per share for each period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3"/>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5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17,377,355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12,521,655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15,754,039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12,521,655</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10,669,100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5,588,506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12,374,207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5,588,506</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 by underwriters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1,030,220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shares subject to the Option Agreement, as defined in Note 7 — Revenue Interest Purchase Agreement, are excluded from the anti-dilutive table for all periods presented based on the Company’s assumption that the Option Agreement will not be exercised unless the Company’s stock price exceeds $7.50 per share, the minimum purchase price under the Option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its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permitted. Entities should apply the amendments prospectively, with retrospective application permitted. This ASU is applicable to the Company’s Annual Report on Form 10-K for the fiscal year ending December 31, 2025. The Company is currently evaluating the impact of adopting ASU 2023-09 on its disclosures included in the notes to the consolidated financial statements.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In January 2025, the FASB issued ASU No. 2025-01, “Income Statement — Reporting Comprehensive Income — 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on its disclosures included in the notes to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98"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8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The carrying values of cash, accounts receivable, prepaid expenses and other current assets, accounts payable, accrued expenses and other current liabilities as of June 30, 2025 and December 31, 2024 approximated their fair values due to the short-term nature of these items.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Measured as of June 30, 2025</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32,141</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26,700</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2024 RDO Warrants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 2024 RDO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2024 RDO Warrants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 2024 RDO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Contingent Earnout Liability (defined in Note 8 — Stockholders’ Equity (Deficit) and Warrants), contingent derivative liability related to the Put Option (as defined in Note 7 — Revenue Interest Purchase Agreement and discussed below), Private Placement Warrants liability, liabilities associated with the Registered Direct Offering Warrants (each as defined in Note 8 — Stockholders’ Equity (Deficit) and Warrants), Option Agreement liability (as defined in Note 7 — Revenue Interest Purchase Agreement), and the derivative liability associated with the JDRF Agreement Disposition Payment (defined in Note 11 — Commitments and Contingencies) are based on significant unobservable inputs, which represent Level 3 measurements within the fair value hierarchy. The fair values of the Private Placement Warrants liability and the liabilities associated with the Registered Direct Offering Warrants are included in common stock warrant liabilities on the condensed consolidated balance sheets. The fair values of the Option Agreement liability and the derivative liability associated with the JDRF Agreement Disposition Payment are included in other long-term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evaluated the Common Stock Purchase Agreement and determined that the agreement should be accounted for in accordance with ASC 815-40, “Derivatives and Hedging — Contracts on an Entity’s Own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within Change in fair value of derivatives in the condensed consolidated statements of operations and comprehensive loss. There was no change in fair value of the derivative asset between December 31, 2024 and June 30, 2025 and the fair value of the Commitment Shares as of both June 30, 2025 and December 31, 2024 was $0.7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Earnout Liability: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29"/>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97"/>
              <w:spacing w:after="0"/>
              <w:rPr>
                <w:sz w:val="20"/>
                <w:szCs w:val="20"/>
                <w:color w:val="auto"/>
              </w:rPr>
            </w:pPr>
            <w:r>
              <w:rPr>
                <w:rFonts w:ascii="Times New Roman" w:cs="Times New Roman" w:eastAsia="Times New Roman" w:hAnsi="Times New Roman"/>
                <w:sz w:val="18"/>
                <w:szCs w:val="18"/>
                <w:color w:val="auto"/>
                <w:w w:val="96"/>
              </w:rPr>
              <w:t>44,261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(30,164)</w:t>
            </w: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and Warrants). Contingent earnout payments involve certain assumptions requiring significant judgment and actual results can differ from assumed and estimated amounts.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Derivative Liability</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debt pursuant to the Purchase Agreement, as defined in Note 7, contains an embedded derivative related to the Put Option, as defined in Note 7,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the discount rates used to calculate the value of the contingent derivative liability were 12.4% to calculate the present-value of the revenue forecast and 12.4% to calculate the present-value of the payoff of the Put Option. As of December 31, 2024, the discount rates used to calculate the value of the contingent derivative liability were 14.2% to calculate the present-value of the revenue forecast and 11.8% to calculate the present-value of the payoff of the Put Option. Changes in fair value of the contingent derivative liability are recognized as other income (expense) in the condensed consolidated statements of operations and comprehensive income (loss), classified in Change in fair value of derivatives.</w:t>
      </w:r>
    </w:p>
    <w:p>
      <w:pPr>
        <w:spacing w:after="0" w:line="1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Contingent Derivative Liability</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(3,464)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(4,079)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(3,161)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(4,266)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 Warrants Liabilities</w:t>
      </w:r>
    </w:p>
    <w:p>
      <w:pPr>
        <w:spacing w:after="0" w:line="20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a summary of the changes in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as defined in Note 8, during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October 2024 RDO Warrants</w:t>
            </w:r>
          </w:p>
        </w:tc>
        <w:tc>
          <w:tcPr>
            <w:tcW w:w="220" w:type="dxa"/>
            <w:vAlign w:val="bottom"/>
          </w:tcPr>
          <w:p>
            <w:pPr>
              <w:spacing w:after="0"/>
              <w:rPr>
                <w:sz w:val="16"/>
                <w:szCs w:val="16"/>
                <w:color w:val="auto"/>
              </w:rPr>
            </w:pPr>
          </w:p>
        </w:tc>
        <w:tc>
          <w:tcPr>
            <w:tcW w:w="28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November 2024 RDO Warrants</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6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1"/>
                <w:szCs w:val="11"/>
                <w:color w:val="auto"/>
              </w:rPr>
            </w:pPr>
          </w:p>
        </w:tc>
        <w:tc>
          <w:tcPr>
            <w:tcW w:w="156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7"/>
                <w:szCs w:val="17"/>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color w:val="auto"/>
                <w:w w:val="98"/>
              </w:rPr>
              <w:t>5,021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8"/>
              </w:rPr>
              <w:t>(1,411)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In determining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the Company used the Black-Scholes valuation model to estimate the fair value utilizing assumptions including the current Company stock price, expected volatility, risk-free rate, expected term and expected dividend yield (see </w:t>
      </w:r>
      <w:r>
        <w:rPr>
          <w:rFonts w:ascii="Times New Roman" w:cs="Times New Roman" w:eastAsia="Times New Roman" w:hAnsi="Times New Roman"/>
          <w:sz w:val="18"/>
          <w:szCs w:val="18"/>
          <w:color w:val="000000"/>
        </w:rPr>
        <w:t>Note 8 — Stockholders’ Equity (Deficit) and Warrants</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7"/>
              </w:rPr>
              <w:t>(385)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8"/>
                <w:szCs w:val="18"/>
                <w:color w:val="auto"/>
                <w:w w:val="96"/>
              </w:rPr>
              <w:t>249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7"/>
              </w:rPr>
              <w:t>(136)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 (Deficit) and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Company capitalized costs of $11.1 million associated with the manufacturing of Symvess as a result of regulatory approval and the Company’s determination that subsequent commercialization and future economic benefit from the sales of Symvess was probable.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vMerge w:val="continue"/>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$1.3 million and $2.6 million for the three and six months ended June 30, 2025, respectively, and $1.3 million and $2.5 million for the three and six months ended June 30, 2024,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8100" w:firstLine="8"/>
        <w:spacing w:after="0" w:line="464"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 Revenue Interest Purchase Agreement</w:t>
      </w: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May 12, 2023, the Company and Global entered into the Purchase Agreement with the Purchasers, and another affiliate of Oberland, as agent for the Purchasers, to obtain financing with respect to the further development and commercialization of the Company’s ATEV,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former loan agreement with SVB. In February 2024, the FDA accepted the Company’s Biologics License Application (“BLA”) for an indication in vascular trauma, and in accordance with the Purchase Agreement, on March 11, 2024, the Company drew a subsequent installment of $20.0 million.</w:t>
      </w:r>
    </w:p>
    <w:p>
      <w:pPr>
        <w:spacing w:after="0" w:line="15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amended Purchase Agreement, the Company was entitled to draw up to $90.0 million in subsequent installments subject to the terms and conditions set forth in the Purchase Agreement, as follows: (i) $40.0 million, at the Company’s option, upon the Company receiving FDA approval of the ATEV for the vascular trauma indication on or prior to December 31, 2024 and (ii) $50.0 million, at the Company’s option, upon reaching $35.0 million trailing worldwide three-month net sales any time prior to December 31, 2025. Each tranche was dependent on the satisfaction of the conditions and receipt of funds from the previous tranche. The FDA granted full approval for the Company’s BLA on December 19, 2024, and the Company elected not to draw the additional $40.0 million that became available under the Purchase Agreement. As of December 31, 2024, the Company was not entitled to draw on any further installments under the Purchase Agreement.</w:t>
      </w:r>
    </w:p>
    <w:p>
      <w:pPr>
        <w:spacing w:after="0" w:line="14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has certain consent and other rights to $50.0 million of the funds. As of both June 30, 2025 and December 31, 2024, the $50.0 million was classified as restricted cash on the accompanying condensed consolidated balance sheets.</w:t>
      </w:r>
    </w:p>
    <w:p>
      <w:pPr>
        <w:spacing w:after="0" w:line="1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its subsidiaries’ assets.</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interest method.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w:t>
      </w:r>
    </w:p>
    <w:p>
      <w:pPr>
        <w:ind w:right="80"/>
        <w:spacing w:after="0" w:line="251" w:lineRule="auto"/>
        <w:rPr>
          <w:sz w:val="20"/>
          <w:szCs w:val="20"/>
          <w:color w:val="auto"/>
        </w:rPr>
      </w:pPr>
      <w:r>
        <w:rPr>
          <w:rFonts w:ascii="Times New Roman" w:cs="Times New Roman" w:eastAsia="Times New Roman" w:hAnsi="Times New Roman"/>
          <w:sz w:val="18"/>
          <w:szCs w:val="18"/>
          <w:color w:val="auto"/>
        </w:rPr>
        <w:t>$0.1 million fair value allocated to the Option Agreement, defined below, and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5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of June 30, 2025 and December 31, 2024, $68.5 million and $64.2 million, respectively, was recorded as a revenue interest liability. As of June 30, 2025 and December 31, 2024, the current portion of the revenue interest liability was $2.1 million and $0.9 million, respectively. The estimated effective annual interest rate as of June 30, 2025 and December 31, 2024 was 13.1% and 13.7%, respectively. The Company recorded $2.2 million and $4.3 million in interest expense related to the Purchase Agreement for the three and six months ended June 30, 2025, respectively, and recorded $2.1 million and $3.5 million in interest expense related to the Purchase Agreement for the three and six months ended June 30, 2024, respectively. The Company incurred and paid $0.5 million of transaction costs during the six months ended June 30, 2024 in connection with the Purchase Agreement. The transaction costs were capitalized to debt discount and are being amortized to interest expense over the estimated term of the debt, consistent with the issuance and transaction costs incurred in 2023 discussed above.</w:t>
      </w:r>
    </w:p>
    <w:p>
      <w:pPr>
        <w:spacing w:after="0" w:line="16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14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Revenue Interest Payments made as a result of the Company’s net product sales will reduce the revenue interest liability. During the three and six months ended June 30, 2025, the Company recorded $0.1 million and $0.2 million of product sales revenue, respectively. During the three and six months ended June 30, 2024, the Company did not record any product sales revenue.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and six months ended June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2024</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2025</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June 30, 2025</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current portion of revenue interest liability</w:t>
            </w:r>
          </w:p>
        </w:tc>
        <w:tc>
          <w:tcPr>
            <w:tcW w:w="4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net of current portion at June 30, 2025</w:t>
            </w:r>
          </w:p>
        </w:tc>
        <w:tc>
          <w:tcPr>
            <w:tcW w:w="4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38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of shares of Common Stock in the 2024 Public Offering, as defined in Note 8, and as of June 30, 2025 and December 31, 2024, the Holders have the right to purchase up to $8,050,000 of shares of Common Stock under the Option Agreement.</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and subsequent changes in the fair value are recognized in the condensed consolidated statements of operations and comprehensive income (loss) at each reporting date. The fair value of the Option Agreement liability as of June 30, 2025 and December 31, 2024 was $27 thousand and $64 thousand, respectively.</w:t>
      </w:r>
    </w:p>
    <w:p>
      <w:pPr>
        <w:spacing w:after="0" w:line="139" w:lineRule="exact"/>
        <w:rPr>
          <w:sz w:val="20"/>
          <w:szCs w:val="20"/>
          <w:color w:val="auto"/>
        </w:rPr>
      </w:pPr>
    </w:p>
    <w:p>
      <w:pPr>
        <w:ind w:right="7640" w:firstLine="8"/>
        <w:spacing w:after="0" w:line="46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and Warrants Public Offerings</w:t>
      </w:r>
    </w:p>
    <w:p>
      <w:pPr>
        <w:ind w:left="340"/>
        <w:spacing w:after="0"/>
        <w:rPr>
          <w:sz w:val="20"/>
          <w:szCs w:val="20"/>
          <w:color w:val="auto"/>
        </w:rPr>
      </w:pPr>
      <w:r>
        <w:rPr>
          <w:rFonts w:ascii="Times New Roman" w:cs="Times New Roman" w:eastAsia="Times New Roman" w:hAnsi="Times New Roman"/>
          <w:sz w:val="18"/>
          <w:szCs w:val="18"/>
          <w:color w:val="auto"/>
        </w:rPr>
        <w:t>On February 29, 2024, the Company entered into an underwriting agreement with Cowen and Company, LLC and Cantor Fitzgerald &amp; Co.,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the several underwriters named therein, relating to the issuance and sale in an underwritten offering (the “2024 Public Offering”)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15,410,000 shares of Common Stock, which included a full exercise of the Underwriters’ option to purchase additional shares, at a price to the 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per share. The net proceeds to the Company from the 2024 Public Offering were approximately $43.0 million after deducting underwriting discounts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commissions and offering expenses. The 2024 Public Offering closed on March 5, 2024.</w:t>
      </w:r>
    </w:p>
    <w:p>
      <w:pPr>
        <w:spacing w:after="0" w:line="16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“Firm Shares”). The Company also granted the underwriters a 30-day option to purchase up to an additional 3,750,000 shares of Common Stock at the same price as the Firm Shares, which the underwriters did not exercise. The net proceeds to the Company from the 2025 Public Offering were approximately $46.7 million after deducting underwriting discounts and commissions and offering expenses. The 2025 Public Offering closed on March 27,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Financing</w:t>
      </w:r>
    </w:p>
    <w:p>
      <w:pPr>
        <w:spacing w:after="0" w:line="20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condensed consolidated balance sheets. The Common Stock Purchase Agreement is subsequently remeasured at each reporting date with changes in fair value recorded within Change in fair value of derivatives in the condensed consolidated statements of operations and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comprehensive loss. Through June 30, 2025, the Company has sold 500,000 shares to Lincoln Park for aggregate gross proceeds of $2.5 million and as of June 30, 2025, the Company had $47.5 million in remaining availability for sales of Common Stock under the Common Stock Purchase Agreement. There were no purchases under the Common Stock Purchase Agreement during the three and six months ended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Registered Direct Offerings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4, 2024, the Company entered into a securities purchase agreement with an institutional investor pursuant to which the investor purchased 5,681,820 shares of Common Stock and warrants to purchase up to 5,681,820 shares of Common Stock (the “October 2024 RDO Warrants”) in a registered direct offering (the “October 2024 Registered Direct Offering”). See below for additional information regarding the October 2024 RDO Warrants. The purchase price for one share of Common Stock and one warrant issued in the October 2024 Registered Direct Offering was $5.28. The net proceeds to the Company from the October 2024 Registered Direct Offering were approximately $28.0 million after deducting placement agent’s fees and offering expenses of approximately $2.0 million. The October 2024 Registered Direct Offering closed on October 7, 2024.</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November 13, 2024, the Company entered into a securities purchase agreement with an institutional investor pursuant to which the investor purchased 2,808,988 shares of Common Stock and warrants to purchase up to 2,808,988 shares of Common Stock (the “November 2024 RDO Warrants”) in a registered direct offering (the “November 2024 Registered Direct Offering”). See below for additional information regarding the November 2024 RDO Warrants. The purchase price for one share of Common Stock and one warrant issued in the November 2024 Registered Direct Offering was $5.34. The net proceeds to the Company from the November 2024 Registered Direct Offering were approximately $14.9 million after deducting offering expenses of approximately $0.1 million. The November 2024 Registered Direct Offering closed on November 15,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Facility</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On September 1, 2022, the Company entered into the ATM Facility for the sale from time to time of up to </w:t>
      </w:r>
      <w:r>
        <w:rPr>
          <w:rFonts w:ascii="Times New Roman" w:cs="Times New Roman" w:eastAsia="Times New Roman" w:hAnsi="Times New Roman"/>
          <w:sz w:val="18"/>
          <w:szCs w:val="18"/>
          <w:color w:val="000000"/>
        </w:rPr>
        <w:t>$80.0 million</w:t>
      </w:r>
      <w:r>
        <w:rPr>
          <w:rFonts w:ascii="Times New Roman" w:cs="Times New Roman" w:eastAsia="Times New Roman" w:hAnsi="Times New Roman"/>
          <w:sz w:val="18"/>
          <w:szCs w:val="18"/>
          <w:color w:val="231F20"/>
        </w:rPr>
        <w:t xml:space="preserve"> of shares of Common Stock. </w:t>
      </w:r>
      <w:r>
        <w:rPr>
          <w:rFonts w:ascii="Times New Roman" w:cs="Times New Roman" w:eastAsia="Times New Roman" w:hAnsi="Times New Roman"/>
          <w:sz w:val="18"/>
          <w:szCs w:val="18"/>
          <w:color w:val="000000"/>
        </w:rPr>
        <w:t xml:space="preserve">During the three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000000"/>
        </w:rPr>
        <w:t xml:space="preserve"> June 30, 2025, </w:t>
      </w:r>
      <w:r>
        <w:rPr>
          <w:rFonts w:ascii="Times New Roman" w:cs="Times New Roman" w:eastAsia="Times New Roman" w:hAnsi="Times New Roman"/>
          <w:sz w:val="18"/>
          <w:szCs w:val="18"/>
          <w:color w:val="231F20"/>
        </w:rPr>
        <w:t>the Company sold an aggregate of</w:t>
      </w:r>
      <w:r>
        <w:rPr>
          <w:rFonts w:ascii="Times New Roman" w:cs="Times New Roman" w:eastAsia="Times New Roman" w:hAnsi="Times New Roman"/>
          <w:sz w:val="18"/>
          <w:szCs w:val="18"/>
          <w:color w:val="000000"/>
        </w:rPr>
        <w:t xml:space="preserve"> 1,224,077 shares of Common Stock under the ATM Facility at an average price of $2.72 per share for net proceeds of approximately $3.2 million, after deducting sales commissions of approximately $0.1 million</w:t>
      </w:r>
      <w:r>
        <w:rPr>
          <w:rFonts w:ascii="Times New Roman" w:cs="Times New Roman" w:eastAsia="Times New Roman" w:hAnsi="Times New Roman"/>
          <w:sz w:val="18"/>
          <w:szCs w:val="18"/>
          <w:color w:val="231F20"/>
        </w:rPr>
        <w:t>. During the</w:t>
      </w:r>
      <w:r>
        <w:rPr>
          <w:rFonts w:ascii="Times New Roman" w:cs="Times New Roman" w:eastAsia="Times New Roman" w:hAnsi="Times New Roman"/>
          <w:sz w:val="18"/>
          <w:szCs w:val="18"/>
          <w:color w:val="000000"/>
        </w:rPr>
        <w:t xml:space="preserve"> six </w:t>
      </w:r>
      <w:r>
        <w:rPr>
          <w:rFonts w:ascii="Times New Roman" w:cs="Times New Roman" w:eastAsia="Times New Roman" w:hAnsi="Times New Roman"/>
          <w:sz w:val="18"/>
          <w:szCs w:val="18"/>
          <w:color w:val="231F20"/>
        </w:rPr>
        <w:t xml:space="preserve">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Company sold an aggregate of </w:t>
      </w:r>
      <w:r>
        <w:rPr>
          <w:rFonts w:ascii="Times New Roman" w:cs="Times New Roman" w:eastAsia="Times New Roman" w:hAnsi="Times New Roman"/>
          <w:sz w:val="18"/>
          <w:szCs w:val="18"/>
          <w:color w:val="000000"/>
        </w:rPr>
        <w:t>1,299,870</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$2.86</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$3.6 million, after deducting sales commissions of approximately $0.1 million.</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June 30, 2025,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had $69.3 million in remaining availability for sales of Common Stock under the ATM Facility</w:t>
      </w:r>
      <w:r>
        <w:rPr>
          <w:rFonts w:ascii="Times New Roman" w:cs="Times New Roman" w:eastAsia="Times New Roman" w:hAnsi="Times New Roman"/>
          <w:sz w:val="18"/>
          <w:szCs w:val="18"/>
          <w:color w:val="231F20"/>
        </w:rPr>
        <w:t>. From</w:t>
      </w:r>
      <w:r>
        <w:rPr>
          <w:rFonts w:ascii="Times New Roman" w:cs="Times New Roman" w:eastAsia="Times New Roman" w:hAnsi="Times New Roman"/>
          <w:sz w:val="18"/>
          <w:szCs w:val="18"/>
          <w:color w:val="000000"/>
        </w:rPr>
        <w:t xml:space="preserve"> June 30, 2025 through August 8, 2025, the Company sold an aggregate of 2,492,410 shares of Common Stock under the ATM Facility at an average price of $2.64 for net proceeds of approximately $6.4 million, after deducting sales commissions of approximately $0.2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June 2025, the Company amended its Second Amended and Restated Certificate of Incorporation to increase the authorized number of shares of Common Stock from 250,000,000 to 350,000,000.</w:t>
      </w:r>
    </w:p>
    <w:p>
      <w:pPr>
        <w:spacing w:after="0" w:line="13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Company’s board of directors. Through June 30, 2025, no dividends have been declared. The Purchase Agreement limits the Company’s ability to pay cash dividends to the holders of Common Stock.</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the Company had reserved Common Stock for future issuances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3"/>
                <w:szCs w:val="13"/>
                <w:color w:val="auto"/>
              </w:rPr>
            </w:pP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r>
      <w:tr>
        <w:trPr>
          <w:trHeight w:val="195"/>
        </w:trPr>
        <w:tc>
          <w:tcPr>
            <w:tcW w:w="9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6"/>
                <w:szCs w:val="16"/>
                <w:color w:val="auto"/>
              </w:rPr>
            </w:pP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Common Stock Purchase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19"/>
                <w:szCs w:val="19"/>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ATM Facility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17,366,534</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1,073,333</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3"/>
              </w:rPr>
              <w:t>(1)</w:t>
            </w: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17,377,355</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7,198,346</w:t>
            </w:r>
          </w:p>
        </w:tc>
        <w:tc>
          <w:tcPr>
            <w:tcW w:w="26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9,833,910</w:t>
            </w:r>
          </w:p>
        </w:tc>
        <w:tc>
          <w:tcPr>
            <w:tcW w:w="260" w:type="dxa"/>
            <w:vAlign w:val="bottom"/>
            <w:shd w:val="clear" w:color="auto" w:fill="CCEEFF"/>
          </w:tcPr>
          <w:p>
            <w:pPr>
              <w:spacing w:after="0"/>
              <w:rPr>
                <w:sz w:val="19"/>
                <w:szCs w:val="19"/>
                <w:color w:val="auto"/>
              </w:rPr>
            </w:pPr>
          </w:p>
        </w:tc>
      </w:tr>
      <w:tr>
        <w:trPr>
          <w:trHeight w:val="223"/>
        </w:trPr>
        <w:tc>
          <w:tcPr>
            <w:tcW w:w="95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79,849,478</w:t>
            </w:r>
          </w:p>
        </w:tc>
        <w:tc>
          <w:tcPr>
            <w:tcW w:w="26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540" w:hanging="332"/>
        <w:spacing w:after="0" w:line="282" w:lineRule="auto"/>
        <w:tabs>
          <w:tab w:leader="none" w:pos="334"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Assumes the exercise of the $8,050,000 </w:t>
      </w:r>
      <w:r>
        <w:rPr>
          <w:rFonts w:ascii="Times New Roman" w:cs="Times New Roman" w:eastAsia="Times New Roman" w:hAnsi="Times New Roman"/>
          <w:sz w:val="18"/>
          <w:szCs w:val="18"/>
          <w:color w:val="000000"/>
        </w:rPr>
        <w:t>of shares of Common Stock remaining</w:t>
      </w:r>
      <w:r>
        <w:rPr>
          <w:rFonts w:ascii="Times New Roman" w:cs="Times New Roman" w:eastAsia="Times New Roman" w:hAnsi="Times New Roman"/>
          <w:sz w:val="18"/>
          <w:szCs w:val="18"/>
          <w:color w:val="231F20"/>
        </w:rPr>
        <w:t xml:space="preserve"> under the Option as provided for in the Option Agreement at the minimum purchase price of $7.50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preferences and relative, participating, optional, special and other rights shall be stated and expressed in such resolutions and the certificate of designations. There were 20,000,000 shares designated as preferred stock and none were outstanding as of June 30, 2025 and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 RDO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2,840,910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5,681,820</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 RDO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1,404,494</w:t>
            </w:r>
          </w:p>
        </w:tc>
        <w:tc>
          <w:tcPr>
            <w:tcW w:w="1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2,808,988</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9,833,910</w:t>
            </w: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14,079,314</w:t>
            </w:r>
          </w:p>
        </w:tc>
      </w:tr>
      <w:tr>
        <w:trPr>
          <w:trHeight w:val="20"/>
        </w:trPr>
        <w:tc>
          <w:tcPr>
            <w:tcW w:w="8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On April 5, 2025, October 2024 RDO Warrants to purchase 2,840,910 shares of Common Stock expired. On May 14, 2025, November 2024 RDO Warrants to purchase 1,404,494 shares of Common Stock expired. Other than as disclosed above, there were no issuances, exercises or expirations of warrants during the six months ended June 30, 2025 or June 30, 2024.</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Legacy Humacyte Common Stock Warrants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former loan agreement with SVB, 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Public and Private Placement Warrants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spacing w:after="0" w:line="15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8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income (loss) at each reporting date.</w:t>
      </w:r>
    </w:p>
    <w:p>
      <w:pPr>
        <w:spacing w:after="0" w:line="14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See Note 3 — Fair Value Measurements for a summary of the change in the fair value of the Private Placement Warrants during the three and six months ended June 30, 2025 and 2024. The remeasurement of the Private Placement Warrant liability to a fair value of $0.1 million as of June 30, 2025 from $0.4 million as of December 31, 2024 resulted in a non-cash loss of less than $0.1 million and a non-cash gain of $0.2 million for the three and six months ended June 30, 2025, respectively, compared to non-cash losses of $0.2 million for each of the three and six months ended June 30, 2024. The remeasurement of the Private Placement Warrant liability is classified within Change in fair value of derivatives in the condensed consolidated statements of operations and comprehensive income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Warrants</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Together the October 2024 RDO Warrants and the November 2024 RDO Warrants are referred to as the “Registered Direct Offering Warrants”.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to determine the appropriate financial statement classification upon issuance. The </w:t>
      </w:r>
      <w:r>
        <w:rPr>
          <w:rFonts w:ascii="Times New Roman" w:cs="Times New Roman" w:eastAsia="Times New Roman" w:hAnsi="Times New Roman"/>
          <w:sz w:val="18"/>
          <w:szCs w:val="18"/>
          <w:color w:val="000000"/>
        </w:rPr>
        <w:t>Registered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Direct Offering Warrants </w:t>
      </w:r>
      <w:r>
        <w:rPr>
          <w:rFonts w:ascii="Times New Roman" w:cs="Times New Roman" w:eastAsia="Times New Roman" w:hAnsi="Times New Roman"/>
          <w:sz w:val="18"/>
          <w:szCs w:val="18"/>
          <w:color w:val="231F20"/>
        </w:rPr>
        <w:t>are not mandatorily redeemable and are considered to be freestanding instruments as they are separately exercisable into shares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Common Stock. The Company is not required to transfer assets to settle the warrants, except potentially as a result of a fundamental transaction (defined in the Registered Direct Offering Warrants to include various merger and change in control transactions). As such,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were not classified as liabilities under ASC 480. The Company then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under ASC 815.</w:t>
      </w:r>
    </w:p>
    <w:p>
      <w:pPr>
        <w:spacing w:after="0" w:line="14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The agreements governing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include a provision, which, if applied, could result in a different settlement value for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T</w:t>
      </w:r>
      <w:r>
        <w:rPr>
          <w:rFonts w:ascii="Times New Roman" w:cs="Times New Roman" w:eastAsia="Times New Roman" w:hAnsi="Times New Roman"/>
          <w:sz w:val="18"/>
          <w:szCs w:val="18"/>
          <w:color w:val="000000"/>
        </w:rPr>
        <w:t>he Registered Direct Offering Warrants cannot be exercised if after the exercise the warrant holder would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own more than 4.99% of the outstanding Common Stock (the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stock.</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the event of a fundamental transaction, if the Registered Direct Offering Warrant holder elects to have the Company repurchase the applicable Registered Direct Offering Warrant(s), the Black-Scholes value of the Registered Direct Offering Warrant is calculated with adjustments to the stock price and volatility of the shares of Common Stock on the market. These are not standard adjustments in determining the fair value of an option. As the volatility adjustment provision violates the fixed-for-fixed rule, the Registered Direct Offering Warrants </w:t>
      </w:r>
      <w:r>
        <w:rPr>
          <w:rFonts w:ascii="Times New Roman" w:cs="Times New Roman" w:eastAsia="Times New Roman" w:hAnsi="Times New Roman"/>
          <w:sz w:val="18"/>
          <w:szCs w:val="18"/>
          <w:color w:val="231F20"/>
        </w:rPr>
        <w:t>are not considered to be “indexed to the Company’s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stock” and therefore are not classified in stockholders’ equity. As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Registered Direct Offering Warrants holders are entitled to participate in dividends and other distributions of assets to the same extent as if the holders held the number of shares of Common Stock issuable upon exercising the Registered Direct Offering Warrants. Therefore, the Registered Direct Offering Warrants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October 2024 RDO Warrants</w:t>
      </w:r>
    </w:p>
    <w:p>
      <w:pPr>
        <w:spacing w:after="0" w:line="20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October 2024 RDO Warrants were immediately exercisable. October 2024 RDO Warrants to purchase 2,840,910 shares of Common Stock had an exercise price of $5.28 per share, and expired 180 days from the date of issuance unexercised. The remaining October 2024 RDO Warrants to purchase 2,840,910 shares of Common Stock have an exercise price of $5.28 per share, and will expire 1,640 days from the date of issuance.</w:t>
      </w:r>
    </w:p>
    <w:p>
      <w:pPr>
        <w:spacing w:after="0" w:line="176" w:lineRule="exact"/>
        <w:rPr>
          <w:sz w:val="20"/>
          <w:szCs w:val="20"/>
          <w:color w:val="auto"/>
        </w:rPr>
      </w:pPr>
    </w:p>
    <w:p>
      <w:pPr>
        <w:ind w:right="320" w:firstLine="324"/>
        <w:spacing w:after="0" w:line="276" w:lineRule="auto"/>
        <w:rPr>
          <w:sz w:val="20"/>
          <w:szCs w:val="20"/>
          <w:color w:val="auto"/>
        </w:rPr>
      </w:pPr>
      <w:r>
        <w:rPr>
          <w:rFonts w:ascii="Times New Roman" w:cs="Times New Roman" w:eastAsia="Times New Roman" w:hAnsi="Times New Roman"/>
          <w:sz w:val="17"/>
          <w:szCs w:val="17"/>
          <w:color w:val="auto"/>
        </w:rPr>
        <w:t xml:space="preserve">The October 2024 RDO Warrants were initially recognized as a liability on the issuance date at a fair value of $15.2 million and were subsequently remeasured to a fair value of $12.4 million as of </w:t>
      </w:r>
      <w:r>
        <w:rPr>
          <w:rFonts w:ascii="Times New Roman" w:cs="Times New Roman" w:eastAsia="Times New Roman" w:hAnsi="Times New Roman"/>
          <w:sz w:val="17"/>
          <w:szCs w:val="17"/>
          <w:color w:val="231F20"/>
        </w:rPr>
        <w:t>December 31, 2024. The remeasurement of the October RDO Warrants liability to a fair value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$2.8 million as of June 30, 2025 resulted in a non-cash loss of $0.7 million and a non-cash gain of $9.6 million for the three and six months ended June 30,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respectively, classified within Change in fair value of derivatives in the condensed consolidated statements of operations and comprehensive loss. </w:t>
      </w: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color w:val="000000"/>
        </w:rPr>
        <w:t>Note 3 — Fair Value Measurements</w:t>
      </w:r>
      <w:r>
        <w:rPr>
          <w:rFonts w:ascii="Times New Roman" w:cs="Times New Roman" w:eastAsia="Times New Roman" w:hAnsi="Times New Roman"/>
          <w:sz w:val="18"/>
          <w:szCs w:val="18"/>
          <w:color w:val="231F20"/>
        </w:rPr>
        <w:t xml:space="preserve"> for a summary of the change in the fair value of the October 2024 RDO Warrants during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October 2024 RDO Warrants were valued using the following assumptions under the Black-Scholes valuation model: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1080" w:type="dxa"/>
            <w:vAlign w:val="bottom"/>
          </w:tcPr>
          <w:p>
            <w:pPr>
              <w:spacing w:after="0"/>
              <w:rPr>
                <w:sz w:val="16"/>
                <w:szCs w:val="16"/>
                <w:color w:val="auto"/>
              </w:rPr>
            </w:pPr>
          </w:p>
        </w:tc>
        <w:tc>
          <w:tcPr>
            <w:tcW w:w="232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3"/>
        </w:trPr>
        <w:tc>
          <w:tcPr>
            <w:tcW w:w="608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1"/>
        </w:trPr>
        <w:tc>
          <w:tcPr>
            <w:tcW w:w="6080" w:type="dxa"/>
            <w:vAlign w:val="bottom"/>
          </w:tcPr>
          <w:p>
            <w:pPr>
              <w:spacing w:after="0"/>
              <w:rPr>
                <w:sz w:val="11"/>
                <w:szCs w:val="11"/>
                <w:color w:val="auto"/>
              </w:rPr>
            </w:pPr>
          </w:p>
        </w:tc>
        <w:tc>
          <w:tcPr>
            <w:tcW w:w="16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0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00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2024 RDO Warrants</w:t>
      </w:r>
    </w:p>
    <w:p>
      <w:pPr>
        <w:spacing w:after="0" w:line="200"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The November 2024 RDO Warrants were immediately exercisable. November 2024 RDO Warrants to purchase 1,404,494 shares of Common Stock had an exercise price of $5.34 per share, and expired 180 days from the date of issuance unexercised. The remaining November 2024 RDO Warrants to purchase 1,404,494 shares of Common Stock have an exercise price of $5.34 per share, and will expire 1,640 days from the date of issuance.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November 2024 RDO Warrants were initially recognized as a liability on the issuance date at a fair value of $6.1 million and were subsequently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remeasured to a fair value of $6.4 million as of </w:t>
      </w:r>
      <w:r>
        <w:rPr>
          <w:rFonts w:ascii="Times New Roman" w:cs="Times New Roman" w:eastAsia="Times New Roman" w:hAnsi="Times New Roman"/>
          <w:sz w:val="18"/>
          <w:szCs w:val="18"/>
          <w:color w:val="231F20"/>
        </w:rPr>
        <w:t>December 31, 2024. The remeasurement of the</w:t>
      </w:r>
      <w:r>
        <w:rPr>
          <w:rFonts w:ascii="Times New Roman" w:cs="Times New Roman" w:eastAsia="Times New Roman" w:hAnsi="Times New Roman"/>
          <w:sz w:val="18"/>
          <w:szCs w:val="18"/>
          <w:color w:val="auto"/>
        </w:rPr>
        <w:t xml:space="preserve"> November 2024 RDO Warrants liability </w:t>
      </w:r>
      <w:r>
        <w:rPr>
          <w:rFonts w:ascii="Times New Roman" w:cs="Times New Roman" w:eastAsia="Times New Roman" w:hAnsi="Times New Roman"/>
          <w:sz w:val="18"/>
          <w:szCs w:val="18"/>
          <w:color w:val="231F20"/>
        </w:rPr>
        <w:t>to a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million as of June 30, 2025 resulted in a non-cash loss of $0.3 million and a non-cash gain of $5.0 million for the three and six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respectively, classified within Change in fair value of derivatives in the condensed consolidated statements of operations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color w:val="000000"/>
        </w:rPr>
        <w:t>Note 3 — Fair Value Measurements</w:t>
      </w:r>
      <w:r>
        <w:rPr>
          <w:rFonts w:ascii="Times New Roman" w:cs="Times New Roman" w:eastAsia="Times New Roman" w:hAnsi="Times New Roman"/>
          <w:sz w:val="18"/>
          <w:szCs w:val="18"/>
          <w:color w:val="231F20"/>
        </w:rPr>
        <w:t xml:space="preserve"> for a summary of the change in the fair value of the November 2024 RDO Warrants during the </w:t>
      </w:r>
      <w:r>
        <w:rPr>
          <w:rFonts w:ascii="Times New Roman" w:cs="Times New Roman" w:eastAsia="Times New Roman" w:hAnsi="Times New Roman"/>
          <w:sz w:val="18"/>
          <w:szCs w:val="18"/>
          <w:color w:val="000000"/>
        </w:rPr>
        <w:t>three and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November 2024 RDO Warrants were valued using the following assumptions under the Black-Scholes valuation model: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1080" w:type="dxa"/>
            <w:vAlign w:val="bottom"/>
          </w:tcPr>
          <w:p>
            <w:pPr>
              <w:spacing w:after="0"/>
              <w:rPr>
                <w:sz w:val="16"/>
                <w:szCs w:val="16"/>
                <w:color w:val="auto"/>
              </w:rPr>
            </w:pPr>
          </w:p>
        </w:tc>
        <w:tc>
          <w:tcPr>
            <w:tcW w:w="232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3"/>
        </w:trPr>
        <w:tc>
          <w:tcPr>
            <w:tcW w:w="608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1"/>
        </w:trPr>
        <w:tc>
          <w:tcPr>
            <w:tcW w:w="6080" w:type="dxa"/>
            <w:vAlign w:val="bottom"/>
          </w:tcPr>
          <w:p>
            <w:pPr>
              <w:spacing w:after="0"/>
              <w:rPr>
                <w:sz w:val="11"/>
                <w:szCs w:val="11"/>
                <w:color w:val="auto"/>
              </w:rPr>
            </w:pPr>
          </w:p>
        </w:tc>
        <w:tc>
          <w:tcPr>
            <w:tcW w:w="16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0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00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(“Contingent Earnout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income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4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See Note 3 — Fair Value Measurements for a summary of the change in the fair value of the Contingent Earnout Liability during the three and six months ended June 30, 2025 and 2024. The remeasurement of the Contingent Earnout Liability to a fair value of $26.7 million as of June 30, 2025 from a fair value of $71.0 million as of December 31, 2024, resulted in a non-cash loss of $5.5 million and a non-cash gain of $44.3 million for the three and six months ended June 30, 2025, respectively, compared to non-cash losses of $25.6 million and $30.2 million for the three and six months ended June 30, 2024, respectively.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Pr>
          <w:p>
            <w:pPr>
              <w:spacing w:after="0"/>
              <w:rPr>
                <w:sz w:val="16"/>
                <w:szCs w:val="16"/>
                <w:color w:val="auto"/>
              </w:rPr>
            </w:pPr>
          </w:p>
        </w:tc>
        <w:tc>
          <w:tcPr>
            <w:tcW w:w="51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40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4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4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904"/>
        </w:trPr>
        <w:tc>
          <w:tcPr>
            <w:tcW w:w="3880" w:type="dxa"/>
            <w:vAlign w:val="bottom"/>
          </w:tcPr>
          <w:p>
            <w:pPr>
              <w:spacing w:after="0"/>
              <w:rPr>
                <w:sz w:val="24"/>
                <w:szCs w:val="24"/>
                <w:color w:val="auto"/>
              </w:rPr>
            </w:pPr>
          </w:p>
        </w:tc>
        <w:tc>
          <w:tcPr>
            <w:tcW w:w="4060" w:type="dxa"/>
            <w:vAlign w:val="bottom"/>
          </w:tcPr>
          <w:p>
            <w:pPr>
              <w:jc w:val="right"/>
              <w:ind w:right="2139"/>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Common Stock at the lower of 85% of the closing trading price per share of Common Stock on the first day of the offering or 85% of the closing trading price per share on the exercise date, which will occur on the last day of each offering.</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2021 Plan and ESPP provide that on January 1 of each year, the 2021 Plan and the ESPP reserve will automatically increase in an amount equal to the lesser of (a) 5% and 1%, respectively, of the number of shares of Common Stock outstanding on December 31 of the preceding year and (b) a number of shares of Common Stock determined by the Company’s board of directors. The 2021 Plan share reserve automatically increased on January 1, 2024 by 5,183,686 shares, which was equivalent to 5% of the number of shares of Common Stock outstanding on December 31, 2023. The 2021 Plan share reserve automatically increased on January 1, 2025 by 6,501,375 shares, which was equivalent to 5% of the number of shares of Common Stock outstanding on December 31, 2024. Since the inception of the ESPP, the Company’s board of directors determined that there would be no automatic increase in the number of shares reserved under the ESPP. Effective April 17, 2025, the Company’s board of directors reduced the number of shares reserved under the ESPP to zero shares of Common Stock. As of June 30, 2025, 7,198,346 shares of Common Stock were available under the 2021 Plan.</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following the Closing, no further awards were granted under either the 2015 Plan or the 2005 Plan. All awards previously granted and outstanding as of the effective date of the Merger were adjusted to reflect the impact of the Merger,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June 30, 2025, 13,821,684 and 3,555,671 shares of Common Stock remain reserved for outstanding options issued under the 2021 Plan and the 2015 Plan, respectively, and there were no shares of Common Stock outstanding under the 2005 Plan. The Company has sufficient authorized and unissued shares to issue Common Stock in satisfaction of any outstanding awards and any awards available for grant under the 2021 Plan.</w:t>
      </w:r>
    </w:p>
    <w:p>
      <w:pPr>
        <w:spacing w:after="0" w:line="1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6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tbl>
      <w:tblPr>
        <w:tblLayout w:type="fixed"/>
        <w:tblInd w:w="4760" w:type="dxa"/>
        <w:tblCellMar>
          <w:top w:w="0" w:type="dxa"/>
          <w:left w:w="0" w:type="dxa"/>
          <w:bottom w:w="0" w:type="dxa"/>
          <w:right w:w="0" w:type="dxa"/>
        </w:tblCellMar>
      </w:tblPr>
      <w:tr>
        <w:trPr>
          <w:trHeight w:val="190"/>
        </w:trPr>
        <w:tc>
          <w:tcPr>
            <w:tcW w:w="3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15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Estimated dividend yield</w:t>
      </w:r>
    </w:p>
    <w:p>
      <w:pPr>
        <w:spacing w:after="0" w:line="27" w:lineRule="exact"/>
        <w:rPr>
          <w:sz w:val="20"/>
          <w:szCs w:val="20"/>
          <w:color w:val="auto"/>
        </w:rPr>
      </w:pPr>
    </w:p>
    <w:p>
      <w:pPr>
        <w:ind w:left="180" w:hanging="161"/>
        <w:spacing w:after="0" w:line="242" w:lineRule="auto"/>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168"/>
        </w:trPr>
        <w:tc>
          <w:tcPr>
            <w:tcW w:w="1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92.8%</w:t>
            </w:r>
          </w:p>
        </w:tc>
        <w:tc>
          <w:tcPr>
            <w:tcW w:w="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91.5%</w:t>
            </w:r>
          </w:p>
        </w:tc>
      </w:tr>
      <w:tr>
        <w:trPr>
          <w:trHeight w:val="210"/>
        </w:trPr>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94.7% to 95.0%</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92.2% to 95.0%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 to 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-381635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540" w:space="220"/>
            <w:col w:w="648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5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Risk-free interest rate (weighted average and range, if</w:t>
            </w:r>
          </w:p>
        </w:tc>
        <w:tc>
          <w:tcPr>
            <w:tcW w:w="2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4.14%</w:t>
            </w:r>
          </w:p>
        </w:tc>
        <w:tc>
          <w:tcPr>
            <w:tcW w:w="16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4.31%</w:t>
            </w:r>
          </w:p>
        </w:tc>
        <w:tc>
          <w:tcPr>
            <w:tcW w:w="16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2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4.06% to 4.26%</w:t>
            </w:r>
          </w:p>
        </w:tc>
        <w:tc>
          <w:tcPr>
            <w:tcW w:w="16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4.24% to 4.41%</w:t>
            </w:r>
          </w:p>
        </w:tc>
        <w:tc>
          <w:tcPr>
            <w:tcW w:w="16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4.04% to 4.45%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to 4.41%</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20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6.25</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6.25</w:t>
            </w: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Common Stock has been determined based on the closing price of the shares on Nasdaq.</w:t>
      </w:r>
    </w:p>
    <w:p>
      <w:pPr>
        <w:spacing w:after="0" w:line="198"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31"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stock-based compensation expense included in the condensed consolidated statements of operations and comprehensive income (loss) for the three and six months ended June 30,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Approximately $0.1 million of stock-based compensation was capitalized to inventory as of June 30, 2025. As of June 30, 2025, unrecognized stock-based compensation cost for options was $30.3 million and is expected to be recognized over a weighted-average period of 2.9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Company’s stock option plans during the six months ended June 30, 2025 is presented below:</w:t>
      </w:r>
    </w:p>
    <w:p>
      <w:pPr>
        <w:spacing w:after="0" w:line="1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7,118,787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June 30,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6,671,661</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June 30,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2025. The Company’s effective federal and state tax rate for the three and six months ended June 30, 2025 and 2024 was 0%, primarily as a result of utilizing net operating losses for the fiscal year to date offset by the decrease in the valuation allowance against the related deferred tax asset.</w:t>
      </w:r>
    </w:p>
    <w:p>
      <w:pPr>
        <w:spacing w:after="0" w:line="14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and six months ended June 30, 2025 and 2024.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3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2025, on July 4, 2025, the One Big Beautiful Bill Act (“OBBBA”) was enacted. OBBBA amends the U.S. tax law including provisions related to bonus depreciation, domestic research and development expenses, and limitations on interest deductions. The Company is currently evaluating the impact of the OBBBA on its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380" w:firstLine="8"/>
        <w:spacing w:after="0" w:line="455" w:lineRule="auto"/>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2022 (as amended, the “Duke License Agreement”). Under the Duke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entry into the Duke License Agreement, the Company granted equity consideration to Duke in the form of 52,693 shares of Common Stock. Under the Duke License Agreement, the Company also agreed to pay Duke:</w:t>
      </w:r>
    </w:p>
    <w:p>
      <w:pPr>
        <w:spacing w:after="0" w:line="121" w:lineRule="exact"/>
        <w:rPr>
          <w:sz w:val="20"/>
          <w:szCs w:val="20"/>
          <w:color w:val="auto"/>
        </w:rPr>
      </w:pPr>
    </w:p>
    <w:p>
      <w:pPr>
        <w:ind w:left="660" w:right="5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13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In December 2024, the FDA approved the Company’s BLA for urgent arterial repair following extremity vascular trauma when autologous vein use is not feasible. Based on the achievement of this milestone under the Duke License Agreement, the Company recorded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of license expense payable in accrued expenses in the Company’s condensed consolidated balance sheets as of both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December 31, 2024. </w:t>
      </w:r>
      <w:r>
        <w:rPr>
          <w:rFonts w:ascii="Times New Roman" w:cs="Times New Roman" w:eastAsia="Times New Roman" w:hAnsi="Times New Roman"/>
          <w:sz w:val="18"/>
          <w:szCs w:val="18"/>
          <w:color w:val="000000"/>
        </w:rPr>
        <w:t>Other payments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Duke under the Duke License Agreement were immaterial during the periods presented.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4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Tubular Prosthesis License Agreement, the Company paid Yale upfront cash fees. The Company has also agreed to pay Yale:</w:t>
      </w:r>
    </w:p>
    <w:p>
      <w:pPr>
        <w:spacing w:after="0" w:line="135" w:lineRule="exact"/>
        <w:rPr>
          <w:sz w:val="20"/>
          <w:szCs w:val="20"/>
          <w:color w:val="auto"/>
        </w:rPr>
      </w:pPr>
    </w:p>
    <w:p>
      <w:pPr>
        <w:ind w:left="660" w:right="2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the first milestone payment of $80 thousand in April 2023 upon execution of the JDRF Agreement. In May 2024, the Company received the second milestone payment of $90 thousand and the third milestone payment of $150 thousand, based upon the achievement of certain research and development milestones specified in the JDRF Agreement. As of June 30, 2025, the Actual Award totaled $320 thousand.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98" w:lineRule="exact"/>
        <w:rPr>
          <w:sz w:val="20"/>
          <w:szCs w:val="20"/>
          <w:color w:val="auto"/>
        </w:rPr>
      </w:pPr>
    </w:p>
    <w:p>
      <w:pPr>
        <w:ind w:left="660" w:right="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income (loss), classified in Change in fair value of derivatives.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As of both June 30, 2025 and December 31, 2024, the carrying value of the JDRF liability was $0.3 million. There was an insignificant amount of interest expense related to the JDRF liability recorded during the three and six months ended June 30, 2025 and June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Reduction</w:t>
      </w:r>
    </w:p>
    <w:p>
      <w:pPr>
        <w:spacing w:after="0" w:line="202"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On April 28, 2025, the Company implemented a cost reduction action to reduce its workforce by 30 employees, cease recruitment of additional planned new hires, and reduce other operating expenses. The Company undertook these cost reductions to improve cash runway and to better align the Company’s organizational structure with its top business objectives. Employee severance costs associated with this action were $0.7 million, which were expensed during the second quarter of 2025. Employee severance costs included $0.6 million recognized in research and development expenses and $0.1 million recognized in selling, general and administrative expenses on the Company’s condensed consolidated statements of operations and comprehensive income (loss). Of the total severance costs, $0.6 million were paid during the second quarter of 2025. The remaining accrued severance obligation was less than $0.1 million as of June 30, 2025 and is expected to be paid during the third quarter of 2025. There are no further costs associated with this cost reduction action expected to be incurred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5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2024, James A. Cutshall filed a putative class action lawsuit, captioned </w:t>
      </w:r>
      <w:r>
        <w:rPr>
          <w:rFonts w:ascii="Times New Roman" w:cs="Times New Roman" w:eastAsia="Times New Roman" w:hAnsi="Times New Roman"/>
          <w:sz w:val="18"/>
          <w:szCs w:val="18"/>
          <w:i w:val="1"/>
          <w:iCs w:val="1"/>
          <w:color w:val="auto"/>
        </w:rPr>
        <w:t>Cutshall v. Humacyte, Inc., et al</w:t>
      </w:r>
      <w:r>
        <w:rPr>
          <w:rFonts w:ascii="Times New Roman" w:cs="Times New Roman" w:eastAsia="Times New Roman" w:hAnsi="Times New Roman"/>
          <w:sz w:val="18"/>
          <w:szCs w:val="18"/>
          <w:color w:val="auto"/>
        </w:rPr>
        <w:t>.,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co-lead plaintiffs filed the amended complaint in the Securities Litigation. The amended complaint expands the putative class to include persons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Co-lead plaintiffs’ opposition to defendants’ motion to dismiss is due on or before September 25, 2025, and defendants’ reply in support of their motion to dismiss is due on or before October 31, 2025.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8"/>
          <w:szCs w:val="18"/>
          <w:i w:val="1"/>
          <w:iCs w:val="1"/>
          <w:color w:val="auto"/>
        </w:rPr>
        <w:t>Silva v. Sebelius, et al</w:t>
      </w:r>
      <w:r>
        <w:rPr>
          <w:rFonts w:ascii="Times New Roman" w:cs="Times New Roman" w:eastAsia="Times New Roman" w:hAnsi="Times New Roman"/>
          <w:sz w:val="18"/>
          <w:szCs w:val="18"/>
          <w:color w:val="auto"/>
        </w:rPr>
        <w:t>., No. 1:25-cv-00005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Misko v. Niklason, et al</w:t>
      </w:r>
      <w:r>
        <w:rPr>
          <w:rFonts w:ascii="Times New Roman" w:cs="Times New Roman" w:eastAsia="Times New Roman" w:hAnsi="Times New Roman"/>
          <w:sz w:val="18"/>
          <w:szCs w:val="18"/>
          <w:color w:val="auto"/>
        </w:rPr>
        <w:t>., No. 1:25-cv-00028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151"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cs="Times New Roman" w:eastAsia="Times New Roman" w:hAnsi="Times New Roman"/>
          <w:sz w:val="17"/>
          <w:szCs w:val="17"/>
          <w:i w:val="1"/>
          <w:iCs w:val="1"/>
          <w:color w:val="auto"/>
        </w:rPr>
        <w:t>Olson v. Niklason</w:t>
      </w:r>
      <w:r>
        <w:rPr>
          <w:rFonts w:ascii="Times New Roman" w:cs="Times New Roman" w:eastAsia="Times New Roman" w:hAnsi="Times New Roman"/>
          <w:sz w:val="17"/>
          <w:szCs w:val="17"/>
          <w:color w:val="auto"/>
        </w:rPr>
        <w:t>, et al., No. 1:25-cv-00123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alleging that the Company had refused his demand. The complaint in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pending final resolution of the Securities Litigation. On April 24, 2025, the court granted the parties’ joint motion to stay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w:t>
      </w:r>
    </w:p>
    <w:p>
      <w:pPr>
        <w:spacing w:after="0" w:line="150"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w:t>
      </w:r>
    </w:p>
    <w:p>
      <w:pPr>
        <w:spacing w:after="0" w:line="9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June 9, 2025, a putative stockholder of the Company filed a verified stockholder derivative action in the United States District Court for the District of Delaware, captioned </w:t>
      </w:r>
      <w:r>
        <w:rPr>
          <w:rFonts w:ascii="Times New Roman" w:cs="Times New Roman" w:eastAsia="Times New Roman" w:hAnsi="Times New Roman"/>
          <w:sz w:val="18"/>
          <w:szCs w:val="18"/>
          <w:i w:val="1"/>
          <w:iCs w:val="1"/>
          <w:color w:val="auto"/>
        </w:rPr>
        <w:t>Dusci v. Bamforth, et al</w:t>
      </w:r>
      <w:r>
        <w:rPr>
          <w:rFonts w:ascii="Times New Roman" w:cs="Times New Roman" w:eastAsia="Times New Roman" w:hAnsi="Times New Roman"/>
          <w:sz w:val="18"/>
          <w:szCs w:val="18"/>
          <w:color w:val="auto"/>
        </w:rPr>
        <w:t>., No. 1:25-cv-00722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The complaint in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asserts substantive claims and allegations that are substantively similar to those asserted in the Consolidated Derivative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disputes all claims asserted against it in the Securities Litigation and disputes that the plaintiffs in the Consolidated Derivative Action,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June 30, 2025. Since the outcome of these matters cannot be predicted with certainty, any associated costs could have a material adverse effect on the Company’s consolidated results of operations, financial position or cash flows.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13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(“CABG”),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4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61"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3"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was an insignificant amount of royalties payable to Fresenius Medical Care based on the Company’s product revenue recognized during the three and six months ended June 30,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Frenova Renal Research</w:t>
      </w:r>
    </w:p>
    <w:p>
      <w:pPr>
        <w:spacing w:after="0" w:line="20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June 2024, the Company entered into a master services agreement with Frenova Renal Research (“Frenova”), a subsidiary of Fresenius Medical Care, that sets forth the terms by which the Company may engage Frenova to provide certain services for projects, with the services for each project being described in a separate statement of work. As of June 30, 2025, Frenova was engaged to perform clinical research services related to the Company’s V012 Phase 3 clinical trial. During each of the three and six months ended June 30, 2025, amounts expensed in relation to this agreement with Frenova were approximately $0.1 million. There was $0.1 million and an insignificant amount payable to Frenova as of June 30, 2025 and December 31, 2024, respectively, included in accrued expenses on the Company’s condensed consolidated balance sheets.</w:t>
      </w:r>
    </w:p>
    <w:p>
      <w:pPr>
        <w:spacing w:after="0" w:line="14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three and six months ended June 30, 2025, there was no expense recognized in relation to this agreement with Fresenius GmbH. As of June 30, 2025, there was $0.1 million payable to Fresenius GmbH included in accounts payable on the Company’s condensed consolidated balance sheets. As of December 31, 2024, there was less than $0.1 million payable to Fresenius GmbH included in accounts payable and less than $0.1 million payable to Fresenius GmbH included in accrued expenses on the Company’s condensed consolidated balance sheets.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President and Chief Executive Officer, Laura Niklason M.D., PhD., serves as an Adjunct Professor in Anesthesia at Yale University. As of June 30, 2025 and December 31, 2024, the Company was a party to license agreements with Yale University as described in Note 11 — Commitments and Contingencies above. Amounts expensed in relation to the license agreements with Yale University were insignificant during the three and six months ended June 30, 2025 and 2024. There was an insignificant amount payable to Yale as of both June 30, 2025 and December 31, 2024 included in accounts payable on the Company’s condensed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subsidiaries (Humacyte Global, Inc. and Humacyte Europe Limited) following the Merger (defined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8"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ATEVs. On December 19, 2024, the FDA granted full approval for the ATEV under the brand name Symvess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CABG and pediatric heart surgery. Over the longer term, we are developing our ATEV for the delivery of cellular therapies, including pancreatic islet cell transplantation to treat Type 1 diabetes (our BioVascular Pancreas or BVP). We will continue to explore the application of our technology across a broad range of markets and indications, including the development of urinary conduit, trachea, esophagus and other novel cell delivery systems.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and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In addition to extremity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13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granted priority review and set a Prescription Drug User Fee Act date of August 10, 2024. On August 9, 2024, the FDA informed us that it required additional time to complete its review of the BLA for the vascular trauma indication. 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authorized us to commence commercial shipments and we shipped our first commercial products in March 2025.</w:t>
      </w:r>
    </w:p>
    <w:p>
      <w:pPr>
        <w:spacing w:after="0" w:line="16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April 2023, we announced completion of enrollment of our V007 Phase 3 trial of the ATEV for use in AV access for hemodialysis. In July 2024, we announced positive topline results from our V007 Phase 3 trial, where the ATEV met the primary endpoints in the study. Dependent upon interim results from our ongoing V012 Phase 3 trial in women, we plan to submit a supplemental BLA for the ATEV to the FDA for an indication in AV access for hemodialysis in the second half of 2026.</w:t>
      </w:r>
    </w:p>
    <w:p>
      <w:pPr>
        <w:spacing w:after="0" w:line="13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We have incurred operating losses and negative cash flows from operations in each year since our inception in 2004. As of June 30, 2025 and December 31, 2024, we had an accumulated deficit of $684.5 million and $686.0 million, respectively, and working capital of $30.6 million and $27.9 million, respectively. Our operating losses were approximately $29.7 million and $52.9 million for the three and six months ended June 30, 2025, respectively, and $29.5 million and $56.1 million for the three and six months ended June 30, 2024, respectively.</w:t>
      </w:r>
    </w:p>
    <w:p>
      <w:pPr>
        <w:spacing w:after="0" w:line="13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$55.0 million and $48.6 million during the six months ended June 30, 2025 and 2024, respectively. Substantially all of our operating losses resulted from costs incurred in connection with our research and development programs and from selling, general and administrative costs associated with our operations. We expect to incur substantial operating losses and negative cash flows from operations for the foreseeable future as we begin to commercialize Symvess and advance our product candidates.</w:t>
      </w:r>
    </w:p>
    <w:p>
      <w:pPr>
        <w:spacing w:after="0" w:line="15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we had cash and cash equivalents of $38.0 million and restricted cash of $50.4 million. We believe our cash and cash equivalents on hand and existing capacity under our Common Stock Purchase Agreement will be sufficient to fund operations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and the results of our commercial sales efforts. We recently received FDA approval to commercialize Symvess and have only recently generated revenue from the sale of commercialized products. Our ability to generate product revenue will depend on the successful development and commercialization of Symvess and our product candidates. Until such time, if ever, we expect to finance our operations through the use of existing cash and cash equivalents, the sale of equity, debt, financings, debt refinancings or restructurings or through potential collaborations with other companies,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Symvess via U.S. market launch for indications in vascular trauma and, if approved, in AV access for hemodialysis;</w:t>
      </w:r>
    </w:p>
    <w:p>
      <w:pPr>
        <w:spacing w:after="0" w:line="198"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marketing approval for our 6 millimeter ATEV in additional indications involving vascular repair, reconstruction and replacement, including in AV access for hemodialysis;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market demand for Symvess in the U.S. and our product candidates, following receipt of any regulatory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17"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53" w:lineRule="exact"/>
        <w:rPr>
          <w:rFonts w:ascii="Times New Roman" w:cs="Times New Roman" w:eastAsia="Times New Roman" w:hAnsi="Times New Roman"/>
          <w:sz w:val="18"/>
          <w:szCs w:val="18"/>
          <w:color w:val="231F20"/>
        </w:rPr>
      </w:pPr>
    </w:p>
    <w:p>
      <w:pPr>
        <w:ind w:left="660" w:right="300" w:hanging="328"/>
        <w:spacing w:after="0" w:line="266"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April 28, 2025, we implemented a cost reduction action to reduce our workforce by 30 employees, cease recruitment of additional planned new hires, and reduce other operating expenses. Substantially all of the employees impacted by this plan were notified beginning May 7, 2025. We undertook these cost reductions to improve cash runway and to better align the Company’s organizational structure with its top business objectives. We incurred aggregate charges representing one-time cash expenditure for severance and other employee termination benefits of approximately $0.7 million during the second quarter of 2025, of which $0.6 million was recognized in research and development expenses and $0.1 million was recognized in selling, general and administrative expenses on our condensed consolidated statements of operations and comprehensive income (loss). Humacyte estimates that it will incur savings due to the workforce and other operating cost reductions, and reduced capital expenditures, net of termination severance and benefits, totaling approximately $13.8 million in 2025 and up to approximately $38.0 million in 2026.</w:t>
      </w:r>
    </w:p>
    <w:p>
      <w:pPr>
        <w:spacing w:after="0" w:line="16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October 2024, we submitted a New Technology Add-On Payment (“NTAP”) application for Symvess to the Centers for Medicare and Medicaid Services (“CMS”). In July 2025, CMS declined to approve our NTAP application. We may engage in discussions with CMS regarding the application, but there is no guarantee that CMS will reverse its decision within a given timeframe, or at all. We believe that the potential impact of the NTAP on commercial success is limited as only approximately 4.3% of vascular trauma patients are covered under Medicare reimbursement.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generate product revenue from commercial sales of Symvess in the United States. Contract revenue consists of revenue related to a single contract with a customer to recover contract expenses. Contract revenue associated with each performance obligation in the contract is recognized as the research and development services are provided according to the actual costs incurred compared to the total costs expected to be incurred to satisfy the performance obligation.</w:t>
      </w:r>
    </w:p>
    <w:p>
      <w:pPr>
        <w:spacing w:after="0" w:line="13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Prior to the recent commercialization of the ATEVs in the vascular trauma indication, all of our revenue was derived from government and other grants. From inception through June 30, 2025, we have been awarded grants, including grants from the California Institute of Regenerative Medicine (“CIRM”), the National Institutes of Health (“NIH”), and the Department of Defense, to support our development, production scaling and clinical trials of our product candidates.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may generate revenue in the future from government and other grants, payments from future license or collaboration agreements and from product sales of our ATEVs in the vascular trauma indication and any of our product candidates that receive marketing approval.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inventory for which the production costs were recorded as an expense in 2024 prior to FDA approval. We expect cost of goods sold to normalize after utilization of this inventory. If market acceptance of Symvess does not occur at all or on a timely basis prior to the inventory shelf-life expiration, we may be required to write-off some or all inventory, which could affect our financial requirements and financial results. Cost of goods sold includes overhead related to unused production capacity, which was recorded as an expense during the three and six months ended June 30, 2025, as well as royalties expense based on our product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1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2 and 3 clinical trials for our 6 millimeter ATEV and other work needed to obtain marketing approval for our 6 millimeter ATEV for use in AV access in hemodialysis and PAD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5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9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clinical and commercial manufacturing capabilities or making arrangements with third-party manufacturers in order to ensure that it or its third-party manufacturers are able to successfully manufacture our product;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Symvess and our product candidates, if approved,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Symvess and any product candidates that obtain marketing approval; and</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of Symvess in the vascular trauma indication and in any other indications for which approval may be granted, or for any of our product candidates, if approved.</w:t>
      </w:r>
    </w:p>
    <w:p>
      <w:pPr>
        <w:spacing w:after="0" w:line="13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5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(iii) interest expense incurred on the Purchase Agreement (defined above) and finance leases, and (iv) the change in fair value of our derivative liabilities and asset including the private placement Common Stock warrant liabilities related to the Private Placement Warrants, which we assumed in connection with the Merger; Common Stock warrant liabilities related to our Registered Direct Offerings; the contingent derivative liability related to the Purchase Agreement; a liability related to a freestanding option agreement related to the Purchase Agreement; a derivative liability related to our agreement with JDRF; and a derivative asset related to our Common Stock Purchase Agreement, all of which are subject to remeasurement to fair value at each balance sheet date resulting in a non-cash gain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2025 and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revenue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revenue was $0.3 million for the three months ended June 30, 2025, compared to no revenue for the three months ended June 30, 2024. Revenue for the three months ended June 30, 2025 consisted of $0.1 million of product revenue from sales of Symvess in the United States and $0.2 million of revenue earned related to research and development services pursuant to a research contract with a large medical technology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was $0.2 million for the three months ended June 30, 2025 and includes overhead related to unused production capacity which was recorded as an expense during the period. There was no cost of goods sold for the three months ended June 30,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$22.0 million for the three months ended June 30, 2025, representing a decrease of $1.7 million, or 7%, from $23.8 million for the three months ended June 30, 2024. The decrease was driven by a $2.0 million decrease in other research and development expense related to the capitalization of overhead costs associated with the commercial manufacturing of Symvess, a $0.9 million decrease in external services and an $0.8 million decrease in clinical trials expense, partially offset by a $1.8 million increase in materials and supplies expense driven by an increase in manufacturing production runs.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$7.8 million and $5.7 million for the three months ended June 30, 2025 and 2024, respectively. The increase in selling, general and administrative expenses compared to the prior period of $2.1 million, or 36%, was primarily driven by the commercial launch of Symvess and included a $1.9 million increase in payroll and personnel expenses.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20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$7.9 million for the three months ended June 30, 2025 compared to net expense of $27.2 million for the three months ended June 30, 2024. The decrease in net expense of $19.2 million during the three months ended June 30, 2025 compared to the three months ended June 30, 2024 primarily resulted from a $20.1 million decrease in the non-cash loss resulting from the remeasurement of the Contingent Earnout Liability during each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2025 and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90,040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Not meaningful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Total revenue was $0.8 million for the six months ended June 30, 2025, compared to no revenue for the six months ended June 30, 2024. Revenue for the six months ended June 30, 2025 consisted of $0.2 million of product revenue from sales of Symvess in the United States and $0.6 million of revenue earned related to research and development services pursuant to a research contract with a large medical technology company.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was $0.4 million for the six months ended June 30, 2025 and includes overhead related to unused production capacity which was recorded as an expense during the period. There was no cost of goods sold for the six months ended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$37.4 million for the six months ended June 30, 2025, representing a decrease of $7.6 million, or 17%, from $45.0 million for the six months ended June 30, 2024. The decrease was primarily driven by a $3.6 million decrease in materials and supplies expense, primarily related to the capitalization of expenditures for inventory during the six months ended June 30, 2025 due to the commencement of commercial manufacturing to support the market launch of Symvess, a $2.4 million decrease in other research and development expenses related to the capitalization of overhead costs associated with the commercial manufacturing of Symvess and a $1.5 million decrease in clinical trials expense.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$15.9 million and $11.1 million for the six months ended June 30, 2025 and 2024, respectively. The increase in general and administrative expenses compared to the prior period of $4.9 million, or 44%, was primarily driven by the commercial launch of Symvess. Significant increases in expenses included a $4.1 million increase in payroll and personnel expenses and a $0.5 million increase in professional fees.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0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Total other income, net was $54.4 million for the six months ended June 30, 2025, compared to net expense of $32.5 million for the six months ended June 30, 2024. The increase in net income of $86.9 million during the six months ended June 30, 2025 compared to the six months ended June 30, 2024 primarily resulted from a $74.4 million increase in the non-cash gain resulting from the remeasurement of the Contingent Earnout Liability during each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0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and convertible debt, including pursuant to the 2024 Public Offering, 2025 Public Offering, October 2024 Registered Direct Offering, November Registered Direct Offering, proceeds from the PIPE Financing that occurred in connection with the Merger, borrowings under loan facilities, the Purchase Agreement, and, to a lesser extent, through grants from governmental and other agencies. Since our inception, we have incurred significant operating losses and negative cash flows. As of June 30, 2025 and December 31, 2024, we had an accumulated deficit of $684.5 million and $686.0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we had working capital of $30.6 million and $27.9 million, respectively. As of June 30, 2025 and December 31, 2024, we had cash and cash equivalents of $38.0 million and $44.9 million, respectively, and restricted cash of $50.4 million. We funded the restricted cash account on August 14, 2024, in accordance with our amended Purchase Agreement, of which $50.0 million is not subject to our unilateral control.</w:t>
      </w:r>
    </w:p>
    <w:p>
      <w:pPr>
        <w:spacing w:after="0" w:line="13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2025, we had $47.5 million in remaining availability for sales of Common Stock under our Common Stock Purchase Agreement with Lincoln Park and $69.3 million in remaining availability for sales of Common Stock under our ATM Facility. Subsequent to June 30, 2025, we completed sales of </w:t>
      </w:r>
      <w:r>
        <w:rPr>
          <w:rFonts w:ascii="Times New Roman" w:cs="Times New Roman" w:eastAsia="Times New Roman" w:hAnsi="Times New Roman"/>
          <w:sz w:val="18"/>
          <w:szCs w:val="18"/>
          <w:color w:val="231F20"/>
        </w:rPr>
        <w:t>shares under the ATM Facility that provided net proceeds of approximately</w:t>
      </w:r>
      <w:r>
        <w:rPr>
          <w:rFonts w:ascii="Times New Roman" w:cs="Times New Roman" w:eastAsia="Times New Roman" w:hAnsi="Times New Roman"/>
          <w:sz w:val="18"/>
          <w:szCs w:val="18"/>
          <w:color w:val="auto"/>
        </w:rPr>
        <w:t xml:space="preserve"> $6.4 million.</w:t>
      </w:r>
    </w:p>
    <w:p>
      <w:pPr>
        <w:spacing w:after="0" w:line="1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discussed above, on April 28, 2025, we implemented a cost reduction action to reduce our workforce by 30 employees, cease recruitment of additional planned new hires, and reduce other operating expenses. We undertook these cost reductions to improve cash runway and to better align the Company’s organizational structure with its top business objectives. We believe our cash and cash equivalents on hand and existing capacity under our Common Stock Purchase Agreement will be sufficient to fund operations for at least twelve months from the issuance date of these interim financial statements. The future viability of the Company beyond that point is dependent on our ability to generate cash flows from the sale of Symvess and raise additional capital to finance our operations.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financings, debt refinancings or restructurings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 w:cs="Times New Roman" w:eastAsia="Times New Roman" w:hAnsi="Times New Roman"/>
          <w:sz w:val="18"/>
          <w:szCs w:val="18"/>
          <w:color w:val="231F20"/>
        </w:rPr>
        <w:t>If we are unable to raise sufficient capital,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may be forced to delay, reduce, suspend or cease certain of our planned research and development programs or any future commercialization efforts, which would have a negative impact on our business, prospects, operating results and financial condition.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12, 2023, we entered into the Purchase Agreement with the Purchasers and another affiliate of Oberland Capital Management LLC, as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Purchasers, to obtain financing in respect to the further development and commercialization of our ATEV, to repay our then outstanding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with SVB, and for other general corporate purposes. Pursuant to the Purchase Agreement and subject to customary closing conditions,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have purchased certain revenue interests from us in exchange for an aggregate investment amount of up to $150.0 million. Under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$40.0 million of the Investment Amount, less certain transaction expenses, was funded on May 12, 2023, which was used to 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and retire our indebtedness under the our loan agreement with SVB, with the remaining proceeds funded to the Company. On March 11,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of the Investment Amount was funded to the Company. On December 19, 2024, the FDA granted full approval for our BLA for the vascular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trauma indication, and we elected not to draw the additional $40.0 million that became available under the Purchase Agreement. As of and subsequent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 are not entitled to draw on any further installments under the Purchase Agreement. See Note 7 — Revenue Interest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the condensed consolidated financial statements for additional details about this financing transaction.</w:t>
      </w:r>
    </w:p>
    <w:p>
      <w:pPr>
        <w:spacing w:after="0" w:line="16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on August 14, 2024 we funded an account in the amount of $54.0 million, over which the Agent has certain consent and other rights to $50.0 million of the funds. See Note 7 for further information.</w:t>
      </w:r>
    </w:p>
    <w:p>
      <w:pPr>
        <w:spacing w:after="0" w:line="1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February 29, 2024, we entered into an underwriting agreement in connection with the 2024 Public Offering. The net proceeds to us from the 2024 Public Offering were approximately $43.0 million, after deducting underwriting discounts and commissions and offering expenses. The 2024 Public Offering closed on March 5,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June 30, 2025, we had completed sales of shares under the Common Stock Purchase Agreement that provided $2.5 million in gross proceeds, and as of June 30, 2025 we had $47.5 million in remaining availability for sales of our Common Stock under our Common Stock Purchase Agreement with Lincoln Park.</w:t>
      </w:r>
    </w:p>
    <w:p>
      <w:pPr>
        <w:spacing w:after="0" w:line="14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On October 4, 2024, we entered into a securities purchase agreement with an institutional investor pursuant to which the investor purchased approximately $30.0 million of Common Stock and warrants in the October 2024 Registered Direct Offering. The net proceeds to us from the October 2024 Registered Direct Offering were approximately $28.0 million, after deducting placement agent’s fees and offering expenses of approximately $2.0 million. The October 2024 Registered Direct Offering closed on October 7, 2024.</w:t>
      </w:r>
    </w:p>
    <w:p>
      <w:pPr>
        <w:spacing w:after="0" w:line="15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November 13, 2024, we entered into a securities purchase agreement with an institutional investor pursuant to which the investor purchased approximately $15.0 million of Common Stock and warrants in the November 2024 Registered Direct Offering. The net proceeds to us from the November 2024 Registered Direct Offering were approximately $14.9 million after deducting offering expenses of approximately $0.1 million. The November 2024 Registered Direct Offering closed on November 15, 2024.</w:t>
      </w:r>
    </w:p>
    <w:p>
      <w:pPr>
        <w:spacing w:after="0" w:line="13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March 25, 2025, we entered into an underwriting agreement in connection with the 2025 Public Offering. The net proceeds to us from the 2025 Public Offering were approximately $46.7 million, after deducting underwriting discounts and commissions and offering expenses. The 2025 Public Offering closed on March 27,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September 1, 2022, we entered into the ATM Facility for the sale from time to time of up to $80.0 million of shares of Common Stock. As of June 30, 2025, we have sold an aggregate of 2,633,466 shares of Common Stock under the ATM Facility at an average price of $4.08 per share for net proceeds of approximately $10.4 million after deducting sales commissions of approximately $0.3 million. As of June 30, 2025, we had $69.3 million in remaining availability for sales of Common Stock under the ATM Facility. </w:t>
      </w:r>
      <w:r>
        <w:rPr>
          <w:rFonts w:ascii="Times New Roman" w:cs="Times New Roman" w:eastAsia="Times New Roman" w:hAnsi="Times New Roman"/>
          <w:sz w:val="18"/>
          <w:szCs w:val="18"/>
          <w:color w:val="231F20"/>
        </w:rPr>
        <w:t>From</w:t>
      </w:r>
      <w:r>
        <w:rPr>
          <w:rFonts w:ascii="Times New Roman" w:cs="Times New Roman" w:eastAsia="Times New Roman" w:hAnsi="Times New Roman"/>
          <w:sz w:val="18"/>
          <w:szCs w:val="18"/>
          <w:color w:val="auto"/>
        </w:rPr>
        <w:t xml:space="preserve"> June 30, 2025 through August 8, 2025, the Company sold an aggregate of 2,492,410 shares of Common Stock under the ATM Facility at an average price of $2.64 for net proceeds of approximately $6.4 million, after deducting sales commissions of approximately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 </w:t>
      </w:r>
      <w:r>
        <w:rPr>
          <w:rFonts w:ascii="Times New Roman" w:cs="Times New Roman" w:eastAsia="Times New Roman" w:hAnsi="Times New Roman"/>
          <w:sz w:val="18"/>
          <w:szCs w:val="18"/>
          <w:color w:val="231F20"/>
        </w:rPr>
        <w:t>to our unaudited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consolidated financial statements contained elsewhere in this Quarterly Report)</w:t>
      </w:r>
      <w:r>
        <w:rPr>
          <w:rFonts w:ascii="Times New Roman" w:cs="Times New Roman" w:eastAsia="Times New Roman" w:hAnsi="Times New Roman"/>
          <w:sz w:val="18"/>
          <w:szCs w:val="18"/>
          <w:color w:val="000000"/>
        </w:rPr>
        <w:t>. We have also entered into contracts with CROs primarily for clinical trials.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June 30, 2025, we had non-cancellable purchase com</w:t>
      </w:r>
      <w:r>
        <w:rPr>
          <w:rFonts w:ascii="Times New Roman" w:cs="Times New Roman" w:eastAsia="Times New Roman" w:hAnsi="Times New Roman"/>
          <w:sz w:val="18"/>
          <w:szCs w:val="18"/>
          <w:color w:val="231F20"/>
        </w:rPr>
        <w:t>mitments of $24.3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June 30, 2025.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8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May 12, 2023, we entered into the Purchase Agreement and repaid in full all of the then-existing obligations under our loan agreement with SVB.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Under the Purchase Agreement, as of June 30, 2025, we had </w:t>
      </w:r>
      <w:r>
        <w:rPr>
          <w:rFonts w:ascii="Times New Roman" w:cs="Times New Roman" w:eastAsia="Times New Roman" w:hAnsi="Times New Roman"/>
          <w:sz w:val="18"/>
          <w:szCs w:val="18"/>
          <w:color w:val="231F20"/>
        </w:rPr>
        <w:t>$68.5 million</w:t>
      </w:r>
      <w:r>
        <w:rPr>
          <w:rFonts w:ascii="Times New Roman" w:cs="Times New Roman" w:eastAsia="Times New Roman" w:hAnsi="Times New Roman"/>
          <w:sz w:val="18"/>
          <w:szCs w:val="18"/>
          <w:color w:val="000000"/>
        </w:rPr>
        <w:t xml:space="preserve"> recorded as a revenue interest liability on our condensed consolidated financial statements. For additional information regarding repayment, see Note 7 — Revenue Interest Purchase Agreement to our unaudited condensed consolidated financial statements contained elsewhere in this Quarterly Report.</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Our future contractual obligations under our lease agreements as of June 30, 2025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expect to incur significant expenses in connection with our ongoing activities as we seek to (i) commercialize Symvess and seek marketing approval for Symvess in additional indications and for our product candidates in the United States and to obtain marketing approval for our 6 millimeter ATEV outside of the United States, (ii</w:t>
      </w:r>
      <w:r>
        <w:rPr>
          <w:rFonts w:ascii="Times New Roman" w:cs="Times New Roman" w:eastAsia="Times New Roman" w:hAnsi="Times New Roman"/>
          <w:sz w:val="18"/>
          <w:szCs w:val="18"/>
          <w:color w:val="231F20"/>
        </w:rPr>
        <w:t>) continue clinical development of our 6 millimeter ATEV for use in hemodialysis AV access and submit a BLA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FDA approval of an indication in AV access for hemodialysis, (iii) advance our pipeline in major markets, including PAD Phase 3 trials and continue preclinical development and advance to planned clinical studies in CABG and BVP for diabetes, and (iv) expand our manufacturing facility as required to satisfy market demand. We will need additional funding in connection with these activities.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85" w:lineRule="exact"/>
        <w:rPr>
          <w:sz w:val="20"/>
          <w:szCs w:val="20"/>
          <w:color w:val="auto"/>
        </w:rPr>
      </w:pPr>
    </w:p>
    <w:p>
      <w:pPr>
        <w:ind w:left="660" w:right="34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Symvess in the United States,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that we receive from commercial sales of Symvess and any product candidates for which we receive marketing approval;</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marketing approval of Symvess outside of the United States and of our product candidates in the United States;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1"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commercialize Symvess and to develop and commercialize our product candidates, we expect to continue financing our operations through the sale of equity, debt, financings, debt refinancings or restructurings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our Annual Report entitled “Risk Factors” for additional risks associated with our substantial capital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income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jc w:val="both"/>
        <w:ind w:left="180" w:right="140" w:hanging="172"/>
        <w:spacing w:after="0" w:line="242" w:lineRule="auto"/>
        <w:tabs>
          <w:tab w:leader="none" w:pos="199"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includes depreciation, amortization related to our leases, stock-based compensation expense, non-cash interest expense related to our revenue interest liability and our JDRF Award liability, and the changes in fair value of our Contingent Earnout Liability and our derivative liabilities and asset.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18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increase in net cash used in operating activities from </w:t>
      </w:r>
      <w:r>
        <w:rPr>
          <w:rFonts w:ascii="Times New Roman" w:cs="Times New Roman" w:eastAsia="Times New Roman" w:hAnsi="Times New Roman"/>
          <w:sz w:val="18"/>
          <w:szCs w:val="18"/>
          <w:color w:val="000000"/>
        </w:rPr>
        <w:t>the six months ended June 30, 2024</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the six months ended June 30, 2025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increased spending on preclinical, clinical and commercial activities as well as payroll and personnel expenses, expansion of clinical development of the ATEV for use in AV access, and our commercial launch of Symvess.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Net cash used in investing activities for </w:t>
      </w:r>
      <w:r>
        <w:rPr>
          <w:rFonts w:ascii="Times New Roman" w:cs="Times New Roman" w:eastAsia="Times New Roman" w:hAnsi="Times New Roman"/>
          <w:sz w:val="18"/>
          <w:szCs w:val="18"/>
          <w:color w:val="000000"/>
        </w:rPr>
        <w:t>the six months ended June 30, 2025 and June 30, 2024 consisted of purchases of property and equipment.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consisted primarily of $46.7 million of net proceeds from our 2025 Public Offering. Net cash provided by financing activities for the six months ended June 30, 2024 consisted primarily of $43.0 million of net proceeds from our 2024 Public Offering and $19.5 million of proceeds from the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2024 and 2023,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0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under the Exchange Act (“Regulation S-K”), and may continue to qualify as such even after we no longer qualify as an emerging growth company.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June 30, 2025 that have materially affected, or are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November 18, 2024, James A. Cutshall filed a putative class action lawsuit, captioned Cutshall v. Humacyte, Inc., et al.,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Co-lead plaintiffs’ opposition to defendants’ motion to dismiss is due on or before September 25, 2025, and defendants’ reply in support of their motion to dismiss is due on or before October 31, 2025.</w:t>
      </w:r>
    </w:p>
    <w:p>
      <w:pPr>
        <w:spacing w:after="0" w:line="1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8"/>
          <w:szCs w:val="18"/>
          <w:i w:val="1"/>
          <w:iCs w:val="1"/>
          <w:color w:val="auto"/>
        </w:rPr>
        <w:t>Silva v. Sebelius, et al</w:t>
      </w:r>
      <w:r>
        <w:rPr>
          <w:rFonts w:ascii="Times New Roman" w:cs="Times New Roman" w:eastAsia="Times New Roman" w:hAnsi="Times New Roman"/>
          <w:sz w:val="18"/>
          <w:szCs w:val="18"/>
          <w:color w:val="auto"/>
        </w:rPr>
        <w:t>., No. 1:25-cv-00005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Misko v. Niklason, et al</w:t>
      </w:r>
      <w:r>
        <w:rPr>
          <w:rFonts w:ascii="Times New Roman" w:cs="Times New Roman" w:eastAsia="Times New Roman" w:hAnsi="Times New Roman"/>
          <w:sz w:val="18"/>
          <w:szCs w:val="18"/>
          <w:color w:val="auto"/>
        </w:rPr>
        <w:t>., No. 1:25-cv-00028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165"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cs="Times New Roman" w:eastAsia="Times New Roman" w:hAnsi="Times New Roman"/>
          <w:sz w:val="17"/>
          <w:szCs w:val="17"/>
          <w:i w:val="1"/>
          <w:iCs w:val="1"/>
          <w:color w:val="auto"/>
        </w:rPr>
        <w:t>Olson v. Niklason, et al.</w:t>
      </w:r>
      <w:r>
        <w:rPr>
          <w:rFonts w:ascii="Times New Roman" w:cs="Times New Roman" w:eastAsia="Times New Roman" w:hAnsi="Times New Roman"/>
          <w:sz w:val="17"/>
          <w:szCs w:val="17"/>
          <w:color w:val="auto"/>
        </w:rPr>
        <w:t>, No. 1:25-cv-00123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alleging that the Company had refused his demand. The complaint in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 pending final resolution of the Securities Litigation. On April 24, 2025, the court granted the parties’ joint motion to stay the </w:t>
      </w:r>
      <w:r>
        <w:rPr>
          <w:rFonts w:ascii="Times New Roman" w:cs="Times New Roman" w:eastAsia="Times New Roman" w:hAnsi="Times New Roman"/>
          <w:sz w:val="17"/>
          <w:szCs w:val="17"/>
          <w:i w:val="1"/>
          <w:iCs w:val="1"/>
          <w:color w:val="auto"/>
        </w:rPr>
        <w:t>Olson</w:t>
      </w:r>
      <w:r>
        <w:rPr>
          <w:rFonts w:ascii="Times New Roman" w:cs="Times New Roman" w:eastAsia="Times New Roman" w:hAnsi="Times New Roman"/>
          <w:sz w:val="17"/>
          <w:szCs w:val="17"/>
          <w:color w:val="auto"/>
        </w:rPr>
        <w:t xml:space="preserve"> Action.</w:t>
      </w:r>
    </w:p>
    <w:p>
      <w:pPr>
        <w:spacing w:after="0" w:line="136"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w:t>
      </w:r>
    </w:p>
    <w:p>
      <w:pPr>
        <w:spacing w:after="0" w:line="9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June 9, 2025, a putative stockholder of the Company filed a verified stockholder derivative action in the United States District Court for the District of Delaware, captioned </w:t>
      </w:r>
      <w:r>
        <w:rPr>
          <w:rFonts w:ascii="Times New Roman" w:cs="Times New Roman" w:eastAsia="Times New Roman" w:hAnsi="Times New Roman"/>
          <w:sz w:val="18"/>
          <w:szCs w:val="18"/>
          <w:i w:val="1"/>
          <w:iCs w:val="1"/>
          <w:color w:val="auto"/>
        </w:rPr>
        <w:t>Dusci v. Bamforth, et al</w:t>
      </w:r>
      <w:r>
        <w:rPr>
          <w:rFonts w:ascii="Times New Roman" w:cs="Times New Roman" w:eastAsia="Times New Roman" w:hAnsi="Times New Roman"/>
          <w:sz w:val="18"/>
          <w:szCs w:val="18"/>
          <w:color w:val="auto"/>
        </w:rPr>
        <w:t>., No. 1:25-cv-00722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The complaint in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asserts substantive claims and allegations that are substantively similar to those asserted in the Consolidated Derivative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disputes all claims asserted against it in the Securities Litigation and disputes that the plaintiffs in the Consolidated Derivative Action, the </w:t>
      </w:r>
      <w:r>
        <w:rPr>
          <w:rFonts w:ascii="Times New Roman" w:cs="Times New Roman" w:eastAsia="Times New Roman" w:hAnsi="Times New Roman"/>
          <w:sz w:val="18"/>
          <w:szCs w:val="18"/>
          <w:i w:val="1"/>
          <w:iCs w:val="1"/>
          <w:color w:val="auto"/>
        </w:rPr>
        <w:t>Dusci</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have standing to assert claims derivatively on its behalf. The Company is currently unable to estimate the potential loss or range of loss, if any, associated with these lawsuits, which could be material.</w:t>
      </w:r>
    </w:p>
    <w:p>
      <w:pPr>
        <w:spacing w:after="0" w:line="1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See the section “Legal Matters” contained in </w:t>
      </w:r>
      <w:r>
        <w:rPr>
          <w:rFonts w:ascii="Times New Roman" w:cs="Times New Roman" w:eastAsia="Times New Roman" w:hAnsi="Times New Roman"/>
          <w:sz w:val="18"/>
          <w:szCs w:val="18"/>
          <w:color w:val="000000"/>
        </w:rPr>
        <w:t>Note 11 — Commitments and Contingencies</w:t>
      </w:r>
      <w:r>
        <w:rPr>
          <w:rFonts w:ascii="Times New Roman" w:cs="Times New Roman" w:eastAsia="Times New Roman" w:hAnsi="Times New Roman"/>
          <w:sz w:val="18"/>
          <w:szCs w:val="18"/>
          <w:color w:val="231F20"/>
        </w:rPr>
        <w:t xml:space="preserve"> in the notes to our accompanying condensed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324"/>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risk factors are disclosed in </w:t>
      </w:r>
      <w:r>
        <w:rPr>
          <w:rFonts w:ascii="Times New Roman" w:cs="Times New Roman" w:eastAsia="Times New Roman" w:hAnsi="Times New Roman"/>
          <w:sz w:val="18"/>
          <w:szCs w:val="18"/>
          <w:color w:val="000000"/>
        </w:rPr>
        <w:t>Part I, Item 1A of our Annual Report. T</w:t>
      </w:r>
      <w:r>
        <w:rPr>
          <w:rFonts w:ascii="Times New Roman" w:cs="Times New Roman" w:eastAsia="Times New Roman" w:hAnsi="Times New Roman"/>
          <w:sz w:val="18"/>
          <w:szCs w:val="18"/>
          <w:color w:val="231F20"/>
        </w:rPr>
        <w:t xml:space="preserve">here have been no material changes during the six months ended June 30, 2025 from, or updates to, the risk factors </w:t>
      </w:r>
      <w:r>
        <w:rPr>
          <w:rFonts w:ascii="Times New Roman" w:cs="Times New Roman" w:eastAsia="Times New Roman" w:hAnsi="Times New Roman"/>
          <w:sz w:val="18"/>
          <w:szCs w:val="18"/>
          <w:color w:val="000000"/>
        </w:rPr>
        <w:t>discussed in Part I, Item 1A,</w:t>
      </w:r>
      <w:r>
        <w:rPr>
          <w:rFonts w:ascii="Times New Roman" w:cs="Times New Roman" w:eastAsia="Times New Roman" w:hAnsi="Times New Roman"/>
          <w:sz w:val="18"/>
          <w:szCs w:val="18"/>
          <w:color w:val="231F20"/>
        </w:rPr>
        <w:t xml:space="preserve"> </w:t>
      </w:r>
      <w:hyperlink r:id="rId77">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Annual Report, except as follows:</w:t>
      </w:r>
    </w:p>
    <w:p>
      <w:pPr>
        <w:spacing w:after="0" w:line="117"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execute or achieve the expected benefits of cost-saving measures that we have taken or may take in the future, and our efforts may result in further actions or additional asset impairment charges and adversely affect our business.</w:t>
      </w:r>
    </w:p>
    <w:p>
      <w:pPr>
        <w:spacing w:after="0" w:line="11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April 28, 2025, we implemented a cost reduction action to reduce our workforce by 30 employees, cease recruitment of additional planned new hires, and reduce other operating expenses. We undertook these cost reductions to improve our cash runway and to better align our organizational structure with our top business objectives.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and that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use of, our ATEVs.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April 14, 2025, Dale Sander, the Company’s Chief Financial Officer, terminated a trading arrangement for the sale of Common Stock that is intended to satisfy the affirmative defense conditions provided by Rule 10b5-1(c) under the Exchange Act. (a “10b5-1 Plan”) that was adopted on September 13, 2024 (the “2024 Sander 10b5-1 Plan”). The 2024 Sander 10b5-1 Plan provided for the sale of up to 189,860 shares of Common Stock, and would have expired on September 12, 2025 if not earlier terminated. As of the date of termination, Mr. Sander had not sold any shares of Common Stock pursuant to the terms of the 2024 Sander 10b5-1 Plan.</w:t>
      </w:r>
    </w:p>
    <w:p>
      <w:pPr>
        <w:spacing w:after="0" w:line="15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May 12, 2025, a 10b5-1 Plan that Yang (Cindy) Cao, the Company’s Chief Regulatory Officer, adopted on May 14, 2024 (the “2024 Cao 10b5-1 Plan”) automatically terminated. The 2024 Cao 10b5-1 Plan provided for the sale of up to 18,503 shares of Common Stock. As of the date of termination, Dr. Cao had not sold any shares of Common Stock pursuant to the terms of the 2024 Cao 10b5-1 Plan.</w:t>
      </w:r>
    </w:p>
    <w:p>
      <w:pPr>
        <w:spacing w:after="0" w:line="13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May 20, 2025, Dr. Cao adopted a 10b5-1 Plan (the “2025 Cao 10b5-1 Plan”). The 2025 Cao 10b5-1 Plan provides for a first possible trade date of August 18, 2025 and terminates automatically on the earlier of the execution of all trades contemplated by the 2025 Cao 10b5-1 Plan, or May 20, 2026. The 2025 Cao 10b5-1 Plan provides for the sale of up to 41,944 shares of Common Stock pursuant to its terms.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April 20, 2025, William (B.J.) Scheessele, the Company’s Chief Commercial Officer, terminated a 10b5-1 Plan that was adopted on September 12, 2024 (the “2024 Scheessele 10b5-1 Plan”). The 2024 Scheessele 10b5-1 Plan provided for the exercise of options to purchase up to 89,050 shares of Common Stock and the related sale of up to 85,900 shares of Common Stock. As of the date of termination, Mr. Scheessele had not sold any shares of Common Stock pursuant to the terms of the 2024 Scheessele 10b5-1 Plan.</w:t>
      </w:r>
    </w:p>
    <w:p>
      <w:pPr>
        <w:spacing w:after="0" w:line="153"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June 12, 2025, Mr. Scheessele adopted a 10b5-1 Plan (the “2025 Scheessele 10b5-1 Plan”). The 2025 Scheessele 10b5-1 Plan provides for a first possible trade date of September 11, 2025 and terminates automatically on the earlier of the execution of all trades contemplated by the 2025 Scheessele 10b5-1 Plan, or June 12, 2026. The 2025 Scheessele 10b5-1 Plan provides for the exercise of options to purchase up to 89,050 shares of Common Stock and the related sale of up to 85,900 shares of Common Stock pursuant to its terms.</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June 30, 2025, no director or officer (as defined in Rule 16a-1(f) under the Exchange Act) of the Company adopted or terminated any “Rule 10b5-1 trading arrangement” or any “non 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ind w:right="540"/>
        <w:spacing w:after="0" w:line="266"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Certificate of Amendment to the Second Amended and Restated Certificate of Incorporation of Humacyte, Inc. (incorporated by</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reference to Exhibit 3.1 to Humacyte, Inc.’s Current Report on Form 8-K, filed with the SEC on June 11, 2025).</w:t>
        </w:r>
      </w:hyperlink>
    </w:p>
    <w:p>
      <w:pPr>
        <w:spacing w:after="0" w:line="55" w:lineRule="exact"/>
        <w:rPr>
          <w:sz w:val="20"/>
          <w:szCs w:val="20"/>
          <w:color w:val="auto"/>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420" w:type="dxa"/>
            <w:vAlign w:val="bottom"/>
            <w:tcBorders>
              <w:top w:val="single" w:sz="8" w:color="0000FF"/>
            </w:tcBorders>
            <w:gridSpan w:val="2"/>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materials from Humacyte, Inc.’s Quarterly Report on Form 10-Q for the quarter ended June 30, 2025, formatted in</w:t>
            </w:r>
          </w:p>
        </w:tc>
      </w:tr>
      <w:tr>
        <w:trPr>
          <w:trHeight w:val="203"/>
        </w:trPr>
        <w:tc>
          <w:tcPr>
            <w:tcW w:w="1460" w:type="dxa"/>
            <w:vAlign w:val="bottom"/>
          </w:tcPr>
          <w:p>
            <w:pPr>
              <w:spacing w:after="0"/>
              <w:rPr>
                <w:sz w:val="17"/>
                <w:szCs w:val="17"/>
                <w:color w:val="auto"/>
              </w:rPr>
            </w:pPr>
          </w:p>
        </w:tc>
        <w:tc>
          <w:tcPr>
            <w:tcW w:w="97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 (iii) Condensed Consolidated</w:t>
            </w:r>
          </w:p>
        </w:tc>
      </w:tr>
      <w:tr>
        <w:trPr>
          <w:trHeight w:val="216"/>
        </w:trPr>
        <w:tc>
          <w:tcPr>
            <w:tcW w:w="146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Statements of Changes in Stockholders’ Equity (Deficit) (unaudited), (iv) Condensed Consolidated Statements of Cash Flows</w:t>
            </w:r>
          </w:p>
        </w:tc>
      </w:tr>
      <w:tr>
        <w:trPr>
          <w:trHeight w:val="234"/>
        </w:trPr>
        <w:tc>
          <w:tcPr>
            <w:tcW w:w="1460" w:type="dxa"/>
            <w:vAlign w:val="bottom"/>
          </w:tcPr>
          <w:p>
            <w:pPr>
              <w:spacing w:after="0"/>
              <w:rPr>
                <w:sz w:val="20"/>
                <w:szCs w:val="20"/>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(unaudited), (v) Notes to Condensed Consolidated Financial Statements (unaudited), and (vi) Cover Page.</w:t>
            </w:r>
          </w:p>
        </w:tc>
      </w:tr>
    </w:tbl>
    <w:p>
      <w:pPr>
        <w:spacing w:after="0" w:line="76" w:lineRule="exact"/>
        <w:rPr>
          <w:sz w:val="20"/>
          <w:szCs w:val="20"/>
          <w:color w:val="auto"/>
        </w:rPr>
      </w:pPr>
    </w:p>
    <w:p>
      <w:pPr>
        <w:ind w:left="1480" w:hanging="1454"/>
        <w:spacing w:after="0"/>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11th day of August, 2025.</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7"/>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5"/>
        </w:trPr>
        <w:tc>
          <w:tcPr>
            <w:tcW w:w="296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7"/>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4"/>
        </w:trPr>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1240"/>
          </w:cols>
          <w:pgMar w:left="320" w:top="51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2025;</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August 11,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2025;</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11, 2025</w:t>
            </w:r>
          </w:p>
        </w:tc>
        <w:tc>
          <w:tcPr>
            <w:tcW w:w="20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2025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11, 2025</w:t>
            </w:r>
          </w:p>
        </w:tc>
        <w:tc>
          <w:tcPr>
            <w:tcW w:w="236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4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2025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11, 2025</w:t>
            </w:r>
          </w:p>
        </w:tc>
        <w:tc>
          <w:tcPr>
            <w:tcW w:w="200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3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3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7" Type="http://schemas.openxmlformats.org/officeDocument/2006/relationships/hyperlink" Target="https://www.sec.gov/ix?doc=/Archives/edgar/data/1818382/000181838225000034/huma-20241231.htm#ie0573d68fa8e4e4a976867c9ab5d7930_19" TargetMode="External"/><Relationship Id="rId82" Type="http://schemas.openxmlformats.org/officeDocument/2006/relationships/hyperlink" Target="https://www.sec.gov/Archives/edgar/data/1818382/000181838225000080/huma-20250610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2025-08-11T16:10:46Z</dcterms:created>
  <dcterms:modified xsi:type="dcterms:W3CDTF">2025-08-11T16:10:46Z</dcterms:modified>
</cp:coreProperties>
</file>