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2025</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6"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001-39532</w:t>
      </w:r>
    </w:p>
    <w:p>
      <w:pPr>
        <w:spacing w:after="0" w:line="7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Humacyte,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156" w:lineRule="exact"/>
        <w:rPr>
          <w:sz w:val="24"/>
          <w:szCs w:val="24"/>
          <w:color w:val="auto"/>
        </w:rPr>
      </w:pPr>
    </w:p>
    <w:tbl>
      <w:tblPr>
        <w:tblLayout w:type="fixed"/>
        <w:tblInd w:w="1600" w:type="dxa"/>
        <w:tblCellMar>
          <w:top w:w="0" w:type="dxa"/>
          <w:left w:w="0" w:type="dxa"/>
          <w:bottom w:w="0" w:type="dxa"/>
          <w:right w:w="0" w:type="dxa"/>
        </w:tblCellMar>
      </w:tblPr>
      <w:tr>
        <w:trPr>
          <w:trHeight w:val="190"/>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30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85-1763759</w:t>
            </w:r>
          </w:p>
        </w:tc>
      </w:tr>
      <w:tr>
        <w:trPr>
          <w:trHeight w:val="203"/>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300" w:type="dxa"/>
            <w:vAlign w:val="bottom"/>
          </w:tcPr>
          <w:p>
            <w:pPr>
              <w:spacing w:after="0"/>
              <w:rPr>
                <w:sz w:val="16"/>
                <w:szCs w:val="16"/>
                <w:color w:val="auto"/>
              </w:rPr>
            </w:pPr>
          </w:p>
        </w:tc>
      </w:tr>
      <w:tr>
        <w:trPr>
          <w:trHeight w:val="675"/>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2525 East North Carolina Highway 54</w:t>
            </w:r>
          </w:p>
        </w:tc>
        <w:tc>
          <w:tcPr>
            <w:tcW w:w="5300" w:type="dxa"/>
            <w:vAlign w:val="bottom"/>
          </w:tcPr>
          <w:p>
            <w:pPr>
              <w:spacing w:after="0"/>
              <w:rPr>
                <w:sz w:val="24"/>
                <w:szCs w:val="24"/>
                <w:color w:val="auto"/>
              </w:rPr>
            </w:pPr>
          </w:p>
        </w:tc>
      </w:tr>
      <w:tr>
        <w:trPr>
          <w:trHeight w:val="216"/>
        </w:trPr>
        <w:tc>
          <w:tcPr>
            <w:tcW w:w="25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Durham, NC</w:t>
            </w:r>
          </w:p>
        </w:tc>
        <w:tc>
          <w:tcPr>
            <w:tcW w:w="5300" w:type="dxa"/>
            <w:vAlign w:val="bottom"/>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27713</w:t>
            </w:r>
          </w:p>
        </w:tc>
      </w:tr>
      <w:tr>
        <w:trPr>
          <w:trHeight w:val="203"/>
        </w:trPr>
        <w:tc>
          <w:tcPr>
            <w:tcW w:w="2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(Zip code)</w:t>
            </w:r>
          </w:p>
        </w:tc>
      </w:tr>
      <w:tr>
        <w:trPr>
          <w:trHeight w:val="370"/>
        </w:trPr>
        <w:tc>
          <w:tcPr>
            <w:tcW w:w="2520" w:type="dxa"/>
            <w:vAlign w:val="bottom"/>
          </w:tcPr>
          <w:p>
            <w:pPr>
              <w:spacing w:after="0"/>
              <w:rPr>
                <w:sz w:val="24"/>
                <w:szCs w:val="24"/>
                <w:color w:val="auto"/>
              </w:rPr>
            </w:pPr>
          </w:p>
        </w:tc>
        <w:tc>
          <w:tcPr>
            <w:tcW w:w="5300" w:type="dxa"/>
            <w:vAlign w:val="bottom"/>
          </w:tcPr>
          <w:p>
            <w:pPr>
              <w:jc w:val="right"/>
              <w:ind w:right="3270"/>
              <w:spacing w:after="0"/>
              <w:rPr>
                <w:sz w:val="20"/>
                <w:szCs w:val="20"/>
                <w:color w:val="auto"/>
              </w:rPr>
            </w:pPr>
            <w:r>
              <w:rPr>
                <w:rFonts w:ascii="Times New Roman" w:cs="Times New Roman" w:eastAsia="Times New Roman" w:hAnsi="Times New Roman"/>
                <w:sz w:val="14"/>
                <w:szCs w:val="14"/>
                <w:b w:val="1"/>
                <w:bCs w:val="1"/>
                <w:color w:val="auto"/>
              </w:rPr>
              <w:t>(919) 313-9633</w:t>
            </w:r>
          </w:p>
        </w:tc>
      </w:tr>
      <w:tr>
        <w:trPr>
          <w:trHeight w:val="164"/>
        </w:trPr>
        <w:tc>
          <w:tcPr>
            <w:tcW w:w="2520" w:type="dxa"/>
            <w:vAlign w:val="bottom"/>
          </w:tcPr>
          <w:p>
            <w:pPr>
              <w:spacing w:after="0"/>
              <w:rPr>
                <w:sz w:val="14"/>
                <w:szCs w:val="14"/>
                <w:color w:val="auto"/>
              </w:rPr>
            </w:pPr>
          </w:p>
        </w:tc>
        <w:tc>
          <w:tcPr>
            <w:tcW w:w="5300" w:type="dxa"/>
            <w:vAlign w:val="bottom"/>
          </w:tcPr>
          <w:p>
            <w:pPr>
              <w:jc w:val="center"/>
              <w:ind w:right="221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6"/>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HUMA</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8"/>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Warrants, each whole warrant exercisable for one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HUMAW</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Common Stock at an exercise price of $11.50</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tcPr>
          <w:p>
            <w:pPr>
              <w:spacing w:after="0"/>
              <w:rPr>
                <w:sz w:val="16"/>
                <w:szCs w:val="16"/>
                <w:color w:val="auto"/>
              </w:rPr>
            </w:pPr>
          </w:p>
        </w:tc>
      </w:tr>
    </w:tbl>
    <w:p>
      <w:pPr>
        <w:spacing w:after="0" w:line="203"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o</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x</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19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388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May 5, 2025, 155,118,816 shares of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2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0" w:type="dxa"/>
            <w:vAlign w:val="bottom"/>
            <w:gridSpan w:val="8"/>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rPr>
              <w:t>Humacyte, Inc.</w:t>
            </w: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8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8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20" w:type="dxa"/>
            <w:vAlign w:val="bottom"/>
          </w:tcPr>
          <w:p>
            <w:pPr>
              <w:spacing w:after="0"/>
              <w:rPr>
                <w:sz w:val="20"/>
                <w:szCs w:val="20"/>
                <w:color w:val="auto"/>
              </w:rPr>
            </w:pPr>
          </w:p>
        </w:tc>
      </w:tr>
      <w:tr>
        <w:trPr>
          <w:trHeight w:val="473"/>
        </w:trPr>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2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(Deficit)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41</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53</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53</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0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gridSpan w:val="2"/>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0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59</w:t>
            </w:r>
          </w:p>
        </w:tc>
      </w:tr>
      <w:tr>
        <w:trPr>
          <w:trHeight w:val="891"/>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580" w:type="dxa"/>
            <w:vAlign w:val="bottom"/>
            <w:tcBorders>
              <w:top w:val="single" w:sz="8" w:color="CCEEFF"/>
            </w:tcBorders>
            <w:gridSpan w:val="12"/>
          </w:tcPr>
          <w:p>
            <w:pPr>
              <w:jc w:val="center"/>
              <w:ind w:left="4130"/>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may include, for example, statements about:</w:t>
      </w:r>
    </w:p>
    <w:p>
      <w:pPr>
        <w:spacing w:after="0" w:line="117" w:lineRule="exact"/>
        <w:rPr>
          <w:sz w:val="20"/>
          <w:szCs w:val="20"/>
          <w:color w:val="auto"/>
        </w:rPr>
      </w:pPr>
    </w:p>
    <w:p>
      <w:pPr>
        <w:ind w:left="660" w:right="720" w:hanging="328"/>
        <w:spacing w:after="0" w:line="22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our plans and ability to commercialize Symvess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(acellular tissue engineered vessel-tyod or “ATEV</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and, if approved by regulatory authorities, our product candidates, successfully and on our anticipated timelines;</w:t>
      </w:r>
    </w:p>
    <w:p>
      <w:pPr>
        <w:spacing w:after="0" w:line="90" w:lineRule="exact"/>
        <w:rPr>
          <w:rFonts w:ascii="Arial" w:cs="Arial" w:eastAsia="Arial" w:hAnsi="Arial"/>
          <w:sz w:val="18"/>
          <w:szCs w:val="18"/>
          <w:color w:val="auto"/>
        </w:rPr>
      </w:pPr>
    </w:p>
    <w:p>
      <w:pPr>
        <w:ind w:left="660" w:right="320" w:hanging="328"/>
        <w:spacing w:after="0" w:line="281"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the degree of market acceptance of and the availability of third-party coverage and reimbursement for Symvess and, if approved by regulatory authorities, our product candidates;</w:t>
      </w:r>
    </w:p>
    <w:p>
      <w:pPr>
        <w:spacing w:after="0" w:line="54"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manufacture Symvess and, if approved by regulatory authorities, our product candidates in sufficient quantities to satisfy our clinical trial and commercial needs;</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the expected size of the target populations for Symvess and, if approved by regulatory authorities, our product candidates;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ATEVs relative to existing alternatives;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117"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execute product development, process development and preclinical development efforts successfully and on our anticipated timelines;</w:t>
      </w:r>
    </w:p>
    <w:p>
      <w:pPr>
        <w:spacing w:after="0" w:line="5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anticipated timeline and ability to file applications for, and obtain marketing approvals from, the United States (“U.S.”) Food and Drug Administration (“FDA”) and other regulatory authorities, including the European Medicines Agency (“EMA”), for our ATEVs and product candidates;</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initiate and successfully complete clinical trials and other studies for our product candidates and our plans and expectations regarding our ongoing or planned clinical trials, including for our V007 and V012 Phase 3 clinical trials;</w:t>
      </w:r>
    </w:p>
    <w:p>
      <w:pPr>
        <w:spacing w:after="0" w:line="5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achieve the expected benefits of our cost-saving measures and whether our efforts will result in further actions or additional asset impairment charges that adversely affect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ongoing discussions with the FDA concerning the design of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proprietary scientific technology platform to build a pipeline of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and performance of our ATEVs and the public perception thereof;</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strategic partnership with Fresenius Medical Care Holdings, Inc. (“Fresenius Medical Care”) to sell, market and distribute our 6 millimeter ATEV for certain specified indications and in specified markets, if approved by regulatory authorities;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other third parties on which we rely, including our third-party manufacturers, our licensors, our suppliers and the organizations conducting our clinical trials;</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confidentiality of our trade secrets, particularly with respect to our manufacturing process;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laws and regulatory requirements, including FDA regulations, healthcare laws and regulations, and anti-corruption laws;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existing or potential claims and legal and administrative proceedings, and the merits, potential outcomes and effects of both existing and potential claims and legal and administrative proceedings, as well as regulatory determinations, on our business, prospects, financial condition and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 and to manage our growth effectively;</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how long our existing cash and cash equivalents will be sufficient to fund our anticipated operating expenses, capital expenditures and debt service obligations;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 including our ability to raise additional capital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overall global economy and increasing interest rates and inflation on our business.</w:t>
      </w:r>
    </w:p>
    <w:p>
      <w:pPr>
        <w:spacing w:after="0" w:line="18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they are made. Any forward-looking statements are based on information current as of the date of this Quarterly Report and speak only as of the date on which such statements are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2024, which we filed with the SEC on March 31, 2025.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44,937</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47,859</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50,209</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right-of-use assets, net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15,490</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162,553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137,872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obligation, current portion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Revenue interest liability, current portion</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19,954</w:t>
            </w: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interest liability, net of current portion</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63,354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70,961</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obligation, net of current portion</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derivative liability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warrant liabilities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126,510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190,541</w:t>
            </w:r>
          </w:p>
        </w:tc>
        <w:tc>
          <w:tcPr>
            <w:tcW w:w="0" w:type="dxa"/>
            <w:vAlign w:val="bottom"/>
          </w:tcPr>
          <w:p>
            <w:pPr>
              <w:spacing w:after="0"/>
              <w:rPr>
                <w:sz w:val="1"/>
                <w:szCs w:val="1"/>
                <w:color w:val="auto"/>
              </w:rPr>
            </w:pPr>
          </w:p>
        </w:tc>
      </w:tr>
      <w:tr>
        <w:trPr>
          <w:trHeight w:val="148"/>
        </w:trPr>
        <w:tc>
          <w:tcPr>
            <w:tcW w:w="8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18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Preferred stock, $0.0001 par value; 20,000,000 shares designated as of March 31, 2025 and December 31, 2024; 0 shares issued and</w:t>
            </w:r>
          </w:p>
        </w:tc>
        <w:tc>
          <w:tcPr>
            <w:tcW w:w="2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outstanding as of March 31, 2025 and December 31, 2024</w:t>
            </w:r>
          </w:p>
        </w:tc>
        <w:tc>
          <w:tcPr>
            <w:tcW w:w="2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8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Common stock, $0.0001 par value; 250,000,000 shares authorized as of March 31, 2025 and December 31, 2024; 155,118,816 and</w:t>
            </w:r>
          </w:p>
        </w:tc>
        <w:tc>
          <w:tcPr>
            <w:tcW w:w="2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130,027,509 shares issued and outstanding as of March 31, 2025 and December 31, 2024, respectively</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682,903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633,333</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(646,876)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(686,015)</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(52,669)</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 (deficit)</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162,553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137,872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3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w:t>
      </w: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revenue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(26,578)</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and 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(31,896)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outstanding used in computing net income (loss) per share attributable to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131,496,877</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108,246,008</w:t>
            </w:r>
          </w:p>
        </w:tc>
        <w:tc>
          <w:tcPr>
            <w:tcW w:w="0" w:type="dxa"/>
            <w:vAlign w:val="bottom"/>
          </w:tcPr>
          <w:p>
            <w:pPr>
              <w:spacing w:after="0"/>
              <w:rPr>
                <w:sz w:val="1"/>
                <w:szCs w:val="1"/>
                <w:color w:val="auto"/>
              </w:rPr>
            </w:pPr>
          </w:p>
        </w:tc>
      </w:tr>
      <w:tr>
        <w:trPr>
          <w:trHeight w:val="21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outstanding used in computing net income (loss) per share attributable to common</w:t>
            </w:r>
          </w:p>
        </w:tc>
        <w:tc>
          <w:tcPr>
            <w:tcW w:w="3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131,759,302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108,246,008</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diluted</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32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130,027,509</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633,333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(686,015)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(52,669)</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in public offering, net of issuance costs</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25,000,000</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46,660</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ATM Facility, net of issuance costs</w:t>
            </w: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75,793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15,514</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39,139</w:t>
            </w:r>
          </w:p>
        </w:tc>
        <w:tc>
          <w:tcPr>
            <w:tcW w:w="0" w:type="dxa"/>
            <w:vAlign w:val="bottom"/>
          </w:tcPr>
          <w:p>
            <w:pPr>
              <w:spacing w:after="0"/>
              <w:rPr>
                <w:sz w:val="1"/>
                <w:szCs w:val="1"/>
                <w:color w:val="auto"/>
              </w:rPr>
            </w:pPr>
          </w:p>
        </w:tc>
      </w:tr>
      <w:tr>
        <w:trPr>
          <w:trHeight w:val="22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155,118,816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682,903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(646,876)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36,043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4360" w:type="dxa"/>
            <w:vAlign w:val="bottom"/>
          </w:tcPr>
          <w:p>
            <w:pPr>
              <w:spacing w:after="0"/>
              <w:rPr>
                <w:sz w:val="24"/>
                <w:szCs w:val="24"/>
                <w:color w:val="auto"/>
              </w:rPr>
            </w:pPr>
          </w:p>
        </w:tc>
        <w:tc>
          <w:tcPr>
            <w:tcW w:w="232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103,673,728</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550,850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(537,314)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13,546</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in public offering, net of issuance costs</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15,410,000</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43,046</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(31,896)</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119,084,353</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595,350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(569,210)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26,152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5"/>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39,139</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(31,896)</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expense</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4,593</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derivatives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w:t>
            </w: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obligation</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(27,347)</w:t>
            </w:r>
          </w:p>
        </w:tc>
      </w:tr>
      <w:tr>
        <w:trPr>
          <w:trHeight w:val="169"/>
        </w:trPr>
        <w:tc>
          <w:tcPr>
            <w:tcW w:w="7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r>
      <w:tr>
        <w:trPr>
          <w:trHeight w:val="169"/>
        </w:trPr>
        <w:tc>
          <w:tcPr>
            <w:tcW w:w="7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issuance of stock in public offering, net of underwriting fees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43,396</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issuance of stock under ATM Facility, net of issuance costs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of finance lease principal</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Revenue Interest Purchase Agreement</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46,739</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62,795</w:t>
            </w:r>
          </w:p>
        </w:tc>
      </w:tr>
      <w:tr>
        <w:trPr>
          <w:trHeight w:val="169"/>
        </w:trPr>
        <w:tc>
          <w:tcPr>
            <w:tcW w:w="7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35,057</w:t>
            </w: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95,290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80,801</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110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113,200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115,858</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77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 in accounts payable and accrued expenses</w:t>
            </w: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Unpaid issuance costs in connection with public offering</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Unpaid transaction costs related to revenue interest purchase agreement</w:t>
            </w: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8"/>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discount from embedded contingent derivative liability</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7860" w:firstLine="8"/>
        <w:spacing w:after="0" w:line="46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ind w:firstLine="324"/>
        <w:spacing w:after="0" w:line="261" w:lineRule="auto"/>
        <w:rPr>
          <w:sz w:val="20"/>
          <w:szCs w:val="20"/>
          <w:color w:val="auto"/>
        </w:rPr>
      </w:pPr>
      <w:r>
        <w:rPr>
          <w:rFonts w:ascii="Times New Roman" w:cs="Times New Roman" w:eastAsia="Times New Roman" w:hAnsi="Times New Roman"/>
          <w:sz w:val="18"/>
          <w:szCs w:val="18"/>
          <w:color w:val="auto"/>
        </w:rPr>
        <w:t>Humacyte, Inc. and subsidiaries (unless the context indicates otherwise, collectively, the “Company”) is pioneering the development and manufacture of off-the-shelf, universally implantable, bioengineered human tissues, advanced tissue constructs and organ systems with the goal of improving the lives of patients and transforming the practice of medicine. The Company is leveraging its regenerative medicine technology platform to develop proprietary product candidates for use in the treatment of diseases and conditions across a range of anatomic locations in multiple therapeutic areas.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its inception in 2004, the Company has incurred operating losses and negative cash flows from operations in each year. To date, the Company has financed its operations primarily through the sale of equity securities and convertible debt, proceeds from the reverse recapitalization described below, borrowings under loan facilities, proceeds from a revenue interest purchase agreement and, to a lesser extent, through governmental and other grants. At March 31, 2025 and December 31, 2024, the Company had an accumulated deficit of $646.9 million and $686.0 million, respectively. The Company’s operating losses were $23.2 million and $26.6 million for the three months ended March 31, 2025 and 2024, respectively. Net cash flows used in operating activities were $28.6 million and $27.3 million during the three months ended March 31, 2025 and 2024, respectively. Substantially all of the Company’s operating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spacing w:after="0" w:line="161" w:lineRule="exact"/>
        <w:rPr>
          <w:sz w:val="20"/>
          <w:szCs w:val="20"/>
          <w:color w:val="auto"/>
        </w:rPr>
      </w:pPr>
    </w:p>
    <w:p>
      <w:pPr>
        <w:ind w:right="180" w:firstLine="324"/>
        <w:spacing w:after="0" w:line="277" w:lineRule="auto"/>
        <w:rPr>
          <w:sz w:val="20"/>
          <w:szCs w:val="20"/>
          <w:color w:val="auto"/>
        </w:rPr>
      </w:pPr>
      <w:r>
        <w:rPr>
          <w:rFonts w:ascii="Times New Roman" w:cs="Times New Roman" w:eastAsia="Times New Roman" w:hAnsi="Times New Roman"/>
          <w:sz w:val="17"/>
          <w:szCs w:val="17"/>
          <w:color w:val="auto"/>
        </w:rPr>
        <w:t>As further disclosed in Note 7, on May 12, 2023, Humacyte, Inc. and Global entered into a Revenue Interest Purchase Agreement (the “Purchase Agreement”) with two purchasers, both affiliates of Oberland Capital Management LLC (the “Purchasers”), and another affiliate of Oberland Capital Management LLC (“Oberland”), as agent for the Purchasers (the “Agent”), to obtain financing with respect to the further development and commercialization of the Company’s ATEV, to repay the Company’s then-existing credit facility with Silicon Valley Bank (“SVB”), and for other general corporate purposes. As of March 31, 2025, $66.4 million was recorded as a revenue interest liability on the condensed consolidated balance sheets.</w:t>
      </w:r>
    </w:p>
    <w:p>
      <w:pPr>
        <w:spacing w:after="0" w:line="1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to remove requirements related to the leasehold mortgage. In exchange for removing this requirement, the Company agreed to fund an account in the amount of $54.0 million over which the Agent has certain consent and other rights to $50.0 million of the funds. The Company funded an account with the required $54.0 million on August 14, 2024. As of both March 31, 2025 and December 31, 2024, the $50.0 million was classified as restricted cash on the accompanying condensed consolidated balance sheets.</w:t>
      </w:r>
    </w:p>
    <w:p>
      <w:pPr>
        <w:spacing w:after="0" w:line="15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further disclosed in Note 8, on September 24, 2024, the Company entered into a common stock purchase agreement with Lincoln Park Capital Fund, LLC (“Lincoln Park”) for an equity line financing (the “Common Stock Purchase Agreement”). The Common Stock Purchase Agreement provides that, subject to the terms and conditions set forth therein, the Company has the sole right, but not the obligation, to sell to Lincoln Park shares of the Company’s common stock, par value $0.0001 per share (“Common Stock”), having an aggregate value of up to $50.0 million (the “Purchase Shares”) over a 24-month period. The Company controls the timing and amount of any sales of Purchase Shares to Lincoln Park pursuant to the Common Stock Purchase Agreement in its sole discretion. As of March 31, 2025, the Company had $47.5 million in remaining availability for sales of Common Stock under the Common Stock Purchase Agreement.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As further disclosed in Note 8, o</w:t>
      </w:r>
      <w:r>
        <w:rPr>
          <w:rFonts w:ascii="Times New Roman" w:cs="Times New Roman" w:eastAsia="Times New Roman" w:hAnsi="Times New Roman"/>
          <w:sz w:val="18"/>
          <w:szCs w:val="18"/>
          <w:color w:val="231F20"/>
        </w:rPr>
        <w:t>n September 1, 2022, the Company entered into an agreement with Jefferies LLC for the sale from time to time of 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to </w:t>
      </w:r>
      <w:r>
        <w:rPr>
          <w:rFonts w:ascii="Times New Roman" w:cs="Times New Roman" w:eastAsia="Times New Roman" w:hAnsi="Times New Roman"/>
          <w:sz w:val="18"/>
          <w:szCs w:val="18"/>
          <w:color w:val="000000"/>
        </w:rPr>
        <w:t>$80.0 million</w:t>
      </w:r>
      <w:r>
        <w:rPr>
          <w:rFonts w:ascii="Times New Roman" w:cs="Times New Roman" w:eastAsia="Times New Roman" w:hAnsi="Times New Roman"/>
          <w:sz w:val="18"/>
          <w:szCs w:val="18"/>
          <w:color w:val="231F20"/>
        </w:rPr>
        <w:t xml:space="preserve"> of shares of Common Stock pursuant to a sales agreement (the “ATM Facility”).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$72.6 million</w:t>
      </w:r>
      <w:r>
        <w:rPr>
          <w:rFonts w:ascii="Times New Roman" w:cs="Times New Roman" w:eastAsia="Times New Roman" w:hAnsi="Times New Roman"/>
          <w:sz w:val="18"/>
          <w:szCs w:val="18"/>
          <w:color w:val="231F20"/>
        </w:rPr>
        <w:t xml:space="preserve"> remained available under the ATM Facility.</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of March 31, 2025, the Company had available cash and cash equivalents of $62.8 million. As further disclosed in Note 13, on April 28, 2025, the Company implemented a cost reduction action to reduce its workforce by approximately 31 employees, cease recruitment of additional planned new hires, and reduce other operating expenses. The Company is undertaking these cost reductions to improve cash runway and to better align the Company’s organizational structure with its top business objectives. Before consideration of management plans described below, the Company believes its cash and cash equivalents on hand and existing capacity under its Common Stock Purchase Agreement will be sufficient to fund operations at least into June 2026. The future viability of the Company beyond that point is dependent on its ability to generate cash flows from the sale of Symvess and raise additional capital to finance its operations. The Company plans to seek additional funding through private or public equity financings, debt financings, debt refinancings or restructurings, collaborations, strategic alliances, and marketing, distribution or licensing arrangements. Adequate capital may not be available to the Company when needed or on acceptable terms. If the Company is unable to raise capital, the Company plans to implement a program that delays, reduces, suspends or ceases certain of its planned capital expenditures, research and development programs or any future commercialization efforts, which would have a negative impact on its business, prospects, operating results and financial condition. Based on the Company’s current cash and cash equivalents on hand and existing capacity under its Common Stock Purchase Agreement, and after considering management’s plans, the Company believes it has the ability to fund operations at least into the second half of 2026.</w:t>
      </w:r>
    </w:p>
    <w:p>
      <w:pPr>
        <w:spacing w:after="0" w:line="156" w:lineRule="exact"/>
        <w:rPr>
          <w:sz w:val="20"/>
          <w:szCs w:val="20"/>
          <w:color w:val="auto"/>
        </w:rPr>
      </w:pPr>
    </w:p>
    <w:p>
      <w:pPr>
        <w:ind w:right="7660" w:firstLine="8"/>
        <w:spacing w:after="0" w:line="456"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financial statements in conformity with U.S. GAAP. The Company’s condensed consolidated financial statements reflect the operations of the Company and its wholly owned subsidiaries. All intercompany accounts and transactions have been eliminated in consolidation.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Recapitalization</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August 26, 2021 (the “Closing Date”), Hunter Merger Sub, Inc. (“Merger Sub”), a wholly owned subsidiary of Alpha Healthcare Acquisition Corp. (“AHAC”) merged with Humacyte, Inc. (“Legacy Humacyte”), with Legacy Humacyte continuing as the surviving corporation and as a wholly-owned subsidiary of AHAC (the “Merger”). The Merger was accounted for as a reverse recapitalization in accordance with accounting principles generally accepted in the United States of America (“U.S. GAAP”). As a result of the Merger, AHAC changed its name to Humacyte, Inc. and Legacy Humacyte changed its name to Humacyte Global, Inc. (“Global”).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revenue interest liability, derivatives,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March 31, 2025 and its results of operations for the three months ended March 31, 2025 and 2024, and cash flows for the three months ended March 31, 2025 and 2024. The results of operations for the three months ended March 31, 2025 are not necessarily indicative of the results to be expected for the year ending December 31, 2025 or any other period. The December 31, 2024 year-end condensed consolidated balance sheet was derived from audited annual financial statements but does not include all disclosures from the annual financial statements.</w:t>
      </w:r>
    </w:p>
    <w:p>
      <w:pPr>
        <w:spacing w:after="0" w:line="162"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2024 and the related notes included in the Company’s Annual Report on Form 10-K, filed with the SEC on March 31, 2025 (the “Annual Report”),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2024 and 2023 included in the Company’s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8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Certain amounts from prior periods have been reclassified to conform to the current period’s presentation. None of these reclassifications had a material impact on the Company’s condensed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The Company is developing proprietary, bioengineered, acellular human tissues, advanced tissue constructs and organ systems that are designed to be used in the treatment of diseases and conditions across a range of anatomic locations in multiple therapeutic areas. The Company’s operations are managed and reported to its Chief Executive Officer, the Company’s chief operating decision maker (“CODM”), on a consolidated basis. The CODM evaluates financial performance, allocates resources and monitors budget versus actual results based on the Company’s condensed consolidated statements of operations. The measure of segment assets provided to and reviewed by the CODM is reported on the condensed consolidated balance sheets as total assets. Segment asset information is not used by the CODM to evaluate performance, allocate resources or make strategic decisions. Under the current organizational and reporting structure, the Company operates and manages its business on a consolidated basis as </w:t>
      </w:r>
      <w:r>
        <w:rPr>
          <w:rFonts w:ascii="Times New Roman" w:cs="Times New Roman" w:eastAsia="Times New Roman" w:hAnsi="Times New Roman"/>
          <w:sz w:val="18"/>
          <w:szCs w:val="18"/>
          <w:color w:val="000000"/>
        </w:rPr>
        <w:t>one</w:t>
      </w:r>
      <w:r>
        <w:rPr>
          <w:rFonts w:ascii="Times New Roman" w:cs="Times New Roman" w:eastAsia="Times New Roman" w:hAnsi="Times New Roman"/>
          <w:sz w:val="18"/>
          <w:szCs w:val="18"/>
          <w:color w:val="231F20"/>
        </w:rPr>
        <w:t xml:space="preserve"> reportable and operating segment.</w:t>
      </w:r>
    </w:p>
    <w:p>
      <w:pPr>
        <w:spacing w:after="0" w:line="14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a single reportable segment entity, the Company’s segment performance measure is </w:t>
      </w:r>
      <w:r>
        <w:rPr>
          <w:rFonts w:ascii="Times New Roman" w:cs="Times New Roman" w:eastAsia="Times New Roman" w:hAnsi="Times New Roman"/>
          <w:sz w:val="18"/>
          <w:szCs w:val="18"/>
          <w:color w:val="231F20"/>
        </w:rPr>
        <w:t>consolidated net income (loss). Consolidated net income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is used to monitor the budget versus actual results and to help make key operating decisions such as the allocation of budget between research and development and selling, general and administrative expenses. Significant segment expenses within net income (loss) include research and development and selling, general and administrative expenses, which are each separately presented on the Company’s condensed consolidated statements of operations. Other segment items within net income (loss) include revenue, interest income, interest expense, the change in fair value of the Company’s Contingent Earnout Liability and the change in fair value of derivatives.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231F20"/>
        </w:rPr>
        <w:t>Additional disaggregated significant segment expenses that are not separately presented on the Company’s condensed consolidated statements of operations are presented below.</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Vascular Trauma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 Access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PAD</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81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External services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21,264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231F20"/>
        </w:rPr>
        <w:t>Direct expenses for the Company’s vascular trauma, arteriovenous (“AV”) access for hemodialysis and peripheral artery disease (“PAD”) indications include costs related to the Company’s clinical trials, including fees paid to clinical research organizations (“CROs”), consultants, clinical sites and investigators. Costs related to development activities which broadly support multiple programs using the Company’s technology platform, including personnel, materials and supplies cost prior to inventory capitalization, external services costs, and other internal expenses, such as facilities and overhead costs, are not allocated to individual research and development programs. Other research and development expenses reported in the table above include direct costs not identifiable with a specific product candidate, including costs associated with the Company’s research and development platform used across programs, process development, manufacturing analytics and preclinical research and development for prospective product candidates and new technologies.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Non-cash Operating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Inventory</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when it concludes that commercialization and future economic benefit from the sale of products is probable. Prior to this conclusion, the Company expenses inventory as research and development expense in the condensed consolidated statements of operations and comprehensive income (loss), in the period incurred. For inventory that is capitalized, the Company considers a number of specific facts and circumstances, including the product’s historical shelf life, the product’s current status in the development and regulatory approval process, results from related clinical trials, results from meetings with relevant regulatory agencies, potential obstacles to the approval process, viability of commercialization and market trends.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early 2025, based on the Company’s assessment of the legal and regulatory process related to Symvess, the Company concluded that it met the criteria to capitalize expenditures for inventory. The Company capitalized $8.0 million of inventory as of March 31, 2025 and none as of December 31, 2024. Inventory is stated at the lower of cost or net realizable value. The Company’s inventory is valued under the first in, first out method. The Company does not have an allowance for inventory obsolescence as of March 31, 2025. Cost of goods sold was $0.1 million for the three months ended March 31, 2025 and includes overhead related to unused production capacity, which was recorded as an expense during the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Revenue from Customers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Under Accounting Standards Codification 606, “Revenue from Contracts with Customers” (“ASC 606”), revenue is recognized when a customer obtains control of promised goods or services and is recognized in an amount that reflects the consideration that an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w:t>
      </w:r>
    </w:p>
    <w:p>
      <w:pPr>
        <w:spacing w:after="0" w:line="147"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231F20"/>
        </w:rPr>
        <w:t>In addition, ASC 606 requires disclosure of the nature, amount, timing, and uncertainty of revenue and cash flows arising from contracts with customers.</w:t>
      </w:r>
    </w:p>
    <w:p>
      <w:pPr>
        <w:spacing w:after="0" w:line="13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231F20"/>
        </w:rPr>
        <w:t>For contracts where the period between when the Company transfers a promised good or service to the customer and when the customer pays is one year or less, the Company has elected the practical expedient to not adjust the promised amount of consideration for the effects of a significant financing component.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current source of product revenue has been from U.S. sales of Symvess. The Company recognizes product revenue upon delivery of Symvess to the customer. Revenue is recognized based on the price stated in the approved contract or purchase order. There are no contractual rights of returns and replacements for damaged products are provided free of charge. Accounts receivable related to product sales was approximately $0.1 million as of March 31, 2025.</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Contract revenue consists of revenue related to a single contract with a customer to recover contract expenses. The expenses incurred related to the contract are primarily classified as research and development expenses on the Company’s condensed consolidated statements of operations and comprehensive income (loss). The Company recognizes revenue associated with each performance obligation as the research and development services are provided using an input method, according to the actual costs incurred compared to the total costs expected to be incurred to satisfy the performance obligation. The transfer of control occurs as the program expenses are incurred and, in management’s judgment, is the best measure of progress towards satisfying each performance obligation. The transaction price is determined based on the milestones within the contract and there is no variable consideration. Accounts receivable related to the Company’s contract revenue was approximately $0.3 million and $0.2 million as of March 31, 2025 and December 31, 2024, respectively.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including amounts classified as restricted cash. Total cash balances exceeded insured balances by the Federal Deposit Insurance Corporation as of March 31, 2025 and December 31, 2024. The Company believes it mitigates this risk by monitoring the financial stability of the institutions holding material cash and cash equivalents balances. The Company maintains the majority of these balances at a Global Systemically Important Bank, as designated by the Financial Stability Board. The Company has cash equivalents that are invested in highly rated money market funds that are invested only in obligations of the U.S. government and its agencies. The Company has not experienced any credit loss relating to its cash and cash equivalents.</w:t>
      </w:r>
    </w:p>
    <w:p>
      <w:pPr>
        <w:spacing w:after="0" w:line="16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believes that credit risks associated with its customers and collaboration partners are not significant and has not recorded an allowance for credit loss as of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classifies as restricted cash all cash pledged as collateral to secure long-term obligations and all cash whose use is otherwise limited by contractual provisions. As of both March 31, 2025 and December 31, 2024, restricted cash consists of $50.0 million maintained in an account that is not subject to the Company’s unilateral control, in accordance with the amended Purchase Agreement, $0.2 million in funds maintained in a separate deposit account to secure a letter of credit for the benefit of the lessor of the Company’s headquarters lease, and $0.1 million in cash balances held as collateral for the Company’s employee credit card program.</w:t>
      </w:r>
    </w:p>
    <w:p>
      <w:pPr>
        <w:spacing w:after="0" w:line="14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of the amounts shown in the condensed consolidated statements of cash flows as of March 31, 2025 and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5"/>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44,937</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net income (loss) attributable to common stockholders by the weighted-average number of shares of Common Stock outstanding during the period without consideration of potentially dilutive shares of Common Stock. Diluted net income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The calculation of net income (loss) per share also considers the effect of participating securities. The Common Stock warrants issued in the Company’s October 2024 and November 2024 registered direct offerings are considered participating securities and are included in the computation of net income (loss) per share pursuant to the two-class method. In applying the two-class method, earnings are allocated to both Common Stock shares and participating securities based on their respective weighted-average shares outstanding for the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share and per share amounts)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6"/>
        </w:trPr>
        <w:tc>
          <w:tcPr>
            <w:tcW w:w="8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(31,896)</w:t>
            </w:r>
          </w:p>
        </w:tc>
        <w:tc>
          <w:tcPr>
            <w:tcW w:w="0" w:type="dxa"/>
            <w:vAlign w:val="bottom"/>
          </w:tcPr>
          <w:p>
            <w:pPr>
              <w:spacing w:after="0"/>
              <w:rPr>
                <w:sz w:val="1"/>
                <w:szCs w:val="1"/>
                <w:color w:val="auto"/>
              </w:rPr>
            </w:pPr>
          </w:p>
        </w:tc>
      </w:tr>
      <w:tr>
        <w:trPr>
          <w:trHeight w:val="213"/>
        </w:trPr>
        <w:tc>
          <w:tcPr>
            <w:tcW w:w="84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Undistributed earnings allocated to participating securities</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131,496,877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108,246,008</w:t>
            </w:r>
          </w:p>
        </w:tc>
        <w:tc>
          <w:tcPr>
            <w:tcW w:w="0" w:type="dxa"/>
            <w:vAlign w:val="bottom"/>
          </w:tcPr>
          <w:p>
            <w:pPr>
              <w:spacing w:after="0"/>
              <w:rPr>
                <w:sz w:val="1"/>
                <w:szCs w:val="1"/>
                <w:color w:val="auto"/>
              </w:rPr>
            </w:pPr>
          </w:p>
        </w:tc>
      </w:tr>
      <w:tr>
        <w:trPr>
          <w:trHeight w:val="21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effect of assumed conversion of options to purchase common stock</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131,759,302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108,246,008</w:t>
            </w:r>
          </w:p>
        </w:tc>
        <w:tc>
          <w:tcPr>
            <w:tcW w:w="0" w:type="dxa"/>
            <w:vAlign w:val="bottom"/>
          </w:tcPr>
          <w:p>
            <w:pPr>
              <w:spacing w:after="0"/>
              <w:rPr>
                <w:sz w:val="1"/>
                <w:szCs w:val="1"/>
                <w:color w:val="auto"/>
              </w:rPr>
            </w:pPr>
          </w:p>
        </w:tc>
      </w:tr>
      <w:tr>
        <w:trPr>
          <w:trHeight w:val="253"/>
        </w:trPr>
        <w:tc>
          <w:tcPr>
            <w:tcW w:w="8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 - basic</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 -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firstLine="324"/>
        <w:spacing w:after="0" w:line="270" w:lineRule="auto"/>
        <w:rPr>
          <w:sz w:val="20"/>
          <w:szCs w:val="20"/>
          <w:color w:val="auto"/>
        </w:rPr>
      </w:pPr>
      <w:r>
        <w:rPr>
          <w:rFonts w:ascii="Times New Roman" w:cs="Times New Roman" w:eastAsia="Times New Roman" w:hAnsi="Times New Roman"/>
          <w:sz w:val="18"/>
          <w:szCs w:val="18"/>
          <w:color w:val="auto"/>
        </w:rPr>
        <w:t>The following potential shares of Common Stock were excluded from the computation of diluted net income (loss) per share for each period because including them would have had an antidilutive effect.</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Pr>
          <w:p>
            <w:pPr>
              <w:spacing w:after="0"/>
              <w:rPr>
                <w:sz w:val="17"/>
                <w:szCs w:val="17"/>
                <w:color w:val="auto"/>
              </w:rPr>
            </w:pPr>
          </w:p>
        </w:tc>
        <w:tc>
          <w:tcPr>
            <w:tcW w:w="14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w:t>
            </w: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15,250,541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11,882,290</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14,079,314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5,588,506</w:t>
            </w:r>
          </w:p>
        </w:tc>
      </w:tr>
    </w:tbl>
    <w:p>
      <w:pPr>
        <w:spacing w:after="0" w:line="24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15,000,000 Contingent Earnout Shares, as defined in Note 8, are excluded from the anti-dilutive table for all periods presented, as such shares are contingently issuable until the share price of the Company exceeds specified thresholds that have not yet been achieved, or upon the occurrence of a change in control. The Option Agreement, as defined in Note 7 — Revenue Interest Purchase Agreement, is excluded from the anti-dilutive table for all periods presented based on the Company’s assumption that the Option Agreement will not be exercised unless the Company’s stock price exceeds $7.50 per share, the minimum purchase price under the Option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its ongoing V007 and V012 Phase 3 clinical trials, successful commercialization of Symvess and regulatory approval and commercialization of its product candidates, if approved, the expected size of the target populations for the Company’s product candidates, the degree of market acceptance of Symvess, and if approved by regulatory authorities, its product candidates, the availability of third-party coverage and reimbursement, development by competitors of new technological innovations, the ability to manufacture Symvess and its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 maintenance of effective internal controls, and the ability to secure additional capital to fund operations and the commercial success of its product candidates.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40" w:firstLine="324"/>
        <w:spacing w:after="0" w:line="277" w:lineRule="auto"/>
        <w:rPr>
          <w:sz w:val="20"/>
          <w:szCs w:val="20"/>
          <w:color w:val="auto"/>
        </w:rPr>
      </w:pPr>
      <w:r>
        <w:rPr>
          <w:rFonts w:ascii="Times New Roman" w:cs="Times New Roman" w:eastAsia="Times New Roman" w:hAnsi="Times New Roman"/>
          <w:sz w:val="17"/>
          <w:szCs w:val="17"/>
          <w:color w:val="auto"/>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to sell, market and distribute its 6 millimeter ATEV for certain specified indications outside the United States.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“Income Taxes (Topic 740), Improvements to Income Tax Disclosures” (“ASU 2023-09”). The FASB issued this update to improve the transparency and comparability of income tax disclosures, including requiring consistent categories and greater disaggregation of information in the rate reconciliation and further disaggregation of income taxes paid by jurisdiction. This standard is effective for fiscal years beginning after December 15, 2024, with early adoption permitted. Entities should apply the amendments prospectively, with retrospective application permitted. This ASU is applicable to the Company’s Annual Report on Form 10-K for the fiscal year ending December 31, 2025. The Company does not expect the adoption of ASU 2023-09 to have a material impact on its disclosures to be included in the notes to the consolidated financial statements.</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In January 2025, the FASB issued ASU No. 2025-01, “Income Statement — Reporting Comprehensive Income — Expense Disaggregation Disclosures (Subtopic 220-40), Clarifying the Effective Date” (“ASU 2025-01”). ASU 2024-03 requires additional disclosure about the nature and amounts of expenses included in certain expense captions presented on the income statement to enhance the transparency of the relevant expense captions. ASU 2024-03, as clarified by ASU 2025-01, is effective for annual reporting periods beginning after December 15, 2026 and interim reporting periods within annual reporting periods beginning after December 15, 2027, with early adoption permitted. Entities may elect to apply the amendments either prospectively or retrospectively. The Company is currently evaluating the impact of adopting ASU 2024-03 on its disclosures included in the notes to the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establishes a hierarchy whereby inputs to valuation techniques used in measuring fair value are prioritized, or the fair value hierarchy. There are three levels to the fair value hierarchy based on reliability of inputs, as follows:</w:t>
      </w:r>
    </w:p>
    <w:p>
      <w:pPr>
        <w:spacing w:after="0" w:line="13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w:t>
      </w:r>
    </w:p>
    <w:p>
      <w:pPr>
        <w:spacing w:after="0" w:line="198"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data exists, therefore requiring the Company to develop its own assumptions.</w:t>
      </w:r>
    </w:p>
    <w:p>
      <w:pPr>
        <w:spacing w:after="0" w:line="18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classified within Level 1 of the fair value hierarchy because they are valued using quoted market prices. The carrying values of cash, accounts receivable, prepaid expenses and other current assets, accounts payable, accrued expenses and other current liabilities as of March 31, 2025 and December 31, 2024 approximated their fair values due to the short-term nature of these items.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and liabilities that were measured at fair value on a recurring basis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Measured as of March 31, 2025</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56,796</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Purchase Agreement derivative asset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57,468</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2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2024 RDO Warrants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2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November 2024 RDO Warrants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2024</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Purchase Agreement derivative asset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70,961</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2024 RDO Warrants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0" w:type="dxa"/>
            <w:vAlign w:val="bottom"/>
          </w:tcPr>
          <w:p>
            <w:pPr>
              <w:spacing w:after="0"/>
              <w:rPr>
                <w:sz w:val="1"/>
                <w:szCs w:val="1"/>
                <w:color w:val="auto"/>
              </w:rPr>
            </w:pPr>
          </w:p>
        </w:tc>
      </w:tr>
      <w:tr>
        <w:trPr>
          <w:trHeight w:val="22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November 2024 RDO Warrants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Contingent Earnout Liability (defined in Note 8 — Stockholders’ Equity (Deficit) and Warrants), contingent derivative liability related to the Put Option (as defined in Note 7 — Revenue Interest Purchase Agreement and discussed below), Private Placement Warrants liability, liabilities associated with the Registered Direct Offering Warrants (each as defined in Note 8 — Stockholders’ Equity (Deficit) and Warrants), Option Agreement liability (as defined in Note 7 — Revenue Interest Purchase Agreement), and the derivative liability associated with the JDRF Agreement Disposition Payment (defined in Note 11 — Commitments and Contingencies) are based on significant unobservable inputs, which represent Level 3 measurements within the fair value hierarchy. The fair values of the Private Placement Warrants liability and the liabilities associated with the Registered Direct Offering Warrants are included in common stock warrant liabilities on the condensed consolidated balance sheets. The fair values of the Option Agreement liability and the derivative liability associated with the JDRF Agreement Disposition Payment are included in other long-term liabilities on the condensed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Company evaluated the Common Stock Purchase Agreement and determined that the agreement should be accounted for in accordance with ASC 815-40, “Derivatives and Hedging — Contracts on an Entity’s Own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the Company recorded a derivative asset with an initial fair value based on the 115,705 shares of Common Stock issued to Lincoln Park as consideration for its irrevocable commitment to purchase up to $50.0 million in shares of Common Stock. The initial fair value of $0.7 million was based on the closing price of the Common Stock on September 24, 2024, which was $6.12 per share, and the derivative asset is reported as a component of long-term assets on the condensed consolidated balance sheets. Subsequent changes in the fair value of the derivative asset are dependent upon, among other things, changes in the closing share price of Common Stock, the quantity and purchase price of the shares purchased by Lincoln Park during the reporting period and the unused capacity under the Common Stock Purchase Agreement. The Common Stock Purchase Agreement is subsequently remeasured at each reporting date with changes in fair value recorded within Change in fair value of derivatives in the condensed consolidated statements of operations and comprehensive loss. There was no change in fair value of the derivative asset between December 31, 2024 and March 31, 2025 and the fair value of the Commitment Shares as of both March 31, 2025 and December 31, 2024 was $0.7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Earnout Liability: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Contingent Earnout Liability</w:t>
            </w: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r>
      <w:tr>
        <w:trPr>
          <w:trHeight w:val="189"/>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8"/>
                <w:szCs w:val="18"/>
                <w:color w:val="auto"/>
              </w:rPr>
              <w:t>(70,961)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r>
      <w:tr>
        <w:trPr>
          <w:trHeight w:val="229"/>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8"/>
                <w:szCs w:val="18"/>
                <w:color w:val="auto"/>
                <w:w w:val="96"/>
              </w:rPr>
              <w:t>49,731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8"/>
                <w:szCs w:val="18"/>
                <w:color w:val="auto"/>
              </w:rPr>
              <w:t>(21,230)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8 — Stockholders’ Equity (Deficit) and Warrants). Contingent earnout payments involve certain assumptions requiring significant judgment and actual results can differ from assumed and estimated amounts.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Derivative Liability</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debt pursuant to the Purchase Agreement, as defined in Note 7, contains an embedded derivative related to the Put Option, as defined in Note 7,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issuance and each subsequent reporting period. 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2025, the discount rates used to calculate the value of the contingent derivative liability were 13.8% to calculate the present-value of the revenue forecast and 12.6% to calculate the present-value of the payoff of the Put Option. As of December 31, 2024, the discount rates used to calculate the value of the contingent derivative liability were 14.2% to calculate the present-value of the revenue forecast and 11.8% to calculate the present-value of the payoff of the Put Option. Changes in fair value of the contingent derivative liability are recognized as other income (expense) in the condensed consolidated statements of operations and comprehensive income (loss), classified in Change in fair value of derivatives.</w:t>
      </w:r>
    </w:p>
    <w:p>
      <w:pPr>
        <w:spacing w:after="0" w:line="15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derivative liability, which is classified as a Level 3 financial instrument: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4"/>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Contingent Derivative Liability</w:t>
            </w:r>
          </w:p>
        </w:tc>
      </w:tr>
      <w:tr>
        <w:trPr>
          <w:trHeight w:val="23"/>
        </w:trPr>
        <w:tc>
          <w:tcPr>
            <w:tcW w:w="7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Pr>
          <w:p>
            <w:pPr>
              <w:spacing w:after="0"/>
              <w:rPr>
                <w:sz w:val="17"/>
                <w:szCs w:val="17"/>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30"/>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embedded derivative upon issuance of debt</w:t>
            </w:r>
          </w:p>
        </w:tc>
        <w:tc>
          <w:tcPr>
            <w:tcW w:w="36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29"/>
        </w:trPr>
        <w:tc>
          <w:tcPr>
            <w:tcW w:w="7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0"/>
        </w:trPr>
        <w:tc>
          <w:tcPr>
            <w:tcW w:w="7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 Warrants Liabilities</w:t>
      </w:r>
    </w:p>
    <w:p>
      <w:pPr>
        <w:spacing w:after="0" w:line="20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The following table presents a summary of the changes in the fair value of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liabilities, as defined in Note 8, during the three months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2024 RDO</w:t>
            </w:r>
          </w:p>
        </w:tc>
        <w:tc>
          <w:tcPr>
            <w:tcW w:w="140" w:type="dxa"/>
            <w:vAlign w:val="bottom"/>
          </w:tcPr>
          <w:p>
            <w:pPr>
              <w:spacing w:after="0"/>
              <w:rPr>
                <w:sz w:val="13"/>
                <w:szCs w:val="13"/>
                <w:color w:val="auto"/>
              </w:rPr>
            </w:pPr>
          </w:p>
        </w:tc>
        <w:tc>
          <w:tcPr>
            <w:tcW w:w="15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November 2024 RDO</w:t>
            </w:r>
          </w:p>
        </w:tc>
        <w:tc>
          <w:tcPr>
            <w:tcW w:w="0" w:type="dxa"/>
            <w:vAlign w:val="bottom"/>
          </w:tcPr>
          <w:p>
            <w:pPr>
              <w:spacing w:after="0"/>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7"/>
                <w:szCs w:val="17"/>
                <w:color w:val="auto"/>
              </w:rPr>
            </w:pPr>
          </w:p>
        </w:tc>
        <w:tc>
          <w:tcPr>
            <w:tcW w:w="15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29"/>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2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center"/>
              <w:ind w:left="877"/>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2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897"/>
              <w:spacing w:after="0"/>
              <w:rPr>
                <w:sz w:val="20"/>
                <w:szCs w:val="20"/>
                <w:color w:val="auto"/>
              </w:rPr>
            </w:pPr>
            <w:r>
              <w:rPr>
                <w:rFonts w:ascii="Times New Roman" w:cs="Times New Roman" w:eastAsia="Times New Roman" w:hAnsi="Times New Roman"/>
                <w:sz w:val="18"/>
                <w:szCs w:val="18"/>
                <w:color w:val="auto"/>
                <w:w w:val="98"/>
              </w:rPr>
              <w:t>5,352</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center"/>
              <w:ind w:left="877"/>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0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In determining the fair value of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liabilities, the Company used the Black-Scholes valuation model to estimate the fair value utilizing assumptions including the current Company stock price, expected volatility, risk-free rate, expected term and expected dividend yield (see </w:t>
      </w:r>
      <w:r>
        <w:rPr>
          <w:rFonts w:ascii="Times New Roman" w:cs="Times New Roman" w:eastAsia="Times New Roman" w:hAnsi="Times New Roman"/>
          <w:sz w:val="18"/>
          <w:szCs w:val="18"/>
          <w:color w:val="000000"/>
        </w:rPr>
        <w:t>Note 8 — Stockholders’ Equity (Deficit) and Warrants</w:t>
      </w:r>
      <w:r>
        <w:rPr>
          <w:rFonts w:ascii="Times New Roman" w:cs="Times New Roman" w:eastAsia="Times New Roman" w:hAnsi="Times New Roman"/>
          <w:sz w:val="18"/>
          <w:szCs w:val="18"/>
          <w:color w:val="231F2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 Liability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Private Placement Warrants liability: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r>
      <w:tr>
        <w:trPr>
          <w:trHeight w:val="189"/>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8 — Stockholders’ Equity (Deficit) and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capitalized costs of $8.0 million associated with the manufacturing of Symvess as a result of regulatory approval and the Company’s determination that subsequent commercialization and future economic benefit from the sales of Symvess was probable.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Scientific and manufacturing equipment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59,150</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(36,087)</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totaled $1.3 million for each of the three months ended March 31, 2025 and 2024. All long-lived assets are maintained in the United States.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8100" w:firstLine="8"/>
        <w:spacing w:after="0" w:line="456"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Interest Purchase Agreement Revenue Interest Purchase Agreement</w:t>
      </w: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On May 12, 2023, the Company and Global entered into the Purchase Agreement with the Purchasers, and another affiliate of Oberland, as agent for the Purchasers, to obtain financing with respect to the further development and commercialization of the Company’s ATEV, to repay the Company’s then-existing credit facility with SVB, and for other general corporate purposes. Pursuant to the Purchase Agreement, on May 12, 2023, the Purchasers purchased certain revenue interests (the “Revenue Interests”) from Global in exchange for an aggregate investment amount of up to $150.0 million (the “Investment Amount”) to be paid in multiple tranches. On May 12, 2023, the Company received an initial payment of $40.0 million, less certain transaction expenses, which was used to repay in full the Company’s then-existing obligations under the former loan agreement with SVB. In February 2024, the FDA accepted the Company’s Biologics License Application (“BLA”) for an indication in vascular trauma, and in accordance with the Purchase Agreement, on March 11, 2024, the Company drew a subsequent installment of $20.0 million.</w:t>
      </w:r>
    </w:p>
    <w:p>
      <w:pPr>
        <w:spacing w:after="0" w:line="16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the amended Purchase Agreement, the Company was entitled to draw up to $90.0 million in subsequent installments subject to the terms and conditions set forth in the Purchase Agreement, as follows: (i) $40.0 million, at the Company’s option, upon the Company receiving FDA approval of the ATEV for the vascular trauma indication on or prior to December 31, 2024 and (ii) $50.0 million, at the Company’s option, upon reaching $35.0 million trailing worldwide three-month net sales any time prior to December 31, 2025. Each tranche was dependent on the satisfaction of the conditions and receipt of funds from the previous tranche. The FDA granted full approval for the Company’s BLA on December 19, 2024, and the Company did not elect to draw the additional $40.0 million that became available under the Purchase Agreement. As of December 31, 2024, the Company was not entitled to draw on any further installments under the Purchase Agreement.</w:t>
      </w:r>
    </w:p>
    <w:p>
      <w:pPr>
        <w:spacing w:after="0" w:line="14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Revenue Interests entitle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spacing w:after="0" w:line="13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If the Purchasers do not receive cumulative Revenue Interest Payments equal to 100% of the amount funded to date (the “Cumulative Purchaser Payments”) by the last business day of 2028 (the “Test Date”), the Rate will increase to a rate that, had such increased rate applied during the period from May 12, 2023 through the Test Date, would have provided the Purchasers with cumulative Revenue Interest Payments equal to the Cumulative Purchaser Payments as of the Test Date. Additionally, Global will be required to pay the Purchasers an amount equal to 100% of the Cumulative Purchaser Payments as of the Test Date less the total Revenue Interest Payments made by Global to the Purchasers under the Purchase Agreement as of the Test Date. Global’s obligation to make Revenue Interest Payments terminates on the date on which the Purchasers have received Revenue Interest Payments of 150% of the Cumulative Purchaser Payments unless the Purchase Agreement is terminated earlier due to the Purchaser’s exercise of a Put Option, the Company’s exercise of a call option, or by mutual consent. However, if the Purchasers have not received such Revenue Interest Payments as of the Test Date, the Purchase Agreement will instead terminate on the date on which the Purchasers receive Revenue Interest Payments of 195% of the Cumulative Purchaser Payments.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If (i) the Put Option is exercised by May 12, 2026, or (ii) the Call Option is exercised on or prior to May 12, 2026, then in each case, the required repurchase price will be 175% of the Cumulative Purchaser Payments (minus the aggregate Revenue Interest Payments Global has made to the Purchasers as of such date). If a Put Option or Call Option is exercised after May 12, 2026, the required repurchase price will be 195% of the Cumulative Purchaser Payments (minus the aggregate Revenue Interest Payments Global has made to the Purchasers as of such date).</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the effect of which was to remove requirements related to the leasehold mortgage. In exchange for the removal of these requirements, the Company funded an account in an amount of $54.0 million on August 14, 2024, over which the Agent has certain consent and other rights to $50.0 million of the funds. As of both March 31, 2025 and December 31, 2024, the $50.0 million was classified as restricted cash on the accompanying condensed consolidated balance sheets.</w:t>
      </w:r>
    </w:p>
    <w:p>
      <w:pPr>
        <w:spacing w:after="0" w:line="16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provided a parent company guaranty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its subsidiaries’ assets.</w:t>
      </w:r>
    </w:p>
    <w:p>
      <w:pPr>
        <w:spacing w:after="0" w:line="13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Purchase Agreement is considered a sale of future revenues and accounted for as long-term debt recorded at amortized cost using the interest method.</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a revenue interest liability related to the Purchase Agreement on the accompanying condensed consolidated balance sheet on the date the Company entered into the Purchase Agreement, net of a debt discount comprised of $2.1 million issuance costs and transaction costs,</w:t>
      </w:r>
    </w:p>
    <w:p>
      <w:pPr>
        <w:ind w:right="60"/>
        <w:spacing w:after="0" w:line="251" w:lineRule="auto"/>
        <w:rPr>
          <w:sz w:val="20"/>
          <w:szCs w:val="20"/>
          <w:color w:val="auto"/>
        </w:rPr>
      </w:pPr>
      <w:r>
        <w:rPr>
          <w:rFonts w:ascii="Times New Roman" w:cs="Times New Roman" w:eastAsia="Times New Roman" w:hAnsi="Times New Roman"/>
          <w:sz w:val="18"/>
          <w:szCs w:val="18"/>
          <w:color w:val="auto"/>
        </w:rPr>
        <w:t>$0.1 million fair value allocated to the Option Agreement, defined below, and $2.4 million initial fair value of the bifurcated contingent derivative liability related to the Put Option. The revenue interest liability is based on the Company’s contractual repayment obligation to the Purchasers, based on the current estimates of future revenues, over the life of the Purchase Agreement. The Company imputes interest expense associated with this liability using the interest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and expected timing of forecasted net sales. The Company evaluates the interest rate quarterly based on its current net sales forecasts. If the level and timing of any forecasted net sales and related payments change, the Company prospectively adjusts the effective interest and the related amortization of the liability and related issuance costs on a quarterly basis.</w:t>
      </w:r>
    </w:p>
    <w:p>
      <w:pPr>
        <w:spacing w:after="0" w:line="16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March 31, 2025 and December 31, 2024, $66.4 million and $64.2 million, respectively, was recorded as a revenue interest liability. As of March 31, 2025 and December 31, 2024, the current portion of the revenue interest liability was $1.7 million and $0.9 million, respectively. The estimated effective annual interest rate as of March 31, 2025 and December 31, 2024 was 13.2% and 13.7%, respectively. The Company recorded $2.1 million and $1.4 million in interest expense related to the Purchase Agreement for the three months ended March 31, 2025 and 2024, respectively. The Company incurred $0.5 million of transaction costs during the three months ended March 31, 2024 in connection with the Purchase Agreement. The transaction costs were capitalized to debt discount and are being amortized to interest expense over the estimated term of the debt, consistent with the issuance and transaction costs incurred in 2023 discussed above.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Put Option under the Purchase Agreement that is exercisable by the Purchasers upon certain contingent events was determined to be an embedded derivative requiring bifurcation and separately accounted for as a single compound derivative instrument. At May 12, 2023, the Company recorded the initial fair value of the derivative liability of $2.4 million as a debt discount. On March 11, 2024, upon the issuance of the second installment of the Purchase Agreement of $20.0 million, the Company estimated the fair value of the embedded derivative and recorded a $1.6 million increase in fair value as a debt discount. The debt discount is being amortized to interest expense over the expected term of the debt using the interest method. See Note 3 — Fair Value Measurements for a further discussion of the fair value of the contingent derivative liability associated with the Put Option.</w:t>
      </w:r>
    </w:p>
    <w:p>
      <w:pPr>
        <w:spacing w:after="0" w:line="14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Revenue Interest Payments made as a result of the Company’s net product sales will reduce the revenue interest liability. During the three months ended March 31, 2025 and 2024, the Company recorded $0.1 million and no product sales revenue, respectively.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three months ended March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December 31, 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w:t>
            </w:r>
          </w:p>
        </w:tc>
      </w:tr>
      <w:tr>
        <w:trPr>
          <w:trHeight w:val="230"/>
        </w:trPr>
        <w:tc>
          <w:tcPr>
            <w:tcW w:w="97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223"/>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March 31, 2025</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66,362</w:t>
            </w:r>
          </w:p>
        </w:tc>
      </w:tr>
      <w:tr>
        <w:trPr>
          <w:trHeight w:val="230"/>
        </w:trPr>
        <w:tc>
          <w:tcPr>
            <w:tcW w:w="97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Less current portion of revenue interest liability</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net of current portion at March 31, 2025</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the Company also entered into an option agreement with TPC Investments III LP and TPC Investment Solutions LP (the “Option Agreement”), which gave TPC Investments III LP and TPC Investment Solutions LP (the “Holders”) the right to purchase, in the aggregate, up to $10.0 million worth of shares of Common Stock (the “Option”) at a purchase price per share equal to the greater of $7.50, or the 15 day volume-weighted average price as of the exercise date, exercisable in cash only at any time prior to the earlier of (i) December 31, 2026 and (ii) the closing date of a corporate reorganization. The Holders also received certain registration rights relating to the shares underlying the Option pursuant to the Option Agreement. The Holders purchased $1,950,000 of shares of Common Stock in the 2024 Public Offering, as defined in Note 8, and as of March 31, 2025 and December 31, 2024, the Holders have the right to purchase up to $8,050,000 of shares of Common Stock under the Option Agreement.</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Option granted to the Holders represents a freestanding instrument separate from the purchaser commitments outlined in the Purchase Agreement. The Option Agreement does not qualify for the equity contract scope exception under ASC 815-40 and the Company recorded the Option as a liability (“Option Agreement liability”) on the condensed consolidated balance sheet at an initial fair value of $55 thousand, and subsequent changes in the fair value are recognized in the condensed consolidated statements of operations and comprehensive income (loss) at each reporting date. The fair value of the Option Agreement liability as of March 31, 2025 and December 31, 2024 was $21 thousand and $64 thousand,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7620" w:firstLine="8"/>
        <w:spacing w:after="0" w:line="464"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(Deficit) and Warrants Public Offerings</w:t>
      </w:r>
    </w:p>
    <w:p>
      <w:pPr>
        <w:ind w:left="340"/>
        <w:spacing w:after="0"/>
        <w:rPr>
          <w:sz w:val="20"/>
          <w:szCs w:val="20"/>
          <w:color w:val="auto"/>
        </w:rPr>
      </w:pPr>
      <w:r>
        <w:rPr>
          <w:rFonts w:ascii="Times New Roman" w:cs="Times New Roman" w:eastAsia="Times New Roman" w:hAnsi="Times New Roman"/>
          <w:sz w:val="18"/>
          <w:szCs w:val="18"/>
          <w:color w:val="auto"/>
        </w:rPr>
        <w:t>On February 29, 2024, the Company entered into an underwriting agreement with Cowen and Company, LLC and Cantor Fitzgerald &amp; Co.,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of the several underwriters named therein, relating to the issuance and sale in an underwritten offering (the “2024 Public Offering”)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15,410,000 shares of Common Stock, which included a full exercise of the Underwriters’ option to purchase additional shares, at a price to the 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per share. The net proceeds to the Company from the 2024 Public Offering were approximately $43.0 million after deducting underwriting discounts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commissions and offering expenses. The 2024 Public Offering closed on March 5, 2024.</w:t>
      </w:r>
    </w:p>
    <w:p>
      <w:pPr>
        <w:spacing w:after="0" w:line="16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On March 25, 2025, the Company entered into an underwriting agreement with TD Securities (USA) LLC, Barclays Capital Inc. and BTIG, LLC, as representatives of the several underwriters named therein, relating to the issuance and sale in an underwritten offering (the “2025 Public Offering”) of 25,000,000 shares of Common Stock, at a price to the public of $2.00 per share (the “Firm Shares”). The Company also granted the underwriters a 30-day option to purchase up to an additional 3,750,000 shares of Common Stock at the same price as the Firm Shares, which the underwriters did not exercise. The net proceeds to the Company from the 2025 Public Offering were approximately $46.7 million after deducting underwriting discounts and commissions and offering expenses. The 2025 Public Offering closed on March 27,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Financing</w:t>
      </w:r>
    </w:p>
    <w:p>
      <w:pPr>
        <w:spacing w:after="0" w:line="20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September 24, 2024, the Company entered into the Common Stock Purchase Agreement with Lincoln Park for an equity line financing, which provides that, subject to the terms and conditions set forth therein, the Company has the sole right, but not the obligation, to sell to Lincoln Park shares of Common Stock having an aggregate value of up to $50.0 million over a 24-month period. The Company controls the timing and amount of any sales of Purchase Shares to Lincoln Park pursuant to the Common Stock Purchase Agreement in its sole discretion. In consideration for entering into the Common Stock Purchase Agreement, the Company issued 115,705 shares of Common Stock (the “Commitment Shares”) to Lincoln Park. The Company did not receive any cash proceeds from the issuance of the Commitment Shares. The fair value of the Common Stock Purchase Agreement was measured on the issuance date based on the fair value of the Commitment Shares, which was the consideration given to Lincoln Park in exchange for entering into the agreement. The fair value of the Commitment Shares on the issuance date was determined to be $0.7 million based on the closing price of the Common Stock on September 24, 2024, which was $6.12 per share. The Company recognized the fair value of the Commitment Shares as a non-current asset as a component of other long-term assets on the condensed consolidated balance sheets. The Common Stock Purchase Agreement is subsequently remeasured at each reporting date with changes in fair value recorded within Change in fair value of derivatives in the condensed consolidated statements of operations and comprehensive loss. Through March 31, 2025, the Company has sold 500,000 shares to Lincoln Park for aggregate gross proceeds of $2.5 million and as of March 31, 2025, the Company had $47.5 million in remaining availability for sales of Common Stock under the Common Stock Purchase Agreement. There were no purchases under the Common Stock Purchase Agreement during the three months ended March 31, 2025.</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Registered Direct Offerings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October 4, 2024, the Company entered into a securities purchase agreement with an institutional investor pursuant to which the investor purchased 5,681,820 shares of Common Stock and warrants to purchase up to 5,681,820 shares of Common Stock (the “October 2024 RDO Warrants”) in a registered direct offering (the “October 2024 Registered Direct Offering”). See below for additional information regarding the October 2024 RDO Warrants. The purchase price for one share of Common Stock and one warrant issued in the October 2024 Registered Direct Offering was $5.28. The net proceeds to the Company from the October 2024 Registered Direct Offering were approximately $28.0 million after deducting placement agent’s fees and offering expenses of approximately $2.0 million. The October 2024 Registered Direct Offering closed on October 7, 2024.</w:t>
      </w:r>
    </w:p>
    <w:p>
      <w:pPr>
        <w:spacing w:after="0" w:line="16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November 13, 2024, the Company entered into a securities purchase agreement with an institutional investor pursuant to which the investor purchased 2,808,988 shares of Common Stock and warrants to purchase up to 2,808,988 shares of Common Stock (the “November 2024 RDO Warrants”) in a registered direct offering (the “November 2024 Registered Direct Offering”). See below for additional information regarding the November 2024 RDO Warrants. The purchase price for one share of Common Stock and one warrant issued in the November 2024 Registered Direct Offering was $5.34. The net proceeds to the Company from the November 2024 Registered Direct Offering were approximately $14.9 million after deducting offering expenses of approximately $0.1 million. The November 2024 Registered Direct Offering closed on November 15,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Facility</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On September 1, 2022, the Company entered into the ATM Facility for the sale from time to time of up to </w:t>
      </w:r>
      <w:r>
        <w:rPr>
          <w:rFonts w:ascii="Times New Roman" w:cs="Times New Roman" w:eastAsia="Times New Roman" w:hAnsi="Times New Roman"/>
          <w:sz w:val="18"/>
          <w:szCs w:val="18"/>
          <w:color w:val="000000"/>
        </w:rPr>
        <w:t>$80.0 million</w:t>
      </w:r>
      <w:r>
        <w:rPr>
          <w:rFonts w:ascii="Times New Roman" w:cs="Times New Roman" w:eastAsia="Times New Roman" w:hAnsi="Times New Roman"/>
          <w:sz w:val="18"/>
          <w:szCs w:val="18"/>
          <w:color w:val="231F20"/>
        </w:rPr>
        <w:t xml:space="preserve"> of shares of Common Stock. During the three months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the Company sold an aggregate of </w:t>
      </w:r>
      <w:r>
        <w:rPr>
          <w:rFonts w:ascii="Times New Roman" w:cs="Times New Roman" w:eastAsia="Times New Roman" w:hAnsi="Times New Roman"/>
          <w:sz w:val="18"/>
          <w:szCs w:val="18"/>
          <w:color w:val="000000"/>
        </w:rPr>
        <w:t>75,793</w:t>
      </w:r>
      <w:r>
        <w:rPr>
          <w:rFonts w:ascii="Times New Roman" w:cs="Times New Roman" w:eastAsia="Times New Roman" w:hAnsi="Times New Roman"/>
          <w:sz w:val="18"/>
          <w:szCs w:val="18"/>
          <w:color w:val="231F20"/>
        </w:rPr>
        <w:t xml:space="preserve"> shares of Common Stock under the ATM Facility at an average price of </w:t>
      </w:r>
      <w:r>
        <w:rPr>
          <w:rFonts w:ascii="Times New Roman" w:cs="Times New Roman" w:eastAsia="Times New Roman" w:hAnsi="Times New Roman"/>
          <w:sz w:val="18"/>
          <w:szCs w:val="18"/>
          <w:color w:val="000000"/>
        </w:rPr>
        <w:t>$5.04</w:t>
      </w:r>
      <w:r>
        <w:rPr>
          <w:rFonts w:ascii="Times New Roman" w:cs="Times New Roman" w:eastAsia="Times New Roman" w:hAnsi="Times New Roman"/>
          <w:sz w:val="18"/>
          <w:szCs w:val="18"/>
          <w:color w:val="231F20"/>
        </w:rPr>
        <w:t xml:space="preserve"> per share for net proceeds of approximately </w:t>
      </w:r>
      <w:r>
        <w:rPr>
          <w:rFonts w:ascii="Times New Roman" w:cs="Times New Roman" w:eastAsia="Times New Roman" w:hAnsi="Times New Roman"/>
          <w:sz w:val="18"/>
          <w:szCs w:val="18"/>
          <w:color w:val="000000"/>
        </w:rPr>
        <w:t>$0.4 million</w:t>
      </w:r>
      <w:r>
        <w:rPr>
          <w:rFonts w:ascii="Times New Roman" w:cs="Times New Roman" w:eastAsia="Times New Roman" w:hAnsi="Times New Roman"/>
          <w:sz w:val="18"/>
          <w:szCs w:val="18"/>
          <w:color w:val="231F20"/>
        </w:rPr>
        <w:t xml:space="preserve">. As of </w:t>
      </w:r>
      <w:r>
        <w:rPr>
          <w:rFonts w:ascii="Times New Roman" w:cs="Times New Roman" w:eastAsia="Times New Roman" w:hAnsi="Times New Roman"/>
          <w:sz w:val="18"/>
          <w:szCs w:val="18"/>
          <w:color w:val="000000"/>
        </w:rPr>
        <w:t>March 31, 2025, the Company had $72.6 million in remaining availability for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sales of Common Stock under the ATM Facility</w:t>
      </w:r>
      <w:r>
        <w:rPr>
          <w:rFonts w:ascii="Times New Roman" w:cs="Times New Roman" w:eastAsia="Times New Roman" w:hAnsi="Times New Roman"/>
          <w:sz w:val="18"/>
          <w:szCs w:val="18"/>
          <w:color w:val="231F20"/>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Second Amended and Restated Certificate of Incorporation authorized the Company to issue 250,000,000 shares of Common Stock.</w:t>
      </w:r>
    </w:p>
    <w:p>
      <w:pPr>
        <w:spacing w:after="0" w:line="12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from time to time as may be declared by the Company’s board of directors. Through March 31, 2025, no dividends have been declared. The Purchase Agreement limits the Company’s ability to pay cash dividends to the holders of Common Stock.</w:t>
      </w:r>
    </w:p>
    <w:p>
      <w:pPr>
        <w:spacing w:after="0" w:line="14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with respect to all matters voted on by the common stockholders of the Company.</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 the event of a reorganization of the Company, after payment to any preferred stockholders of their liquidation preferences, holders of Common Stock are entitled to share ratably in all remaining assets of the Company.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2025, the Company had reserved Common Stock for future issuances as follows:</w:t>
      </w:r>
    </w:p>
    <w:p>
      <w:pPr>
        <w:spacing w:after="0" w:line="97"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reserved for Contingent Earnout Shares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30"/>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reserved for Common Stock Purchase Agreement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r>
      <w:tr>
        <w:trPr>
          <w:trHeight w:val="22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reserved for ATM Facility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18,590,611</w:t>
            </w:r>
          </w:p>
        </w:tc>
      </w:tr>
      <w:tr>
        <w:trPr>
          <w:trHeight w:val="22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reserved for Option Agreement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1,073,333</w:t>
            </w:r>
          </w:p>
        </w:tc>
      </w:tr>
      <w:tr>
        <w:trPr>
          <w:trHeight w:val="230"/>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outstanding under stock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17,193,965</w:t>
            </w:r>
          </w:p>
        </w:tc>
      </w:tr>
      <w:tr>
        <w:trPr>
          <w:trHeight w:val="22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Options available for issuance under stock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7,381,814</w:t>
            </w:r>
          </w:p>
        </w:tc>
      </w:tr>
      <w:tr>
        <w:trPr>
          <w:trHeight w:val="22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ESPP</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1,030,033</w:t>
            </w: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14,079,314</w:t>
            </w:r>
          </w:p>
        </w:tc>
      </w:tr>
      <w:tr>
        <w:trPr>
          <w:trHeight w:val="223"/>
        </w:trPr>
        <w:tc>
          <w:tcPr>
            <w:tcW w:w="94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86,349,070</w:t>
            </w:r>
          </w:p>
        </w:tc>
      </w:tr>
      <w:tr>
        <w:trPr>
          <w:trHeight w:val="21"/>
        </w:trPr>
        <w:tc>
          <w:tcPr>
            <w:tcW w:w="94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340" w:right="280" w:hanging="332"/>
        <w:spacing w:after="0" w:line="282" w:lineRule="auto"/>
        <w:tabs>
          <w:tab w:leader="none" w:pos="334"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Assumes the exercise of the $8,050,000 </w:t>
      </w:r>
      <w:r>
        <w:rPr>
          <w:rFonts w:ascii="Times New Roman" w:cs="Times New Roman" w:eastAsia="Times New Roman" w:hAnsi="Times New Roman"/>
          <w:sz w:val="18"/>
          <w:szCs w:val="18"/>
          <w:color w:val="000000"/>
        </w:rPr>
        <w:t>of shares of Common Stock remaining</w:t>
      </w:r>
      <w:r>
        <w:rPr>
          <w:rFonts w:ascii="Times New Roman" w:cs="Times New Roman" w:eastAsia="Times New Roman" w:hAnsi="Times New Roman"/>
          <w:sz w:val="18"/>
          <w:szCs w:val="18"/>
          <w:color w:val="231F20"/>
        </w:rPr>
        <w:t xml:space="preserve"> under the Option as provided for in the Option Agreement at the minimum purchase price of $7.50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1527" w:lineRule="exact"/>
        <w:rPr>
          <w:sz w:val="20"/>
          <w:szCs w:val="20"/>
          <w:color w:val="auto"/>
        </w:rPr>
      </w:pPr>
    </w:p>
    <w:p>
      <w:pPr>
        <w:sectPr>
          <w:pgSz w:w="11900" w:h="16838" w:orient="portrait"/>
          <w:cols w:equalWidth="0" w:num="2">
            <w:col w:w="10980" w:space="20"/>
            <w:col w:w="240"/>
          </w:cols>
          <w:pgMar w:left="320" w:top="513" w:right="339" w:bottom="1440" w:gutter="0" w:footer="0" w:header="0"/>
          <w:type w:val="continuous"/>
        </w:sectPr>
      </w:pPr>
    </w:p>
    <w:p>
      <w:pPr>
        <w:ind w:left="340" w:right="100" w:hanging="332"/>
        <w:spacing w:after="0" w:line="282"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17, 2025, the Company’s board of directors reduced the number of shares reserved under the 2021 Employee Stock Purchase Plan (the “ESPP”) to zero shares of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certificate of designations. Voting powers, designations, powers, preferences and relative, participating, optional, special and other rights shall be stated and expressed in such resolutions. There were 20,000,000 shares designated as preferred stock and none were outstanding as of March 31, 2025 and December 31,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the following Common Stock warrants outstanding as of March 31, 2025 and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95"/>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Outstanding</w:t>
            </w:r>
          </w:p>
        </w:tc>
      </w:tr>
      <w:tr>
        <w:trPr>
          <w:trHeight w:val="22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Humacyte 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2024 RDO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5,681,820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2024 RDO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2,808,988</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14,079,314</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There were no issuances, exercises or expirations of warrants during the three months ended March 31, 2025 or March 31, 2024. On April 7, 2025, October 2024 RDO Warrants to purchase 2,840,910 shares of Common Stock expired.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Legacy Humacyte Common Stock Warrants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former loan agreement with SVB, in 2021 the Company granted warrants to the lenders to purchase 411,006 shares of Common Stock at an exercise price of $10.28 per share (such warrants, “Legacy Humacyte Common Stock Warrants”). The Company recognized the fair value of the warrants within stockholders’ equity using a Black-Scholes valuation model, as the settlement of the warrants is indexed to the Common Stock.</w:t>
      </w: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Public and Private Placement Warrants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Stock. As such, the Common Stock Warrants were not classified as liabilities under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The Company then evaluated the Common Stock Warrants under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w:t>
      </w:r>
    </w:p>
    <w:p>
      <w:pPr>
        <w:spacing w:after="0" w:line="15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Public Warrants are considered to be “indexed to the Company’s own stock.” The agreement provides that in the event of a tender or exchange offer made to and accepted by holders of more than 50% of the outstanding shares of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shares of Common Stock will always result in a change in control and would not preclude permanent equity classification of the Public Warrants. Based on this evaluation, the Company concluded that the Public Warrants met the criteria to be classified within stockholders’ equity. The Public Warrants were initially recognized as equity on the Closing Date at a fair value of $2.80 per share.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87"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1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“indexed to the Company’s own stock” and therefore are not classified in stockholders’ equity. As the Private Placement Warrants met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income (loss) at each reporting date.</w:t>
      </w:r>
    </w:p>
    <w:p>
      <w:pPr>
        <w:spacing w:after="0" w:line="14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Private Placement Warrants were initially recognized as a liability on the Closing Date, at a fair value of $0.6 million. See Note 3 — Fair Value Measurements for a summary of the change in the fair value of the Private Placement Warrants during the three months ended March 31, 2025 and 2024. The remeasurement of the Private Placement Warrant liability to a fair value of $0.1 million as of March 31, 2025 from $0.4 million as of December 31, 2024 resulted in a non-cash gain of $0.3 million for the three months ended March 31, 2025 compared to an insignificant loss for the three months ended March 31, 2024. The remeasurement of the Private Placement Warrant liability is classified within Change in fair value of derivatives in the condensed consolidated statements of operations and comprehensive income (loss).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Private Placement Warrants were valued using the following assumptions under the Monte Carlo simulation value model: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 Warrants</w:t>
      </w:r>
    </w:p>
    <w:p>
      <w:pPr>
        <w:spacing w:after="0" w:line="20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Together the October 2024 RDO Warrants and the November 2024 RDO Warrants are referred to as the “Registered Direct Offering Warrants”.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Company evaluated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to determine the appropriate financial statement classification upon issuance. The </w:t>
      </w:r>
      <w:r>
        <w:rPr>
          <w:rFonts w:ascii="Times New Roman" w:cs="Times New Roman" w:eastAsia="Times New Roman" w:hAnsi="Times New Roman"/>
          <w:sz w:val="18"/>
          <w:szCs w:val="18"/>
          <w:color w:val="000000"/>
        </w:rPr>
        <w:t>Registered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Direct Offering Warrants </w:t>
      </w:r>
      <w:r>
        <w:rPr>
          <w:rFonts w:ascii="Times New Roman" w:cs="Times New Roman" w:eastAsia="Times New Roman" w:hAnsi="Times New Roman"/>
          <w:sz w:val="18"/>
          <w:szCs w:val="18"/>
          <w:color w:val="231F20"/>
        </w:rPr>
        <w:t>are not mandatorily redeemable and are considered to be freestanding instruments as they are separately exercisable into shares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Common Stock. The Company is not required to transfer assets to settle the warrants, except potentially as a result of a fundamental transaction (defined in the Registered Direct Offering Warrants to include various merger and change in control transactions). As such,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were not classified as liabilities under ASC 480. The Company then evaluated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under ASC 815.</w:t>
      </w:r>
    </w:p>
    <w:p>
      <w:pPr>
        <w:spacing w:after="0" w:line="14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The agreements governing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include a provision, which, if applied, could result in a different settlement value for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T</w:t>
      </w:r>
      <w:r>
        <w:rPr>
          <w:rFonts w:ascii="Times New Roman" w:cs="Times New Roman" w:eastAsia="Times New Roman" w:hAnsi="Times New Roman"/>
          <w:sz w:val="18"/>
          <w:szCs w:val="18"/>
          <w:color w:val="000000"/>
        </w:rPr>
        <w:t>he Registered Direct Offering Warrants cannot be exercised if after the exercise the warrant holder would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own more than 4.99% of the outstanding Common Stock (the “Beneficial Ownership Limitation”). The holder may elect to increase the Beneficial Ownership Limitation to 9.99%. The Beneficial Ownership Limitation constitutes an exercise contingency in that it limits or defers the exercise of some of the Registered Direct Offering Warrants if the limitation would otherwise be reached, depending on the number of shares of Common Stock that are outstanding. The exercise contingency is not based on either an observable market or an observable index, so it does not preclude the Registered Direct Offering Warrants from being considered indexed to the Company’s own stock.</w:t>
      </w:r>
    </w:p>
    <w:p>
      <w:pPr>
        <w:spacing w:after="0" w:line="14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the event of a fundamental transaction, if the Registered Direct Offering Warrant holder elects to have the Company repurchase the applicable Registered Direct Offering Warrant(s), the Black-Scholes value of the Registered Direct Offering Warrant is calculated with adjustments to the stock price and volatility of the shares of Common Stock on the market. These are not standard adjustments in determining the fair value of an option. As the volatility adjustment provision violates the fixed-for-fixed rule, the Registered Direct Offering Warrants </w:t>
      </w:r>
      <w:r>
        <w:rPr>
          <w:rFonts w:ascii="Times New Roman" w:cs="Times New Roman" w:eastAsia="Times New Roman" w:hAnsi="Times New Roman"/>
          <w:sz w:val="18"/>
          <w:szCs w:val="18"/>
          <w:color w:val="231F20"/>
        </w:rPr>
        <w:t>are not considered to be “indexed to the Company’s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stock” and therefore are not classified in stockholders’ equity. As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October 2024 RDO Warrants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October 2024 RDO Warrants were immediately exercisable. October 2024 RDO Warrants to purchase 2,840,910 shares of Common Stock have an exercise price of $5.28 per share, and had an expiration term of 180 days from the date of issuance. The remaining October 2024 RDO Warrants to purchase 2,840,910 shares of Common Stock have an exercise price of $5.28 per share, and will expire 1,640 days from the date of issuance. On April 7, 2025, October 2024 RDO Warrants to purchase 2,840,910 shares of Common Stock expired.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20" w:firstLine="324"/>
        <w:spacing w:after="0" w:line="276" w:lineRule="auto"/>
        <w:rPr>
          <w:sz w:val="20"/>
          <w:szCs w:val="20"/>
          <w:color w:val="auto"/>
        </w:rPr>
      </w:pPr>
      <w:r>
        <w:rPr>
          <w:rFonts w:ascii="Times New Roman" w:cs="Times New Roman" w:eastAsia="Times New Roman" w:hAnsi="Times New Roman"/>
          <w:sz w:val="17"/>
          <w:szCs w:val="17"/>
          <w:color w:val="auto"/>
        </w:rPr>
        <w:t xml:space="preserve">The October 2024 RDO Warrants were initially recognized as a liability on the issuance date at a fair value of $15.2 million and were subsequently remeasured to a fair value of $12.4 million as of </w:t>
      </w:r>
      <w:r>
        <w:rPr>
          <w:rFonts w:ascii="Times New Roman" w:cs="Times New Roman" w:eastAsia="Times New Roman" w:hAnsi="Times New Roman"/>
          <w:sz w:val="17"/>
          <w:szCs w:val="17"/>
          <w:color w:val="231F20"/>
        </w:rPr>
        <w:t>December 31, 2024. The remeasurement of the October RDO Warrants liability to a fair value of</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$2.1 million as of March 31, 2025 resulted in a non-cash gain of $10.3 million for the three months ended March 31, 2025</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classified within Change in fair value of derivatives in the condensed consolidated statements of operations and comprehensive loss. </w:t>
      </w:r>
      <w:r>
        <w:rPr>
          <w:rFonts w:ascii="Times New Roman" w:cs="Times New Roman" w:eastAsia="Times New Roman" w:hAnsi="Times New Roman"/>
          <w:sz w:val="18"/>
          <w:szCs w:val="18"/>
          <w:color w:val="231F20"/>
        </w:rPr>
        <w:t>See</w:t>
      </w:r>
      <w:r>
        <w:rPr>
          <w:rFonts w:ascii="Times New Roman" w:cs="Times New Roman" w:eastAsia="Times New Roman" w:hAnsi="Times New Roman"/>
          <w:sz w:val="18"/>
          <w:szCs w:val="18"/>
          <w:color w:val="auto"/>
        </w:rPr>
        <w:t xml:space="preserve"> Note 3 — Fair Value Measurements </w:t>
      </w:r>
      <w:r>
        <w:rPr>
          <w:rFonts w:ascii="Times New Roman" w:cs="Times New Roman" w:eastAsia="Times New Roman" w:hAnsi="Times New Roman"/>
          <w:sz w:val="18"/>
          <w:szCs w:val="18"/>
          <w:color w:val="231F20"/>
        </w:rPr>
        <w:t>for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summary of the change in the fair value of the October 2024 RDO Warrants during the three months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October 2024 RDO Warrants were valued using the following assumptions under the Black-Scholes valuation model: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180 Day Warrants</w:t>
            </w:r>
          </w:p>
        </w:tc>
        <w:tc>
          <w:tcPr>
            <w:tcW w:w="280" w:type="dxa"/>
            <w:vAlign w:val="bottom"/>
          </w:tcPr>
          <w:p>
            <w:pPr>
              <w:spacing w:after="0"/>
              <w:rPr>
                <w:sz w:val="16"/>
                <w:szCs w:val="16"/>
                <w:color w:val="auto"/>
              </w:rPr>
            </w:pPr>
          </w:p>
        </w:tc>
        <w:tc>
          <w:tcPr>
            <w:tcW w:w="296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1,640 Day Warrants</w:t>
            </w:r>
          </w:p>
        </w:tc>
      </w:tr>
      <w:tr>
        <w:trPr>
          <w:trHeight w:val="23"/>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31"/>
        </w:trPr>
        <w:tc>
          <w:tcPr>
            <w:tcW w:w="4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105.9 %</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106.7 %</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88.4 %</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November 2024 RDO Warrants</w:t>
      </w:r>
    </w:p>
    <w:p>
      <w:pPr>
        <w:spacing w:after="0" w:line="200"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November 2024 RDO Warrants were immediately exercisable. November 2024 RDO Warrants to purchase 1,404,494 shares of Common Stock have an exercise price of $5.34 per share, and will expire 180 days from the date of issuance. The remaining November 2024 RDO Warrants to purchase 1,404,494 shares of Common Stock have an exercise price of $5.34 per share, and will expire 1,640 days from the date of issuance.</w:t>
      </w:r>
    </w:p>
    <w:p>
      <w:pPr>
        <w:spacing w:after="0" w:line="17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November 2024 RDO Warrants were initially recognized as a liability on the issuance date at a fair value of $6.1 million and were subsequently remeasured to a fair value of $6.4 million as of </w:t>
      </w:r>
      <w:r>
        <w:rPr>
          <w:rFonts w:ascii="Times New Roman" w:cs="Times New Roman" w:eastAsia="Times New Roman" w:hAnsi="Times New Roman"/>
          <w:sz w:val="18"/>
          <w:szCs w:val="18"/>
          <w:color w:val="231F20"/>
        </w:rPr>
        <w:t>December 31, 2024. The remeasurement of the</w:t>
      </w:r>
      <w:r>
        <w:rPr>
          <w:rFonts w:ascii="Times New Roman" w:cs="Times New Roman" w:eastAsia="Times New Roman" w:hAnsi="Times New Roman"/>
          <w:sz w:val="18"/>
          <w:szCs w:val="18"/>
          <w:color w:val="auto"/>
        </w:rPr>
        <w:t xml:space="preserve"> November 2024 RDO Warrants liability </w:t>
      </w:r>
      <w:r>
        <w:rPr>
          <w:rFonts w:ascii="Times New Roman" w:cs="Times New Roman" w:eastAsia="Times New Roman" w:hAnsi="Times New Roman"/>
          <w:sz w:val="18"/>
          <w:szCs w:val="18"/>
          <w:color w:val="231F20"/>
        </w:rPr>
        <w:t>to a fair value of</w:t>
      </w:r>
      <w:r>
        <w:rPr>
          <w:rFonts w:ascii="Times New Roman" w:cs="Times New Roman" w:eastAsia="Times New Roman" w:hAnsi="Times New Roman"/>
          <w:sz w:val="18"/>
          <w:szCs w:val="18"/>
          <w:color w:val="auto"/>
        </w:rPr>
        <w:t xml:space="preserve"> $1.1 million as of March </w:t>
      </w:r>
      <w:r>
        <w:rPr>
          <w:rFonts w:ascii="Times New Roman" w:cs="Times New Roman" w:eastAsia="Times New Roman" w:hAnsi="Times New Roman"/>
          <w:sz w:val="18"/>
          <w:szCs w:val="18"/>
          <w:color w:val="231F20"/>
        </w:rPr>
        <w:t>31, 2025</w:t>
      </w:r>
      <w:r>
        <w:rPr>
          <w:rFonts w:ascii="Times New Roman" w:cs="Times New Roman" w:eastAsia="Times New Roman" w:hAnsi="Times New Roman"/>
          <w:sz w:val="18"/>
          <w:szCs w:val="18"/>
          <w:color w:val="auto"/>
        </w:rPr>
        <w:t xml:space="preserve"> resulted in a non-cash gain of $5.4 million for the </w:t>
      </w:r>
      <w:r>
        <w:rPr>
          <w:rFonts w:ascii="Times New Roman" w:cs="Times New Roman" w:eastAsia="Times New Roman" w:hAnsi="Times New Roman"/>
          <w:sz w:val="18"/>
          <w:szCs w:val="18"/>
          <w:color w:val="231F20"/>
        </w:rPr>
        <w:t>three months ended</w:t>
      </w:r>
      <w:r>
        <w:rPr>
          <w:rFonts w:ascii="Times New Roman" w:cs="Times New Roman" w:eastAsia="Times New Roman" w:hAnsi="Times New Roman"/>
          <w:sz w:val="18"/>
          <w:szCs w:val="18"/>
          <w:color w:val="auto"/>
        </w:rPr>
        <w:t xml:space="preserve"> March 31, 2025</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classified within Change in fair value of derivatives in the condensed consolidated statements of operations and comprehensive loss. </w:t>
      </w:r>
      <w:r>
        <w:rPr>
          <w:rFonts w:ascii="Times New Roman" w:cs="Times New Roman" w:eastAsia="Times New Roman" w:hAnsi="Times New Roman"/>
          <w:sz w:val="18"/>
          <w:szCs w:val="18"/>
          <w:color w:val="231F20"/>
        </w:rPr>
        <w:t>See</w:t>
      </w:r>
      <w:r>
        <w:rPr>
          <w:rFonts w:ascii="Times New Roman" w:cs="Times New Roman" w:eastAsia="Times New Roman" w:hAnsi="Times New Roman"/>
          <w:sz w:val="18"/>
          <w:szCs w:val="18"/>
          <w:color w:val="auto"/>
        </w:rPr>
        <w:t xml:space="preserve"> Note 3 — Fair Value Measurements </w:t>
      </w:r>
      <w:r>
        <w:rPr>
          <w:rFonts w:ascii="Times New Roman" w:cs="Times New Roman" w:eastAsia="Times New Roman" w:hAnsi="Times New Roman"/>
          <w:sz w:val="18"/>
          <w:szCs w:val="18"/>
          <w:color w:val="231F20"/>
        </w:rPr>
        <w:t>for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summary of the change in the fair value of the November 2024 RDO Warrants during the three months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November 2024 RDO Warrants were valued using the following assumptions under the Black-Scholes valuation model: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180 Day Warrants</w:t>
            </w:r>
          </w:p>
        </w:tc>
        <w:tc>
          <w:tcPr>
            <w:tcW w:w="300" w:type="dxa"/>
            <w:vAlign w:val="bottom"/>
          </w:tcPr>
          <w:p>
            <w:pPr>
              <w:spacing w:after="0"/>
              <w:rPr>
                <w:sz w:val="16"/>
                <w:szCs w:val="16"/>
                <w:color w:val="auto"/>
              </w:rPr>
            </w:pPr>
          </w:p>
        </w:tc>
        <w:tc>
          <w:tcPr>
            <w:tcW w:w="298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1,640 Day Warrants</w:t>
            </w:r>
          </w:p>
        </w:tc>
      </w:tr>
      <w:tr>
        <w:trPr>
          <w:trHeight w:val="23"/>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31"/>
        </w:trPr>
        <w:tc>
          <w:tcPr>
            <w:tcW w:w="43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105.9 %</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88.4 %</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Following the closing of the Merger (the “Closing”), former holders of Legacy Humacyte common and preferred shares are eligible to receive up to 15,000,000 additional shares of Common Stock (the “Contingent Earnout Shares”) in the aggregate, in two equal tranches of 7,500,000 shares of Common Stock per tranche. The first and second tranches are issuable if the closing volume weighted average price (“VWAP”) per share of Common Stock quoted on The Nasdaq Stock Market LLC (“Nasdaq”) (or the exchange on which the shares of Common Stock are then listed), is greater or equal to $15.00 and $20.00, respectively, over any 20 trading days within any 30 consecutive trading day period.</w:t>
      </w:r>
    </w:p>
    <w:p>
      <w:pPr>
        <w:spacing w:after="0" w:line="14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Upon the Closing, the contingent obligation to issue Contingent Earnout Shares was accounted for as a liability (“Contingent Earnout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income (expense), net in the condensed consolidated statements of operations and comprehensive income (loss).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 Fair Value Measurements for a summary of the change in the fair value of the Contingent Earnout Liability during the three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2025 and 2024. The remeasurement of the Contingent Earnout Liability to a fair value of $21.2 million as of March 31, 2025 from a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$71.0 million as of December 31, 2024, resulted in a non-cash gain of $49.7 million for the three months ended March 31, 2025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 million for the three months ended March 31, 2024. The remeasurement of the Contingent Earnout Liability is classified within 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Contingent Earnout Liability in the condensed consolidated statements of operations and comprehensive loss. The assumptions utilized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calculations of fair value were based on the achievement of certain stock price milestones, including the current Common Stock price, expected volatility,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risk-free rate, expected term and expected dividend yield.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Assumptions used in the valuations are described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40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84.8 %</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4.58 %</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904"/>
        </w:trPr>
        <w:tc>
          <w:tcPr>
            <w:tcW w:w="3880" w:type="dxa"/>
            <w:vAlign w:val="bottom"/>
          </w:tcPr>
          <w:p>
            <w:pPr>
              <w:spacing w:after="0"/>
              <w:rPr>
                <w:sz w:val="24"/>
                <w:szCs w:val="24"/>
                <w:color w:val="auto"/>
              </w:rPr>
            </w:pPr>
          </w:p>
        </w:tc>
        <w:tc>
          <w:tcPr>
            <w:tcW w:w="406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Closing, the 2021 Long-Term Incentive Plan, (the “2021 Plan”), and the ESPP became effective. Under the 2021 Plan, the Company can grant non-statutory stock options, incentive stock options, stock appreciation rights, restricted stock, restricted stock units, unrestricted stock, performance awards and other forms of awards. Under the ESPP, when and if implemented, eligible employees will be permitted to purchase shares of Common Stock at the lower of 85% of the closing trading price per share of Common Stock on the first day of the offering or 85% of the closing trading price per share on the exercise date, which will occur on the last day of each offering.</w:t>
      </w:r>
    </w:p>
    <w:p>
      <w:pPr>
        <w:spacing w:after="0" w:line="14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2021 Plan and ESPP provide that on January 1 of each year, the 2021 Plan and the ESPP reserve will automatically increase in an amount equal to the lesser of (a) 5% and 1%, respectively, of the number of shares of Common Stock outstanding on December 31 of the preceding year and (b) a number of shares of Common Stock determined by the Company’s board of directors. The 2021 Plan share reserve automatically increased on January 1, 2024 by 5,183,686 shares, which was equivalent to 5% of the number of shares of Common Stock outstanding on December 31, 2023. The 2021 Plan share reserve automatically increased on January 1, 2025 by 6,501,375 shares, which was equivalent to 5% of the number of shares of Common Stock outstanding on December 31, 2024. Since the inception of the ESPP, the Company’s board of directors has determined that there would be no automatic increase in the number of shares reserved under the ESPP. As of March 31, 2025, 7,381,814 and 1,030,033 shares of Common Stock were available under the 2021 Plan and ESPP, respectively. Effective April 17, 2025, the Company’s board of directors reduced the number of shares reserved under the ESPP to zero shares of Common Stock.</w:t>
      </w:r>
    </w:p>
    <w:p>
      <w:pPr>
        <w:spacing w:after="0" w:line="16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Prior to the Closing, Legacy Humacyte had two equity incentive plans, the 2015 Omnibus Incentive Plan, as amended (the “2015 Plan”), and the 2005 Stock Option Plan (the “2005 Plan”). As a result of the Merger, following the Closing, no further awards were granted under either the 2015 Plan or the 2005 Plan. All awards previously granted and outstanding as of the effective date of the Merger were adjusted to reflect the impact of the Merger, but otherwise retained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March 31, 2025, 13,502,038, 3,691,849 and 78 shares of Common Stock remain reserved for outstanding options issued under the 2021 Plan, the 2015 Plan and the 2005 Plan, respectively. The Company has sufficient authorized and unissued shares to issue Common Stock in satisfaction of any outstanding awards and any awards available for grant under the 2021 Plan.</w:t>
      </w:r>
    </w:p>
    <w:p>
      <w:pPr>
        <w:spacing w:after="0" w:line="15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Common Stock at the date of grant.</w:t>
      </w:r>
    </w:p>
    <w:p>
      <w:pPr>
        <w:spacing w:after="0" w:line="13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6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stock options on the date of grant using the following assumptions in the Black-Scholes option-pricing model:</w:t>
      </w:r>
    </w:p>
    <w:p>
      <w:pPr>
        <w:spacing w:after="0" w:line="196"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29"/>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 (weighted average and range, if applicable)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30"/>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(weighted average and range, if applicable)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34"/>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6.25</w:t>
            </w:r>
          </w:p>
        </w:tc>
      </w:tr>
    </w:tbl>
    <w:p>
      <w:pPr>
        <w:spacing w:after="0" w:line="24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The fair value of the Common Stock has been determined based on the closing price of the shares on Nasdaq.</w:t>
      </w:r>
    </w:p>
    <w:p>
      <w:pPr>
        <w:spacing w:after="0" w:line="198"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stock options are expected to be outstanding. The Company calculated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4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was determined based on a blended approach using the historical share volatility of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spacing w:after="0" w:line="139" w:lineRule="exact"/>
        <w:rPr>
          <w:rFonts w:ascii="Times New Roman" w:cs="Times New Roman" w:eastAsia="Times New Roman" w:hAnsi="Times New Roman"/>
          <w:sz w:val="18"/>
          <w:szCs w:val="18"/>
          <w:color w:val="auto"/>
        </w:rPr>
      </w:pPr>
    </w:p>
    <w:p>
      <w:pPr>
        <w:ind w:left="660" w:right="500" w:hanging="328"/>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was based on the yields of U.S. Treasury zero-coupon securities with maturities similar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duration to the expected term of the options.</w:t>
      </w:r>
    </w:p>
    <w:p>
      <w:pPr>
        <w:spacing w:after="0" w:line="131"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not paid dividends on its Common Stock nor does it expect to pay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the Company has estimated the dividend yield to be zero.</w:t>
      </w:r>
    </w:p>
    <w:p>
      <w:pPr>
        <w:spacing w:after="0" w:line="16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summary of stock-based compensation expense included in the condensed consolidated statements of operations and comprehensive income (loss) for the three months ended March 31, 2025 and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unrecognized stock-based compensation cost for options was $33.4 million and is expected to be recognized over a weighted-average period of 3.0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option activity under the Company’s stock option plans during the three months ended March 31, 2025 is presented below:</w:t>
      </w:r>
    </w:p>
    <w:p>
      <w:pPr>
        <w:spacing w:after="0" w:line="19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Weighted</w:t>
      </w:r>
    </w:p>
    <w:p>
      <w:pPr>
        <w:ind w:left="8500"/>
        <w:spacing w:after="0" w:line="221" w:lineRule="auto"/>
        <w:rPr>
          <w:sz w:val="20"/>
          <w:szCs w:val="20"/>
          <w:color w:val="auto"/>
        </w:rPr>
      </w:pPr>
      <w:r>
        <w:rPr>
          <w:rFonts w:ascii="Times New Roman" w:cs="Times New Roman" w:eastAsia="Times New Roman" w:hAnsi="Times New Roman"/>
          <w:sz w:val="14"/>
          <w:szCs w:val="14"/>
          <w:b w:val="1"/>
          <w:bCs w:val="1"/>
          <w:color w:val="auto"/>
        </w:rPr>
        <w:t>Average</w:t>
      </w:r>
    </w:p>
    <w:tbl>
      <w:tblPr>
        <w:tblLayout w:type="fixed"/>
        <w:tblInd w:w="0" w:type="dxa"/>
        <w:tblCellMar>
          <w:top w:w="0" w:type="dxa"/>
          <w:left w:w="0" w:type="dxa"/>
          <w:bottom w:w="0" w:type="dxa"/>
          <w:right w:w="0" w:type="dxa"/>
        </w:tblCellMar>
      </w:tblPr>
      <w:tr>
        <w:trPr>
          <w:trHeight w:val="128"/>
        </w:trPr>
        <w:tc>
          <w:tcPr>
            <w:tcW w:w="4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1"/>
                <w:szCs w:val="11"/>
                <w:color w:val="auto"/>
              </w:rPr>
            </w:pPr>
          </w:p>
        </w:tc>
        <w:tc>
          <w:tcPr>
            <w:tcW w:w="1360" w:type="dxa"/>
            <w:vAlign w:val="bottom"/>
          </w:tcPr>
          <w:p>
            <w:pPr>
              <w:jc w:val="center"/>
              <w:ind w:right="178"/>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13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7"/>
                <w:szCs w:val="17"/>
                <w:color w:val="auto"/>
              </w:rPr>
            </w:pP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12,274,139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5,552,087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March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March 31, 2025</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6,214,045</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March 31, 2025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17,193,965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0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March 31, 2025. The Company’s effective federal and state tax rate for the three months ended March 31, 2025 and 2024 was 0%, primarily as a result of estimated net operating losses for the fiscal year to date offset by the increase in the valuation allowance against its deferred tax asset.</w:t>
      </w:r>
    </w:p>
    <w:p>
      <w:pPr>
        <w:spacing w:after="0" w:line="14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record any income tax expense or benefit during the three months ended March 31, 2025 and 2024.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172" w:lineRule="exact"/>
        <w:rPr>
          <w:sz w:val="20"/>
          <w:szCs w:val="20"/>
          <w:color w:val="auto"/>
        </w:rPr>
      </w:pPr>
    </w:p>
    <w:p>
      <w:pPr>
        <w:ind w:right="8420" w:firstLine="8"/>
        <w:spacing w:after="0" w:line="462" w:lineRule="auto"/>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Patent License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Duke University</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March 2006, the Company entered into a license agreement with Duke University (“Duke”), which was subsequently amended in 2011, 2014, 2015, 2018, 2019 and 2022 (as amended, the “Duke License Agreement”). Under the Duke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Duke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Company’s entry into the Duke License Agreement, the Company granted equity consideration to Duke in the form of 52,693 shares of Common Stock. Under the Duke License Agreement, the Company also agreed to pay Duke:</w:t>
      </w:r>
    </w:p>
    <w:p>
      <w:pPr>
        <w:spacing w:after="0" w:line="135" w:lineRule="exact"/>
        <w:rPr>
          <w:sz w:val="20"/>
          <w:szCs w:val="20"/>
          <w:color w:val="auto"/>
        </w:rPr>
      </w:pPr>
    </w:p>
    <w:p>
      <w:pPr>
        <w:ind w:left="660" w:right="6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eligible sales of licensed products and licensed services, plus a low double-digit percentage of any sublicensing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1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minimum royalty beginning in 2012, which increases in the calendar year immediately following the first commercial sale of licensed products or licensed services (whichever occurs first);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in license fees, as certain milestones are met.</w:t>
      </w:r>
    </w:p>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Duke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w:t>
      </w:r>
    </w:p>
    <w:p>
      <w:pPr>
        <w:spacing w:after="0" w:line="14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December 2023, the Company filed a BLA with the FDA for urgent arterial repair following extremity vascular trauma when synthetic graft is not indicated, and autologous vein use is not feasible. Based on the achievement of this milestone under the Duke License Agreement, the Company paid a $0.5 million license fee to Duke during the first quarter of 2024.</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In December 2024, the FDA approved the Company’s BLA for urgent arterial repair following extremity vascular trauma when autologous vein use is not feasible. Based on the achievement of this milestone under the Duke License Agreement, the Company recorded </w:t>
      </w:r>
      <w:r>
        <w:rPr>
          <w:rFonts w:ascii="Times New Roman" w:cs="Times New Roman" w:eastAsia="Times New Roman" w:hAnsi="Times New Roman"/>
          <w:sz w:val="18"/>
          <w:szCs w:val="18"/>
          <w:color w:val="000000"/>
        </w:rPr>
        <w:t>$0.5 million</w:t>
      </w:r>
      <w:r>
        <w:rPr>
          <w:rFonts w:ascii="Times New Roman" w:cs="Times New Roman" w:eastAsia="Times New Roman" w:hAnsi="Times New Roman"/>
          <w:sz w:val="18"/>
          <w:szCs w:val="18"/>
          <w:color w:val="231F20"/>
        </w:rPr>
        <w:t xml:space="preserve"> of license expense payable in accrued expenses in the Company’s condensed consolidated balance sheets as of both March 31, 2025 and December 31, 2024. </w:t>
      </w:r>
      <w:r>
        <w:rPr>
          <w:rFonts w:ascii="Times New Roman" w:cs="Times New Roman" w:eastAsia="Times New Roman" w:hAnsi="Times New Roman"/>
          <w:sz w:val="18"/>
          <w:szCs w:val="18"/>
          <w:color w:val="000000"/>
        </w:rPr>
        <w:t>Other payments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Duke under the Duke License Agreement were immaterial during the periods presented.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Yale University</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University (“Yale”) that granted the Company a worldwide license to the patents related to the biovascular pancreas (“BVP”) product candidate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BVP License Agreement up to a maximum of less than $0.1 million per year for this license.</w:t>
      </w:r>
    </w:p>
    <w:p>
      <w:pPr>
        <w:spacing w:after="0" w:line="14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Tubular Prosthesis License Agreement up to a maximum of less than $0.1 million per year for this license.</w:t>
      </w:r>
    </w:p>
    <w:p>
      <w:pPr>
        <w:spacing w:after="0" w:line="16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its entry into the Tubular Prosthesis License Agreement, the Company paid Yale upfront cash fees. The Company has also agreed to pay Yale:</w:t>
      </w:r>
    </w:p>
    <w:p>
      <w:pPr>
        <w:spacing w:after="0" w:line="121" w:lineRule="exact"/>
        <w:rPr>
          <w:sz w:val="20"/>
          <w:szCs w:val="20"/>
          <w:color w:val="auto"/>
        </w:rPr>
      </w:pPr>
    </w:p>
    <w:p>
      <w:pPr>
        <w:ind w:left="660" w:right="2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maintenance fees, increasing annually until the fifth anniversary for the BVP License Agreement and until the fourth anniversary for the Tubular Prostheses License Agreement up to a maximum of less than $0.1 million per year;</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upon achievement of certain regulatory and commercial milestones of $0.2 million and $0.6 million, respectively;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worldwide net sales, subject to reductions for third-party license fees;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double-digit percentage of sublicensing income.</w:t>
      </w:r>
    </w:p>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12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BVP License Agreement and Tubular Prosthesis License Agreement were immaterial during the periods presented.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JDRF Agreement</w:t>
      </w:r>
    </w:p>
    <w:p>
      <w:pPr>
        <w:spacing w:after="0" w:line="20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April 1, 2023, the Company entered into an Industry Discovery and Development Partnership Agreement with Breakthrough T1D (f/k/a JDRF International) (“JDRF,” and such agreement, the “JDRF Agreement”) to further develop and perform preclinical testing of the BVP, a product candidate designed to deliver insulin-producing islets using the ATEV as a means of treating patients with type 1 diabetes. According to the terms of the JDRF Agreement, JDRF will provide funding up to $0.8 million (“JDRF Award”) based on the achievement of certain research and development milestones related to the Company’s BVP. The JDRF Agreement refers to the total cumulative payments the Company has received from JDRF as of any point in time as the “Actual Award.”</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received the first milestone payment of $80 thousand in April 2023 upon execution of the JDRF Agreement. In May 2024, the Company received the second milestone payment of $90 thousand and the third milestone payment of $150 thousand, based upon the achievement of certain research and development milestones specified in the JDRF Agreement. As of March 31, 2025, the Actual Award totaled $320 thousand.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JDRF Agreement, the Company has agreed to pay JDRF:</w:t>
      </w:r>
    </w:p>
    <w:p>
      <w:pPr>
        <w:spacing w:after="0" w:line="185" w:lineRule="exact"/>
        <w:rPr>
          <w:sz w:val="20"/>
          <w:szCs w:val="20"/>
          <w:color w:val="auto"/>
        </w:rPr>
      </w:pPr>
    </w:p>
    <w:p>
      <w:pPr>
        <w:ind w:left="660" w:right="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royalty in an amount equal to four times the Actual Award, to be paid in three equal installments following the first commercial sale of any product containing the Company’s technology identified in the JDRF Agreement;</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royalty equal to the Actual Award at a specified payment date after net sales exceed $250 million; and</w:t>
      </w:r>
    </w:p>
    <w:p>
      <w:pPr>
        <w:spacing w:after="0" w:line="184"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event of a license, sale or transfer of the Company’s rights to the product’s technology identified in the JDRF Agreement or a change of control transaction, a payment equal to 10% of any license or purchase price payments received by the Company up to an amount equal to four times the Actual Award (the “Royalty Cap”), less any previous royalty payments paid towards the Royalty Cap (the “Disposition Payment”). The Disposition Payment was determined to meet the definition of an embedded derivative requiring bifurcation and is measured at fair value each reporting period with changes in fair value recognized as other income (expense) in the condensed consolidated statements of operations and comprehensive income (loss), classified in Change in fair value of derivatives.</w:t>
      </w:r>
    </w:p>
    <w:p>
      <w:pPr>
        <w:spacing w:after="0" w:line="14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based on previously received milestone payments would remain due after a termination by JDRF without cause. As the royalties are contractually required to be paid upon achieving these milestones even after the termination of the JDRF Agreement, the Company determined that the JDRF Actual Award payments are to be classified as a liability in the condensed consolidated balance sheets. The JDRF liability related to the Actual Award payments is reported at amortized cost and is included in other long-term liabilities in the condensed consolidated balance sheets. At each of March 31, 2025 and December 31, 2024, the carrying value of the JDRF liability was $0.3 million. There was an insignificant amount of interest expense related to the JDRF liability recorded during the three months ended March 31, 2025 and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lawsuits, claims, assessments and proceedings, including securities, commercial, intellectual property, product liability, contractual, governmental, employment or other matters that arise in the normal course of business. The Company accrues a liability for a contingency when management believes information available prior to the issuance of the consolidated financial statements indicates it is probable a loss has been incurred as of the date 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spacing w:after="0" w:line="14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18, 2024, James A. Cutshall filed a putative class action lawsuit, captioned </w:t>
      </w:r>
      <w:r>
        <w:rPr>
          <w:rFonts w:ascii="Times New Roman" w:cs="Times New Roman" w:eastAsia="Times New Roman" w:hAnsi="Times New Roman"/>
          <w:sz w:val="18"/>
          <w:szCs w:val="18"/>
          <w:i w:val="1"/>
          <w:iCs w:val="1"/>
          <w:color w:val="auto"/>
        </w:rPr>
        <w:t>Cutshall v. Humacyte, Inc., et al</w:t>
      </w:r>
      <w:r>
        <w:rPr>
          <w:rFonts w:ascii="Times New Roman" w:cs="Times New Roman" w:eastAsia="Times New Roman" w:hAnsi="Times New Roman"/>
          <w:sz w:val="18"/>
          <w:szCs w:val="18"/>
          <w:color w:val="auto"/>
        </w:rPr>
        <w:t>., No. 1:24-cv-00954 (the “Securities Litigation”), against the Company and certain of the Company’s officers in the United States District Court for the Middle District of North Carolina. The complaint in the Securities Litigation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Complaint seeks a variety of relief, including unspecified compensatory damages, attorneys fees and costs. On January 31, 2025, the court appointed co-lead plaintiffs. On April 2, 2025, the court entered a scheduling order directing the co-lead plaintiffs to file a consolidated amended complaint by May 22, 2025 and the defendants to answer or otherwise respond to the amended complaint by July 25, 2025.</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7 and 10, 2025, putative stockholders of the Company filed two verified stockholder derivative actions in the United States District Court for the Middle District of North Carolina, captioned </w:t>
      </w:r>
      <w:r>
        <w:rPr>
          <w:rFonts w:ascii="Times New Roman" w:cs="Times New Roman" w:eastAsia="Times New Roman" w:hAnsi="Times New Roman"/>
          <w:sz w:val="18"/>
          <w:szCs w:val="18"/>
          <w:i w:val="1"/>
          <w:iCs w:val="1"/>
          <w:color w:val="auto"/>
        </w:rPr>
        <w:t>Silva v. Sebelius, et al</w:t>
      </w:r>
      <w:r>
        <w:rPr>
          <w:rFonts w:ascii="Times New Roman" w:cs="Times New Roman" w:eastAsia="Times New Roman" w:hAnsi="Times New Roman"/>
          <w:sz w:val="18"/>
          <w:szCs w:val="18"/>
          <w:color w:val="auto"/>
        </w:rPr>
        <w:t>., No. 1:25-cv-00005 (the “</w:t>
      </w:r>
      <w:r>
        <w:rPr>
          <w:rFonts w:ascii="Times New Roman" w:cs="Times New Roman" w:eastAsia="Times New Roman" w:hAnsi="Times New Roman"/>
          <w:sz w:val="18"/>
          <w:szCs w:val="18"/>
          <w:i w:val="1"/>
          <w:iCs w:val="1"/>
          <w:color w:val="auto"/>
        </w:rPr>
        <w:t>Silva</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Misko v. Niklason, et al</w:t>
      </w:r>
      <w:r>
        <w:rPr>
          <w:rFonts w:ascii="Times New Roman" w:cs="Times New Roman" w:eastAsia="Times New Roman" w:hAnsi="Times New Roman"/>
          <w:sz w:val="18"/>
          <w:szCs w:val="18"/>
          <w:color w:val="auto"/>
        </w:rPr>
        <w:t>., No. 1:25-cv-00028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Each of these derivative actions was brought on behalf of the Company against certain of its current or former directors and officers, as well as Ayabudge LLC. The complaints in each action assert claims for violations of Section 14(a) of the Exchange Act, breach of fiduciary duty, unjust enrichment, abuse of control, gross mismanagement, and waste of corporate assets, based on a variety of allegations including claims that the defendants are responsible for any damages sustained by the Company as a result of the Securities Litigation.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also includes a claim for contribution against certain defendants under Sections 10(b) and 21(d) of the Exchange Act for any liability the Company may sustain as a result of the Securities Litigation. On February 18, 2025, the court issued an order consolidating the </w:t>
      </w:r>
      <w:r>
        <w:rPr>
          <w:rFonts w:ascii="Times New Roman" w:cs="Times New Roman" w:eastAsia="Times New Roman" w:hAnsi="Times New Roman"/>
          <w:sz w:val="18"/>
          <w:szCs w:val="18"/>
          <w:i w:val="1"/>
          <w:iCs w:val="1"/>
          <w:color w:val="auto"/>
        </w:rPr>
        <w:t>Silva</w:t>
      </w:r>
      <w:r>
        <w:rPr>
          <w:rFonts w:ascii="Times New Roman" w:cs="Times New Roman" w:eastAsia="Times New Roman" w:hAnsi="Times New Roman"/>
          <w:sz w:val="18"/>
          <w:szCs w:val="18"/>
          <w:color w:val="auto"/>
        </w:rPr>
        <w:t xml:space="preserve"> Action and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(collectively, the “Consolidated Derivative Action”) and staying the defendants’ obligation to respond to any complaint in the Consolidated Derivative Action pending the submission of a proposed scheduling order. On March 11, 2025, the parties entered a joint motion to stay the Consolidated Derivative Action pending final resolution of the Securities Litigation. On March 24, 2025, the court granted the parties’ joint motion to stay the Consolidated Derivative Action.</w:t>
      </w:r>
    </w:p>
    <w:p>
      <w:pPr>
        <w:spacing w:after="0" w:line="15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December 19, 2024, the Company received a demand letter (the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Demand Letter and report back to the full Board. On February 19, 2025, the purported stockholder who sent the Demand Letter filed a stockholder derivative action in the United States District Court for the Middle District of North Carolina, captioned </w:t>
      </w:r>
      <w:r>
        <w:rPr>
          <w:rFonts w:ascii="Times New Roman" w:cs="Times New Roman" w:eastAsia="Times New Roman" w:hAnsi="Times New Roman"/>
          <w:sz w:val="18"/>
          <w:szCs w:val="18"/>
          <w:i w:val="1"/>
          <w:iCs w:val="1"/>
          <w:color w:val="auto"/>
        </w:rPr>
        <w:t>Olson v. Niklason</w:t>
      </w:r>
      <w:r>
        <w:rPr>
          <w:rFonts w:ascii="Times New Roman" w:cs="Times New Roman" w:eastAsia="Times New Roman" w:hAnsi="Times New Roman"/>
          <w:sz w:val="18"/>
          <w:szCs w:val="18"/>
          <w:color w:val="auto"/>
        </w:rPr>
        <w:t>, et al., No. 1:25-cv-00123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alleging that the Company had refused his demand. The complaint in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asserts substantive claims and allegations that are substantially similar to those asserted in the Consolidated Derivative Action. On April 22, 2025, the parties filed a joint motion to stay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pending final resolution of the Securities Litigation. On April 24, 2025, the court granted the parties’ joint motion to stay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w:t>
      </w:r>
    </w:p>
    <w:p>
      <w:pPr>
        <w:spacing w:after="0" w:line="16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disputes all claims asserted against it in the Securities Litigation and disputes that the plaintiffs in the Consolidated Derivative Action and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have standing to assert claims derivatively on its behalf. The Company is currently unable to estimate the potential loss or range of loss, if any, associated with these lawsuits, which could be material. Although there can be no assurance of the outcome of these lawsuits, based on information known by management, the Company has not accrued any material liabilities related to these lawsuits in the consolidated financial statements, as a negative outcome is deemed not probable, nor is any range of loss estimable as of March 31, 2025. Since the outcome of these matters cannot be predicted with certainty, any associated costs could have a material adverse effect on the Company’s consolidated results of operations, financial position or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Fresenius Medical Care investments and distribution agreement</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June 2018, the Company completed a $150 million financing transaction pursuant to which Fresenius Medical Care purchased shares of series D redeemable convertible preferred stock that at the Closing Date converted into 15,812,735 shares of Common Stock. In August 2021, Fresenius Medical Care invested $25 million as part of a private placement offering related to the Merger (the “PIPE Financing”) and received an additional 2.5 million shares of Common Stock.</w:t>
      </w:r>
    </w:p>
    <w:p>
      <w:pPr>
        <w:spacing w:after="0" w:line="153"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Company’s 6 millimeter x 42 centimeter ATEV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(“CABG”),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3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6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148"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7"/>
          <w:szCs w:val="17"/>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right="20" w:firstLine="8"/>
        <w:spacing w:after="0" w:line="253" w:lineRule="auto"/>
        <w:tabs>
          <w:tab w:leader="none" w:pos="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6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there was an insignificant amount of royalties payable to Fresenius Medical Care based on the Company’s product revenue recognized during the three months ended March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Frenova Renal Research</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June 2024, the Company entered into a master services agreement with Frenova Renal Research (“Frenova”), a subsidiary of Fresenius Medical Care, that sets forth the terms by which the Company may engage Frenova to provide certain services for projects, with the services for each project being described in a separate statement of work. As of March 31, 2025, Frenova was engaged to perform clinical research services related to the Company’s V012 Phase 3 clinical trial. During the three months ended March 31, 2025, amounts expensed in relation to this agreement with Frenova were insignificant and there was an insignificant amount payable to Frenova as of both March 31, 2025 and December 31, 2024.</w:t>
      </w:r>
    </w:p>
    <w:p>
      <w:pPr>
        <w:spacing w:after="0" w:line="1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July 2024, the Company entered into a service agreement with Fresenius Medical Care Deutschland GmbH (“Fresenius GmbH”), which provides medical scientific research services through Frenova. Frenova agreed to conduct a study to review patient data of adult hemodialysis patients who received treatment in certain European countries at dialysis centers that are part of Fresenius Medical Care AG. Fresenius Medical Care AG is the German parent company of Fresenius GmbH and ultimately of Fresenius Medical Care. During the three months ended March 31, 2025, there was no expense recognized in relation to this agreement with Fresenius GmbH. As of March 31, 2025, there was $0.1 million payable to Fresenius GmbH included in accounts payable on the Company’s condensed consolidated balance sheets. As of December 31, 2024, there was less than $0.1 million payable to Fresenius GmbH included in accounts payable and less than $0.1 million payable to Fresenius GmbH included in accrued expenses on the Company’s condensed consolidated balance sheets.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Yale University</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Company’s President and Chief Executive Officer, Laura Niklason M.D., PhD., serves as an Adjunct Professor in Anesthesia at Yale University. As of March 31, 2025 and December 31, 2024, the Company was a party to license agreements with Yale University as described in Note 11 — Commitments and Contingencies above. Amounts expensed in relation to the license agreements with Yale University were insignificant during the three months ended March 31, 2025 and 2024. There was an insignificant amount payable to Yale as of December 31, 2024.</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April 28, 2025, the Company implemented a cost reduction action to reduce its workforce by approximately 31 employees, cease recruitment of additional planned new hires, and reduce other operating expenses. Employees impacted by this plan were notified on May 7, 2025. The Company is undertaking these cost reductions to improve its cash runway and to better align the Company’s organizational structure with its top business objectives. These objectives include the commercial launch of Symvess in the extremity vascular trauma indication, including sales, marketing and manufacturing; completion of the V012 Phase 3 trial of the ATEV in dialysis and the planned filing of a supplemental BLA with the FDA for the dialysis indication; and the filing of an Investigational New Drug (“IND”) application to commence a human study of the small-diameter ATEV in CABG. The Company estimates that it will incur aggregate charges representing one-time cash expenditure for severance and other employee termination benefits of approximately $0.8 million, of which the majority is expected to be incurred during the second quarter of 2025.</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spacing w:after="0" w:line="182"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in this Quarterly Report to the “Company,” “Humacyte,” “we,” “us,” “our” and similar terms refer to Humacyte, Inc. (formerly known as Alpha Healthcare Acquisition Corp.) and its consolidated subsidiary (Humacyte Global, Inc.) following the Merger (defined below); references to “Legacy Humacyte” refer to Humacyte, Inc. prior to the Merger; and references to “AHAC” refer to Alpha Healthcare Acquisition Corp. prior to the Merger.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commercial-stage biotechnology platform company developing universally implantable, bioengineered human tissues at commercial scale, and in the first quarter of 2025 commenced the United States commercial launch of our first FDA-approved product. 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48"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We are initially using our proprietary, scientific technology platform to engineer and manufacture ATEVs. On December 19, 2024, the FDA granted full approval for the ATEV under the brand name Symvess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use in adults as a vascular conduit for extremity arterial injury when urgent revascularization is needed to avoid imminent limb loss, and autologous vein graft is not feasible. Our ATEVs are designed to be easily implanted into any patient without inducing a foreign body response or leading to immune rejection. We are developing a portfolio, or “cabinet”, of ATEVs with varying diameters and lengths. The ATEV cabinet would initially target the vascular repair, reconstruction and replacement market, including use in vascular trauma; AV access for hemodialysis and PAD. We are also developing the ATEV for CABG and pediatric heart surgery. Over the longer term, we are developing our ATEV for the delivery of cellular therapies, including pancreatic islet cell transplantation to treat Type 1 diabetes (our BioVascular Pancreas or BVP). We will continue to explore the application of our technology across a broad range of markets and indications, including the development of urinary conduit, trachea, esophagus and other novel cell delivery systems.</w:t>
      </w:r>
    </w:p>
    <w:p>
      <w:pPr>
        <w:spacing w:after="0" w:line="15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For the ATEV,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wound contamination that contributes to higher infection risk that can lead to prolonged hospitalization and limb loss. Given the competitive advantages our ATEVs are designed to have over existing vascular substitutes, we believe that ATEVs have the potential to become the standard of care and lead to improved patient outcomes and lower healthcare costs.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In addition to extremity vascular trauma, we and our collaborators are currently conducting Phase 3 and Phase 2 trials of our 6 millimeter ATEV in AV access for hemodialysis and PAD. We were granted Fast Track designation by the FDA for our 6 millimeter ATEV for use in AV access for hemodialysis in 2014. We also received the first Regenerative Medicine Advanced Therapy (“RMAT”) designation from the FDA, for the creation of vascular access for performing hemodialysis, in March 2017. In May 2023, we were granted the RMAT designation for the ATEV for urgent arterial repair following extremity vascular trauma, and in June 2024, we were granted the RMAT designation for the ATEV for patients with advanced PAD. In addition, in 2018 our ATEV product candidate was assigned a priority designation by the Secretary of Defense under Public Law 115-92, enacted to expedite the FDA’s review of products that are intended to diagnose, treat or prevent serious or life-threatening conditions facing American military personnel.</w:t>
      </w:r>
    </w:p>
    <w:p>
      <w:pPr>
        <w:spacing w:after="0" w:line="13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2023, we announced positive topline results from our V005 Phase 2/3 trial in vascular trauma, and in December 2023, we filed a BLA for urgent arterial repair following extremity vascular trauma when synthetic graft is not indicated, and autologous vein use is not feasible. In February 2024, the FDA accepted the BLA filing and granted priority review and set a Prescription Drug User Fee Act date of August 10, 2024. On August 9, 2024, the FDA informed us that it required additional time to complete its review of the BLA for the vascular trauma indication. On December 19, 2024, the FDA granted full approval for Symvess (acellular tissue engineered vessel-tyod) for use in adults as a vascular conduit for extremity arterial injury when urgent revascularization is needed to avoid imminent limb loss, and autologous vein graft is not feasible. In February 2025, the FDA completed its required review of commercial batch information for Symvess and authorized us to commence commercial shipments and we shipped our first commercial products in March 2025.</w:t>
      </w:r>
    </w:p>
    <w:p>
      <w:pPr>
        <w:spacing w:after="0" w:line="16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April 2023, we announced completion of enrollment of our V007 Phase 3 trial of the ATEV for use in AV access for hemodialysis. In July 2024, we announced positive topline results from our V007 Phase 3 trial, where the ATEV met the primary endpoints in the study. Dependent upon interim results from our ongoing V012 Phase 3 trial in women, we plan to submit a supplemental BLA for the ATEV to the FDA for an indication in AV access for hemodialysis in the second half of 2026.</w:t>
      </w:r>
    </w:p>
    <w:p>
      <w:pPr>
        <w:spacing w:after="0" w:line="13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We have incurred operating losses and negative cash flows from operations in each year since our inception in 2004. As of March 31, 2025 and December 31, 2024, we had an accumulated deficit of $646.9 million and $686.0 million, respectively, and working capital of $53.7 million and $27.9 million, respectively. Our operating losses were approximately $23.2 million and $26.6 million for the three months ended March 31, 2025 and 2024, respectively.</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cash flows used in operating activities were $28.6 million and $27.3 million during the three months ended March 31, 2025 and 2024, respectively. Substantially all of our operating losses resulted from costs incurred in connection with our research and development programs and from selling, general and administrative costs associated with our operations. We expect to incur substantial operating losses and negative cash flows from operations for the foreseeable future as we begin to commercialize Symvess and advance our product candidates.</w:t>
      </w:r>
    </w:p>
    <w:p>
      <w:pPr>
        <w:spacing w:after="0" w:line="15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we had cash and cash equivalents of $62.8 million and restricted cash of $50.4 million. We believe our cash and cash equivalents on hand and existing capacity under our Common Stock Purchase Agreement will be sufficient to fund operations for at least 12 months from the date of this Quarterly Report. See Note 1 — Organization and Description of Business in the notes to our unaudited condensed consolidated financial statements included elsewhere in this Quarterly Report for additional information regarding this assessment.</w:t>
      </w:r>
    </w:p>
    <w:p>
      <w:pPr>
        <w:spacing w:after="0" w:line="13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Our need for additional capital will depend in part on the scope and costs of our development and commercial manufacturing activities, and the results of our commercial sales efforts. We recently received FDA approval to commercialize Symvess and have only recently generated revenue from the sale of commercialized products. Our ability to generate product revenue will depend on the successful development and commercialization of Symvess and our product candidates. Until such time, if ever, we expect to finance our operations through the use of existing cash and cash equivalents, the sale of equity, debt, financings, debt refinancings or restructurings or through potential collaborations with other companies,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2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commercialize Symvess via U.S. market launch for indications in vascular trauma and, if approved, in AV access for hemodialysis;</w:t>
      </w:r>
    </w:p>
    <w:p>
      <w:pPr>
        <w:spacing w:after="0" w:line="198" w:lineRule="exact"/>
        <w:rPr>
          <w:rFonts w:ascii="Times New Roman" w:cs="Times New Roman" w:eastAsia="Times New Roman" w:hAnsi="Times New Roman"/>
          <w:sz w:val="18"/>
          <w:szCs w:val="18"/>
          <w:color w:val="231F20"/>
        </w:rPr>
      </w:pPr>
    </w:p>
    <w:p>
      <w:pPr>
        <w:ind w:left="660" w:right="7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 marketing approval for our 6 millimeter ATEV in additional indications involving vascular repair, reconstruction and replacement, including in AV access for hemodialysis;</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scale out our manufacturing facility to the extent required to satisfy potential market demand for Symvess in the U.S. and our product candidates, following receipt of any regulatory approval;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our preclinical and clinical development efforts;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w:t>
      </w:r>
    </w:p>
    <w:p>
      <w:pPr>
        <w:spacing w:after="0" w:line="117" w:lineRule="exact"/>
        <w:rPr>
          <w:rFonts w:ascii="Times New Roman" w:cs="Times New Roman" w:eastAsia="Times New Roman" w:hAnsi="Times New Roman"/>
          <w:sz w:val="18"/>
          <w:szCs w:val="18"/>
          <w:color w:val="231F20"/>
        </w:rPr>
      </w:pPr>
    </w:p>
    <w:p>
      <w:pPr>
        <w:ind w:left="660" w:right="480" w:hanging="328"/>
        <w:spacing w:after="0" w:line="282"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financial and management information systems and personnel to support, among other things, our product development and commercialization efforts and operations; and</w:t>
      </w:r>
    </w:p>
    <w:p>
      <w:pPr>
        <w:spacing w:after="0" w:line="53" w:lineRule="exact"/>
        <w:rPr>
          <w:rFonts w:ascii="Times New Roman" w:cs="Times New Roman" w:eastAsia="Times New Roman" w:hAnsi="Times New Roman"/>
          <w:sz w:val="18"/>
          <w:szCs w:val="18"/>
          <w:color w:val="231F20"/>
        </w:rPr>
      </w:pPr>
    </w:p>
    <w:p>
      <w:pPr>
        <w:ind w:left="660" w:right="320" w:hanging="328"/>
        <w:spacing w:after="0" w:line="266"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Nasdaq.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March 25, 2025, we entered into an underwriting agreement with TD Securities (USA) LLC, Barclays Capital Inc. and BTIG, LLC, as representatives of the several underwriters named therein, relating to the issuance and sale of 25,000,000 shares of Common Stock in the 2025 Public Offering, at a price to the public of $2.00 per share. The net proceeds to us from the 2025 Public Offering were approximately $46.6 million after deducting underwriting discounts and commissions and estimated Public Offering expenses. The 2025 Public Offering closed on March 27, 2025.</w:t>
      </w:r>
    </w:p>
    <w:p>
      <w:pPr>
        <w:spacing w:after="0" w:line="15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further disclosed in Note 13 </w:t>
      </w:r>
      <w:r>
        <w:rPr>
          <w:rFonts w:ascii="Times New Roman" w:cs="Times New Roman" w:eastAsia="Times New Roman" w:hAnsi="Times New Roman"/>
          <w:sz w:val="18"/>
          <w:szCs w:val="18"/>
          <w:color w:val="231F20"/>
        </w:rPr>
        <w:t>— Subsequent Events to our unaudited condensed consolidated financial statements contained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Quarterly Report</w:t>
      </w:r>
      <w:r>
        <w:rPr>
          <w:rFonts w:ascii="Times New Roman" w:cs="Times New Roman" w:eastAsia="Times New Roman" w:hAnsi="Times New Roman"/>
          <w:sz w:val="18"/>
          <w:szCs w:val="18"/>
          <w:color w:val="000000"/>
        </w:rPr>
        <w:t>, on April 28, 2025, we implemented a cost reduction action to reduce our workforce by approximately 31 employees, cease recruitment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 additional planned new hires, and reduce other operating expenses. Employees impacted by this plan were notified on May 7, 2025. We are undertaking these cost reductions to improve cash runway and to better align the Company’s organizational structure with its top business objectives. Humacyte estimates that it will incur savings due to the workforce and other operating cost reductions, and reduced capital expenditures, net of termination severance and benefits, totaling approximately $13.8 million in 2025 and up to approximately $38.0 million in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generate product revenue from commercial sales of Symvess in the United States. Contract revenue consists of revenue related to a single contract with a customer to recover contract expenses. Contract revenue associated with each performance obligation in the contract is recognized as the research and development services are provided according to the actual costs incurred compared to the total costs expected to be incurred to satisfy the performance obligation.</w:t>
      </w:r>
    </w:p>
    <w:p>
      <w:pPr>
        <w:spacing w:after="0" w:line="13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Prior to our recent commercialization, all of our revenue was derived from government and other grants. From inception through March 31, 2025, we have been awarded grants, including grants from the California Institute of Regenerative Medicine (“CIRM”), the National Institutes of Health (“NIH”), and the Department of Defense, to support our development, production scaling and clinical trials of our product candidates.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generate revenue in the future from government and other grants, payments from future license or collaboration agreements and from product sales of any of our product candidates that receive marketing approval.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inventory for which the production costs were recorded as an expense in 2024 prior to FDA approval. This inventory is expected to last us approximately the next six months depending upon actual levels of sales, and we expect cost of goods sold to normalize after utilization of this inventory. If market acceptance of Symvess does not occur at all or on a timely basis prior to the inventory shelf-life expiration, we may be required to write-off some or all inventory, which could affect our financial requirements and financial results. Cost of goods sold includes overhead related to unused production capacity, which was recorded as an expense in the 2025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developing and refining our manufacturing process and activities related to regulatory filings for our product candidates. We recognize research and development expenses as they are incurred. Our research and development expenses consist primarily of:</w:t>
      </w:r>
    </w:p>
    <w:p>
      <w:pPr>
        <w:spacing w:after="0" w:line="13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overhead expenses for personnel in research and development functions, including stock-based compensation and benefits;</w:t>
      </w:r>
    </w:p>
    <w:p>
      <w:pPr>
        <w:spacing w:after="0" w:line="19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and consultants, including in connection with our clinical trials, and other related clinical trial fees, such as for clinical site fees and investigator grants related to patient screening and treatment, conduct of clinical trials, laboratory work and statistical compilation and analysis;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facility lease and maintenance costs;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leasehold improvements, laboratory equipment and computers;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purchasing raw materials and producing our product candidates for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manufacturing development and expanded-capabilities initiatives;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related to in-licensed technologies.</w:t>
      </w:r>
    </w:p>
    <w:p>
      <w:pPr>
        <w:spacing w:after="0" w:line="18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majority of our research and development resources are currently focused on our Phase 2 and 3 clinical trials for our 6 millimeter ATEV and other work needed to obtain marketing approval for our 6 millimeter ATEV for use in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w:t>
      </w:r>
    </w:p>
    <w:p>
      <w:pPr>
        <w:spacing w:after="0" w:line="13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Direct expenses for our vascular trauma, AV access for hemodialysis and PAD indications include costs related to our clinical trials, including fees paid to CROs, consultants, clinical sites and investigators. Costs related to development activities which broadly support multiple programs using our technology platform, including personnel, materials and supplies, external services costs, and other internal expenses, such as facilities and overhead costs, are not allocated to individual research and development programs. Other research and development expenses include direct costs not identifiable with a specific product candidate, including costs associated with our research and development platform used across programs, process development, manufacturing analytics and preclinical research and development for prospective product candidates and new technologies.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39" w:lineRule="exact"/>
        <w:rPr>
          <w:sz w:val="20"/>
          <w:szCs w:val="20"/>
          <w:color w:val="auto"/>
        </w:rPr>
      </w:pPr>
    </w:p>
    <w:p>
      <w:pPr>
        <w:ind w:left="660" w:right="3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preclinical development activities, our ongoing clinical trials and any additional clinical trials that we may conduct, and other research and development activities;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FDA and non-U.S. regulators;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9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refinement of clinical and commercial manufacturing capabilities or making arrangements with third-party manufacturers in order to ensure that it or its third-party manufacturers are able to successfully manufacture our product;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Symvess and our product candidates, if approved, whether alone or in collaboration with others;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Symvess and any product candidates that obtain marketing approval; and</w:t>
      </w:r>
    </w:p>
    <w:p>
      <w:pPr>
        <w:spacing w:after="0" w:line="18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approval of Symvess in the vascular trauma indication and in any other indications for which approval may be granted, or for any of our product candidates, if approved.</w:t>
      </w:r>
    </w:p>
    <w:p>
      <w:pPr>
        <w:spacing w:after="0" w:line="13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5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expenses will continue to increase for the foreseeable future to support our expanded infrastructure and increased costs of operating as a public company and as we commercialize Symvess in the United States and seek marketing approval for Symvess outside of the United States.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the Purchase Agreement (defined above) and finance leases, and (iv) the change in fair value of our derivative liabilities and asset including the private placement Common Stock warrant liabilities related to the Private Placement Warrants, which we assumed in connection with the Merger; Common Stock warrant liabilities related to our Registered Direct Offerings; the contingent derivative liability related to the Purchase Agreement; a liability related to a freestanding option agreement related to the Purchase Agreement; a derivative liability related to our agreement with JDRF; and a derivative asset related to our Common Stock Purchase Agreement, all of which are subject to remeasurement to fair value at each balance sheet date resulting in a non-cash gain or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2025 and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71,035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340" w:right="9660" w:hanging="8"/>
        <w:spacing w:after="0" w:line="481" w:lineRule="auto"/>
        <w:tabs>
          <w:tab w:leader="none" w:pos="475"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Not meaningful Revenue</w:t>
      </w:r>
    </w:p>
    <w:p>
      <w:pPr>
        <w:spacing w:after="0" w:line="1"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There was $0.5 million in total revenue for the three months ended March 31, 2025, compared to no revenue for the three months ended March 31, 2024. Revenue for the three months ended March 31, 2025 consisted of $0.1 million of product revenue from sales of Symvess in the United States and $0.4 million of revenue earned related to research and development services pursuant to a research contract with a large medical technology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was $0.1 million for the three months ended March 31, 2025 and includes overhead related to unused production capacity which was recorded as an expense in the period. There was no cost of goods sold for the three months ended March 31, 2024.</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c>
          <w:tcPr>
            <w:tcW w:w="16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Vascular Trauma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 Access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PAD</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External services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21,264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(5,846)</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$15.4 million for the three months ended March 31, 2025, representing a decrease of $5.8 million, or 27%, from $21.3 million for the three months ended March 31, 2024. The decrease was primarily driven by a $5.5 million decrease in the purchase of materials and supplies expense, primarily related to the capitalization of expenditures for inventory during the three months ended March 31, 2025 due to the commencement of commercial manufacturing to support the market launch of Symvess.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$8.1 million and $5.3 million for the three months ended March 31, 2025 and 2024, respectively. The increase in selling, general and administrative expenses during this period of $2.8 million, or 53%, was primarily driven by the commercial launch of Symvess. Significant increases in expenses included a $2.2 million increase in payroll and personnel expenses and a $0.3 million increase in professional fees.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0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Total other income, net was $62.3 million for the three months ended March 31, 2025 compared to net expense of $5.3 million for the three months ended March 31, 2024. The increase in net income of $67.6 million during the three months ended March 31, 2025 compared to the three months ended March 31, 2024 primarily resulted from a $54.3 million increase in the non-cash income resulting from the remeasurement of the Contingent Earnout Liability during each period and a $14.9 million increase in non-cash income resulting from the remeasurement of our derivative liabilities and asset during each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0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historically financed our operations primarily through the sale of equity securities and convertible debt, including pursuant to the 2024 Public Offering, 2025 Public Offering, October 2024 Registered Direct Offering, November Registered Direct Offering, proceeds from the Merger and related PIPE Financing, borrowings under loan facilities, the Purchase Agreement, and, to a lesser extent, through grants from governmental and other agencies. Since our inception, we have incurred significant operating losses and negative cash flows. As of March 31, 2025 and December 31, 2024, we had an accumulated deficit of $646.9 million and $686.0 million, respectively.</w:t>
      </w:r>
    </w:p>
    <w:p>
      <w:pPr>
        <w:spacing w:after="0" w:line="14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we had working capital of $53.7 million and $27.9 million, respectively. As of March 31, 2025 and December 31, 2024, we had cash and cash equivalents of $62.8 million and $44.9 million, respectively, and restricted cash of $50.4 million. We funded the restricted cash account on August 14, 2024, in accordance with our amended Purchase Agreement, of which $50.0 million is not subject to our unilateral control.</w:t>
      </w:r>
    </w:p>
    <w:p>
      <w:pPr>
        <w:spacing w:after="0" w:line="13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we had $47.5 million in remaining availability for sales of Common Stock under our Common Stock Purchase Agreement with Lincoln Park and $72.6 million in remaining availability for sales of Common Stock under our ATM Facility.</w:t>
      </w:r>
    </w:p>
    <w:p>
      <w:pPr>
        <w:spacing w:after="0" w:line="13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further disclosed in Note 13, on April 28, 2025, we implemented a cost reduction action to reduce our workforce by approximately 31 employees, cease recruitment of additional planned new hires, and reduce other operating expenses. We are undertaking these cost reductions to improve cash runway and to better align the Company’s organizational structure with its top business objectives. Before consideration of management plans if we are unable to raise sufficient capital to fund our operations as described below, we believe our cash and cash equivalents on hand and existing capacity under our Common Stock Purchase Agreement will be sufficient to fund operations at least into June 2026. The future viability of the Company beyond that point is dependent on our ability to generate cash flows from the sale of Symvess and raise additional capital to finance our operations. See Note 1 — Organization and Description of Business to our accompanying unaudited condensed consolidated financial statements included elsewhere in this Quarterly Report for additional information regarding our assessment. We believe that our longer-term working capital, planned research and development, capital expenditures and other general corporate funding requirements may be satisfied through the sale of equity, debt, financings, debt refinancings or restructurings or through potential collaborations with other companies, other strategic transactions or government or other grants. Our liquidity plans are subject to a number of risks and uncertainties, including those described in the sections entitled “Forward-Looking Statements” and “Risk Factors” in this Quarterly Report and our Annual Report. </w:t>
      </w:r>
      <w:r>
        <w:rPr>
          <w:rFonts w:ascii="Times New Roman" w:cs="Times New Roman" w:eastAsia="Times New Roman" w:hAnsi="Times New Roman"/>
          <w:sz w:val="18"/>
          <w:szCs w:val="18"/>
          <w:color w:val="231F20"/>
        </w:rPr>
        <w:t>If we are unable to raise sufficient capital, we plan to implement a program that delays, reduces, suspends or ceases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 our planned capital expenditures, research and development programs or any future commercialization efforts, which would have a negative impact on our business, prospects, operating results and financial condition. Based on our current cash and cash equivalents on hand and existing capacity under our Common Stock Purchase Agreement, and after considering management’s plans, we believe we have the ability to fund operations at least into the second half of 2026.</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May 12, 2023, we entered into the Purchase Agreement with the Purchasers and another affiliate of Oberland Capital Management LLC, as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Purchasers, to obtain financing in respect to the further development and commercialization of our ATEV, to repay our then outstanding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with SVB, and for other general corporate purposes. Pursuant to the Purchase Agreement and subject to customary closing conditions,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have purchased certain revenue interests from us in exchange for an aggregate investment amount of up to $150.0 million. Under the terms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Agreement, $40.0 million of the Investment Amount, less certain transaction expenses, was funded on May 12, 2023, which was used to repay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full and retire our indebtedness under the our loan agreement with SVB, with the remaining proceeds funded to the Company. On March 11,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of the Investment Amount was funded to the Company. On December 19, 2024, the FDA granted full approval for our BLA for the vascular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trauma indication, and we did not elect to draw the additional $40.0 million that became available under the Purchase Agreement. As of and subsequent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 are not entitled to draw on any further installments under the Purchase Agreement. See Note 7 — Revenue Interest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to the condensed consolidated financial statements for additional details about this financing transaction.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February 18, 2024, we agreed with the Purchasers and the Agent, to waive certain breaches related to, and extend the deadline for certain post-closing obligations under, the Purchase Agreement, including the requirement for us to deliver a leasehold mortgage in favor of the Agent over our headquarters. On May 8, 2024, we reached an agreement with the Purchasers to amend the Purchase Agreement to remove requirements related to the leasehold mortgage. In exchange for the removal of this requirement, on August 14, 2024 we funded an account in the amount of $54.0 million, over which the Agent has certain consent and other rights to $50.0 million of the funds. See Note 7 for further information.</w:t>
      </w:r>
    </w:p>
    <w:p>
      <w:pPr>
        <w:spacing w:after="0" w:line="14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February 29, 2024, we entered into an underwriting agreement in connection with the 2024 Public Offering. The net proceeds to us from the 2024 Public Offering were approximately $43.0 million, after deducting underwriting discounts and commissions and offering expenses. The 2024 Public Offering closed on March 5, 2024.</w:t>
      </w:r>
    </w:p>
    <w:p>
      <w:pPr>
        <w:spacing w:after="0" w:line="14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On September 24, 2024, we entered into the Common Stock Purchase Agreement with Lincoln Park for an equity line financing, which provides that, subject to the terms and conditions set forth in the Common Stock Purchase Agreement, we have the sole right, but not the obligation, to sell to Lincoln Park shares of Common Stock having an aggregate value of up to $50.0 million over a 24-month period. We control the timing and amount of any sales to Lincoln Park. As of March 31, 2025, we had completed sales of shares under the Common Stock Purchase Agreement that provided $2.5 million in gross proceeds, and as of March 31, 2025 we had $47.5 million in remaining availability for sales of our Common Stock under our Common Stock Purchase Agreement with Lincoln Park.</w:t>
      </w:r>
    </w:p>
    <w:p>
      <w:pPr>
        <w:spacing w:after="0" w:line="14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October 4, 2024, we entered into a securities purchase agreement with an institutional investor pursuant to which the investor purchased approximately $30.0 million worth of Common Stock and warrants in the October 2024 Registered Direct Offering. The net proceeds to us from the October 2024 Registered Direct Offering were approximately $28.0 million, after deducting placement agent’s fees and offering expenses of approximately $2.0 million. The October 2024 Registered Direct Offering closed on October 7, 2024.</w:t>
      </w:r>
    </w:p>
    <w:p>
      <w:pPr>
        <w:spacing w:after="0" w:line="139"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On November 13, 2024, we entered into a securities purchase agreement with an institutional investor pursuant to which the investor purchased approximately $15.0 million worth of Common Stock and warrants in the November 2024 Registered Direct Offering. The net proceeds to us from the November 2024 Registered Direct Offering were approximately $14.9 million after deducting offering expenses of approximately $0.1 million. The November 2024 Registered Direct Offering closed on November 15, 2024.</w:t>
      </w:r>
    </w:p>
    <w:p>
      <w:pPr>
        <w:spacing w:after="0" w:line="153"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On March 25, 2025, we entered into an underwriting agreement in connection with the 2025 Public Offering. The net proceeds to us from the 2025 Public Offering were approximately $46.7 million, after deducting underwriting discounts and commissions and offering expenses. The 2025 Public Offering closed on March 27,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Facility</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 2022, we entered into an agreement for the sale from time to time up to $80.0 million of shares of Common Stock pursuant to the ATM Facility. As of March 31, 2025, we have sold an aggregate of 1,409,389 shares of Common Stock under the ATM Facility at an average price of $5.25 per share for net proceeds of approximately $7.2 million after deducting sales commissions of approximately $0.2 million. As of March 31, 2025, we had remaining availability for sales of Common Stock under the ATM Facility of $72.6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0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known material cash requirements include: (1) the purchase of supplies and services that are primarily for research and development; (2) repayments pursuant to the Purchase Agreement; (3) employee wages, benefits, and incentives; (4) financing and operating lease payments (for additional information see below), and (5) payments under our JDRF Agreement (see Note 11 — Commitments and Contingencies </w:t>
      </w:r>
      <w:r>
        <w:rPr>
          <w:rFonts w:ascii="Times New Roman" w:cs="Times New Roman" w:eastAsia="Times New Roman" w:hAnsi="Times New Roman"/>
          <w:sz w:val="18"/>
          <w:szCs w:val="18"/>
          <w:color w:val="231F20"/>
        </w:rPr>
        <w:t>to our unaudited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consolidated financial statements contained elsewhere in this Quarterly Report)</w:t>
      </w:r>
      <w:r>
        <w:rPr>
          <w:rFonts w:ascii="Times New Roman" w:cs="Times New Roman" w:eastAsia="Times New Roman" w:hAnsi="Times New Roman"/>
          <w:sz w:val="18"/>
          <w:szCs w:val="18"/>
          <w:color w:val="000000"/>
        </w:rPr>
        <w:t>. We have also entered into contracts with CROs primarily for clinical trials.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March 31, 2025, we had non-cancellable purchase com</w:t>
      </w:r>
      <w:r>
        <w:rPr>
          <w:rFonts w:ascii="Times New Roman" w:cs="Times New Roman" w:eastAsia="Times New Roman" w:hAnsi="Times New Roman"/>
          <w:sz w:val="18"/>
          <w:szCs w:val="18"/>
          <w:color w:val="231F20"/>
        </w:rPr>
        <w:t>mitments of $32.7 million for supplies and services that are primarily for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development. We have existing license agreements with Duke University and 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March 31, 2025. For additional information regarding our agreement with Fresenius Medical Care, see Note 12 — Related Party Transactions to our unaudited condensed consolidated financial statements contained elsewhere in this Quarterly Report. For additional information regarding our agreements with Duke University, Yale University and JDRF, see Note 11 — Commitments and Contingencies to our unaudited condensed consolidated financial statements contained elsewhere in this Quarterly Report.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Interest Purchase Agreement</w:t>
      </w:r>
    </w:p>
    <w:p>
      <w:pPr>
        <w:spacing w:after="0" w:line="20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On </w:t>
      </w:r>
      <w:r>
        <w:rPr>
          <w:rFonts w:ascii="Times New Roman" w:cs="Times New Roman" w:eastAsia="Times New Roman" w:hAnsi="Times New Roman"/>
          <w:sz w:val="18"/>
          <w:szCs w:val="18"/>
          <w:color w:val="000000"/>
        </w:rPr>
        <w:t>May 12, 2023, we entered into the Purchase Agreement and repaid in full all of the then-existing obligations under our loan agreement with SVB.</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Under the Purchase Agreement, as of March 31, 2025, we had </w:t>
      </w:r>
      <w:r>
        <w:rPr>
          <w:rFonts w:ascii="Times New Roman" w:cs="Times New Roman" w:eastAsia="Times New Roman" w:hAnsi="Times New Roman"/>
          <w:sz w:val="18"/>
          <w:szCs w:val="18"/>
          <w:color w:val="231F20"/>
        </w:rPr>
        <w:t>$66.4 million</w:t>
      </w:r>
      <w:r>
        <w:rPr>
          <w:rFonts w:ascii="Times New Roman" w:cs="Times New Roman" w:eastAsia="Times New Roman" w:hAnsi="Times New Roman"/>
          <w:sz w:val="18"/>
          <w:szCs w:val="18"/>
          <w:color w:val="000000"/>
        </w:rPr>
        <w:t xml:space="preserve"> recorded as a revenue interest liability on our condensed consolidated financial statements. For additional information regarding repayment, see Note 7 — Revenue Interest Purchase Agreement to our unaudited condensed consolidated financial statements contained elsewhere in this Quarterly Report.</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Leases</w:t>
      </w:r>
    </w:p>
    <w:p>
      <w:pPr>
        <w:spacing w:after="0" w:line="187" w:lineRule="exact"/>
        <w:rPr>
          <w:sz w:val="20"/>
          <w:szCs w:val="20"/>
          <w:color w:val="auto"/>
        </w:rPr>
      </w:pPr>
    </w:p>
    <w:p>
      <w:pPr>
        <w:jc w:val="both"/>
        <w:ind w:right="720" w:firstLine="324"/>
        <w:spacing w:after="0" w:line="266" w:lineRule="auto"/>
        <w:rPr>
          <w:sz w:val="20"/>
          <w:szCs w:val="20"/>
          <w:color w:val="auto"/>
        </w:rPr>
      </w:pPr>
      <w:r>
        <w:rPr>
          <w:rFonts w:ascii="Times New Roman" w:cs="Times New Roman" w:eastAsia="Times New Roman" w:hAnsi="Times New Roman"/>
          <w:sz w:val="18"/>
          <w:szCs w:val="18"/>
          <w:color w:val="231F20"/>
        </w:rPr>
        <w:t>Our finance leases relate to our headquarters facility containing our manufacturing, research and development and general and administrative functions, which was substantially completed in June 2018 and is being leased through May 2033, and our operating lease relates to the land lease associated with our headquarters. Our future contractual obligations under our lease agreements as of March 31, 2025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0" w:type="dxa"/>
            <w:vAlign w:val="bottom"/>
          </w:tcPr>
          <w:p>
            <w:pPr>
              <w:spacing w:after="0"/>
              <w:rPr>
                <w:sz w:val="1"/>
                <w:szCs w:val="1"/>
                <w:color w:val="auto"/>
              </w:rPr>
            </w:pPr>
          </w:p>
        </w:tc>
      </w:tr>
      <w:tr>
        <w:trPr>
          <w:trHeight w:val="234"/>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20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expect to incur significant expenses in connection with our ongoing activities as we seek to (i) commercialize Symvess and seek marketing approval for Symvess in additional indications and for our product candidates in the United States and to obtain marketing approval for our 6 millimeter ATEV outside of the United States, (ii</w:t>
      </w:r>
      <w:r>
        <w:rPr>
          <w:rFonts w:ascii="Times New Roman" w:cs="Times New Roman" w:eastAsia="Times New Roman" w:hAnsi="Times New Roman"/>
          <w:sz w:val="18"/>
          <w:szCs w:val="18"/>
          <w:color w:val="231F20"/>
        </w:rPr>
        <w:t>) continue clinical development of our 6 millimeter ATEV for use in hemodialysis AV access and submit a BLA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FDA approval of an indication in AV access for hemodialysis, (iii) advance our pipeline in major markets, including PAD Phase 3 trials and continue preclinical development and advance to planned clinical studies in CABG and BVP for diabetes, and (iv) scale out our manufacturing facility as required to satisfy market demand. We will need additional funding in connection with these activities.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funding requirements, both short-term and long-term, will depend on many factors, including:</w:t>
      </w:r>
    </w:p>
    <w:p>
      <w:pPr>
        <w:spacing w:after="0" w:line="185" w:lineRule="exact"/>
        <w:rPr>
          <w:sz w:val="20"/>
          <w:szCs w:val="20"/>
          <w:color w:val="auto"/>
        </w:rPr>
      </w:pPr>
    </w:p>
    <w:p>
      <w:pPr>
        <w:ind w:left="660" w:right="34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Symvess in the United States, and any other product candidate for which we receive marketing approval in the future;</w:t>
      </w:r>
    </w:p>
    <w:p>
      <w:pPr>
        <w:spacing w:after="0" w:line="134"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that we receive from commercial sales of Symvess and any product candidates for which we receive marketing approval;</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84"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timing and outcome of regulatory review of our product candidates, particularly for marketing approval of Symvess outside of the United States and of our product candidates in the United States;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62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121" w:lineRule="exact"/>
        <w:rPr>
          <w:rFonts w:ascii="Times New Roman" w:cs="Times New Roman" w:eastAsia="Times New Roman" w:hAnsi="Times New Roman"/>
          <w:sz w:val="18"/>
          <w:szCs w:val="18"/>
          <w:color w:val="231F20"/>
        </w:rPr>
      </w:pPr>
    </w:p>
    <w:p>
      <w:pPr>
        <w:ind w:left="660" w:right="80" w:hanging="328"/>
        <w:spacing w:after="0" w:line="266"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1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Until such time, if ever, as we are able to successfully commercialize Symvess and to develop and commercialize our product candidates, we expect to continue financing our operations through the sale of equity, debt, financings, debt refinancings or restructurings or through potential collaborations with other companies, other strategic transactions or government or other grants. Adequate capital may not be available to us when needed or on acceptable terms.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plan to implement a program that delays, reduces, suspends or ceases our planned capital expenditures, research and development programs or any future commercialization efforts, which would have a negative impact on our business, prospects, operating results and financial condition.</w:t>
      </w:r>
    </w:p>
    <w:p>
      <w:pPr>
        <w:spacing w:after="0" w:line="1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that we receive from commercial sales.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of our Annual Report entitled “Risk Factors” for additional risks associated with our substantial capital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adjustments to reconcile net income (loss) to net cash used in operating activities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jc w:val="both"/>
        <w:ind w:left="180" w:right="140" w:hanging="172"/>
        <w:spacing w:after="0" w:line="242" w:lineRule="auto"/>
        <w:tabs>
          <w:tab w:leader="none" w:pos="199"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includes depreciation, amortization related to our leases, stock-based compensation expense, non-cash interest expense related to our revenue interest liability and our JDRF Award liability, and the changes in fair value of our Contingent Earnout Liability and our derivative liabilities and asset.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Operating Activities</w:t>
      </w:r>
    </w:p>
    <w:p>
      <w:pPr>
        <w:spacing w:after="0" w:line="200"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The increase in net cash used in operating activities from </w:t>
      </w:r>
      <w:r>
        <w:rPr>
          <w:rFonts w:ascii="Times New Roman" w:cs="Times New Roman" w:eastAsia="Times New Roman" w:hAnsi="Times New Roman"/>
          <w:sz w:val="18"/>
          <w:szCs w:val="18"/>
          <w:color w:val="000000"/>
        </w:rPr>
        <w:t>the three months ended March 31, 2024</w:t>
      </w:r>
      <w:r>
        <w:rPr>
          <w:rFonts w:ascii="Times New Roman" w:cs="Times New Roman" w:eastAsia="Times New Roman" w:hAnsi="Times New Roman"/>
          <w:sz w:val="18"/>
          <w:szCs w:val="18"/>
          <w:color w:val="231F20"/>
        </w:rPr>
        <w:t xml:space="preserve"> to </w:t>
      </w:r>
      <w:r>
        <w:rPr>
          <w:rFonts w:ascii="Times New Roman" w:cs="Times New Roman" w:eastAsia="Times New Roman" w:hAnsi="Times New Roman"/>
          <w:sz w:val="18"/>
          <w:szCs w:val="18"/>
          <w:color w:val="000000"/>
        </w:rPr>
        <w:t>the three months ended March 31, 2025 was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primarily due to increased spending on preclinical, clinical and commercial activities as well as payroll and personnel expenses, expansion of clinical development of the ATEV for use in AV access, and our commercial launch of Symvess.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Investing Activities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 xml:space="preserve">Net cash used in investing activities for </w:t>
      </w:r>
      <w:r>
        <w:rPr>
          <w:rFonts w:ascii="Times New Roman" w:cs="Times New Roman" w:eastAsia="Times New Roman" w:hAnsi="Times New Roman"/>
          <w:sz w:val="17"/>
          <w:szCs w:val="17"/>
          <w:color w:val="000000"/>
        </w:rPr>
        <w:t>the three months ended March 31, 2025 and March 31, 2024 consisted of purchases of property and equipment.</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Financing Activities</w:t>
      </w:r>
    </w:p>
    <w:p>
      <w:pPr>
        <w:spacing w:after="0" w:line="187"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consisted primarily of $47.0 million of net proceeds from our 2025 Public Offering. Net cash provided by financing activities for the three months ended March 31, 2024 consisted primarily of $43.4 million of net proceeds from our 2024 Public Offering and $20.0 million of proceeds from the Purchase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SEC rules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which have been prepared in accordance with accounting principles generally accepted in the United States of America.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2024 and 2023, included in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qualify as a smaller reporting company, as defined by Item 10 of Regulation S-K and, thus, are not required to provide the information required by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3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and 15d-15(f) under the Exchange Act)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18, 2024, James A. Cutshall filed a putative class action lawsuit, captioned </w:t>
      </w:r>
      <w:r>
        <w:rPr>
          <w:rFonts w:ascii="Times New Roman" w:cs="Times New Roman" w:eastAsia="Times New Roman" w:hAnsi="Times New Roman"/>
          <w:sz w:val="18"/>
          <w:szCs w:val="18"/>
          <w:i w:val="1"/>
          <w:iCs w:val="1"/>
          <w:color w:val="auto"/>
        </w:rPr>
        <w:t>Cutshall v. Humacyte, Inc., et al</w:t>
      </w:r>
      <w:r>
        <w:rPr>
          <w:rFonts w:ascii="Times New Roman" w:cs="Times New Roman" w:eastAsia="Times New Roman" w:hAnsi="Times New Roman"/>
          <w:sz w:val="18"/>
          <w:szCs w:val="18"/>
          <w:color w:val="auto"/>
        </w:rPr>
        <w:t>., No. 1:24-cv-00954 (the “Securities Litigation”), against the Company and certain of the Company’s officers in the United States District Court for the Middle District of North Carolina. The complaint in the Securities Litigation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Complaint seeks a variety of relief, including unspecified compensatory damages, attorneys fees and costs. On January 31, 2025, the court appointed co-lead plaintiffs. On April 2, 2025, the court entered a scheduling order directing the co-lead plaintiffs to file a consolidated amended complaint by May 22, 2025 and the defendants to answer or otherwise respond to the amended complaint by July 25, 2025.</w:t>
      </w:r>
    </w:p>
    <w:p>
      <w:pPr>
        <w:spacing w:after="0" w:line="15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7 and 10, 2025, putative stockholders of the Company filed two verified stockholder derivative actions in the United States District Court for the Middle District of North Carolina, captioned </w:t>
      </w:r>
      <w:r>
        <w:rPr>
          <w:rFonts w:ascii="Times New Roman" w:cs="Times New Roman" w:eastAsia="Times New Roman" w:hAnsi="Times New Roman"/>
          <w:sz w:val="18"/>
          <w:szCs w:val="18"/>
          <w:i w:val="1"/>
          <w:iCs w:val="1"/>
          <w:color w:val="auto"/>
        </w:rPr>
        <w:t>Silva v. Sebelius, et al</w:t>
      </w:r>
      <w:r>
        <w:rPr>
          <w:rFonts w:ascii="Times New Roman" w:cs="Times New Roman" w:eastAsia="Times New Roman" w:hAnsi="Times New Roman"/>
          <w:sz w:val="18"/>
          <w:szCs w:val="18"/>
          <w:color w:val="auto"/>
        </w:rPr>
        <w:t>., No. 1:25-cv-00005 (the “</w:t>
      </w:r>
      <w:r>
        <w:rPr>
          <w:rFonts w:ascii="Times New Roman" w:cs="Times New Roman" w:eastAsia="Times New Roman" w:hAnsi="Times New Roman"/>
          <w:sz w:val="18"/>
          <w:szCs w:val="18"/>
          <w:i w:val="1"/>
          <w:iCs w:val="1"/>
          <w:color w:val="auto"/>
        </w:rPr>
        <w:t>Silva</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Misko v. Niklason, et al</w:t>
      </w:r>
      <w:r>
        <w:rPr>
          <w:rFonts w:ascii="Times New Roman" w:cs="Times New Roman" w:eastAsia="Times New Roman" w:hAnsi="Times New Roman"/>
          <w:sz w:val="18"/>
          <w:szCs w:val="18"/>
          <w:color w:val="auto"/>
        </w:rPr>
        <w:t>., No. 1:25-cv-00028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Each of these derivative actions was brought on behalf of the Company against certain of its current or former directors and officers, as well as Ayabudge LLC. The complaints in each action assert claims for violations of Section 14(a) of the Exchange Act, breach of fiduciary duty, unjust enrichment, abuse of control, gross mismanagement, and waste of corporate assets, based on a variety of allegations including claims that the defendants are responsible for any damages sustained by the Company as a result of the Securities Litigation.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also includes a claim for contribution against certain defendants under Sections 10(b) and 21(d) of the Exchange Act for any liability the Company may sustain as a result of the Securities Litigation. On February 18, 2025, the court issued an order consolidating the </w:t>
      </w:r>
      <w:r>
        <w:rPr>
          <w:rFonts w:ascii="Times New Roman" w:cs="Times New Roman" w:eastAsia="Times New Roman" w:hAnsi="Times New Roman"/>
          <w:sz w:val="18"/>
          <w:szCs w:val="18"/>
          <w:i w:val="1"/>
          <w:iCs w:val="1"/>
          <w:color w:val="auto"/>
        </w:rPr>
        <w:t>Silva</w:t>
      </w:r>
      <w:r>
        <w:rPr>
          <w:rFonts w:ascii="Times New Roman" w:cs="Times New Roman" w:eastAsia="Times New Roman" w:hAnsi="Times New Roman"/>
          <w:sz w:val="18"/>
          <w:szCs w:val="18"/>
          <w:color w:val="auto"/>
        </w:rPr>
        <w:t xml:space="preserve"> Action and the </w:t>
      </w:r>
      <w:r>
        <w:rPr>
          <w:rFonts w:ascii="Times New Roman" w:cs="Times New Roman" w:eastAsia="Times New Roman" w:hAnsi="Times New Roman"/>
          <w:sz w:val="18"/>
          <w:szCs w:val="18"/>
          <w:i w:val="1"/>
          <w:iCs w:val="1"/>
          <w:color w:val="auto"/>
        </w:rPr>
        <w:t>Misko</w:t>
      </w:r>
      <w:r>
        <w:rPr>
          <w:rFonts w:ascii="Times New Roman" w:cs="Times New Roman" w:eastAsia="Times New Roman" w:hAnsi="Times New Roman"/>
          <w:sz w:val="18"/>
          <w:szCs w:val="18"/>
          <w:color w:val="auto"/>
        </w:rPr>
        <w:t xml:space="preserve"> Action (collectively, the “Consolidated Derivative Action”) and staying the defendants’ obligation to respond to any complaint in the Consolidated Derivative Action pending the submission of a proposed scheduling order. On March 11, 2025, the parties entered a joint motion to stay the Consolidated Derivative Action pending final resolution of the Securities Litigation. On March 24, 2025, the court granted the parties’ joint motion to stay the Consolidated Derivative Action.</w:t>
      </w:r>
    </w:p>
    <w:p>
      <w:pPr>
        <w:spacing w:after="0" w:line="16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December 19, 2024, the Company received a demand letter (the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Demand Letter and report back to the full Board. On February 19, 2025, the purported stockholder who sent the Demand Letter filed a stockholder derivative action in the United States District Court for the Middle District of North Carolina, captioned </w:t>
      </w:r>
      <w:r>
        <w:rPr>
          <w:rFonts w:ascii="Times New Roman" w:cs="Times New Roman" w:eastAsia="Times New Roman" w:hAnsi="Times New Roman"/>
          <w:sz w:val="18"/>
          <w:szCs w:val="18"/>
          <w:i w:val="1"/>
          <w:iCs w:val="1"/>
          <w:color w:val="auto"/>
        </w:rPr>
        <w:t>Olson v. Niklason, et al.</w:t>
      </w:r>
      <w:r>
        <w:rPr>
          <w:rFonts w:ascii="Times New Roman" w:cs="Times New Roman" w:eastAsia="Times New Roman" w:hAnsi="Times New Roman"/>
          <w:sz w:val="18"/>
          <w:szCs w:val="18"/>
          <w:color w:val="auto"/>
        </w:rPr>
        <w:t>, No. 1:25-cv-00123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alleging that the Company had refused his demand. The complaint in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asserts substantive claims and allegations that are substantially similar to those asserted in the Consolidated Derivative Action. On April 22, 2025, the parties filed a joint motion to stay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pending final resolution of the Securities Litigation. On April 24, 2025, the court granted the parties’ joint motion to stay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w:t>
      </w:r>
    </w:p>
    <w:p>
      <w:pPr>
        <w:spacing w:after="0" w:line="154"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disputes all claims asserted against it in the Securities Litigation and disputes that the plaintiffs in the Consolidated Derivative Action and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have standing to assert claims derivatively on its behalf. The Company is currently unable to estimate the potential loss or range of loss, if any, associated with these lawsuits, which could be material.</w:t>
      </w:r>
    </w:p>
    <w:p>
      <w:pPr>
        <w:spacing w:after="0" w:line="13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See the section “Legal Matters” contained in </w:t>
      </w:r>
      <w:r>
        <w:rPr>
          <w:rFonts w:ascii="Times New Roman" w:cs="Times New Roman" w:eastAsia="Times New Roman" w:hAnsi="Times New Roman"/>
          <w:sz w:val="18"/>
          <w:szCs w:val="18"/>
          <w:color w:val="000000"/>
        </w:rPr>
        <w:t>Note 11 — Commitments and Contingencies</w:t>
      </w:r>
      <w:r>
        <w:rPr>
          <w:rFonts w:ascii="Times New Roman" w:cs="Times New Roman" w:eastAsia="Times New Roman" w:hAnsi="Times New Roman"/>
          <w:sz w:val="18"/>
          <w:szCs w:val="18"/>
          <w:color w:val="231F20"/>
        </w:rPr>
        <w:t xml:space="preserve"> in the notes to our accompanying condensed consolidated financial statements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00" w:firstLine="324"/>
        <w:spacing w:after="0" w:line="282"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risk factors are disclosed in Part I, Item 1A of our Annual Report. There have been no material changes during the three months ended March 31, 2025 from, or updates to, the risk factors </w:t>
      </w:r>
      <w:r>
        <w:rPr>
          <w:rFonts w:ascii="Times New Roman" w:cs="Times New Roman" w:eastAsia="Times New Roman" w:hAnsi="Times New Roman"/>
          <w:sz w:val="18"/>
          <w:szCs w:val="18"/>
          <w:color w:val="000000"/>
        </w:rPr>
        <w:t>discussed in Part I, Item 1A,</w:t>
      </w:r>
      <w:r>
        <w:rPr>
          <w:rFonts w:ascii="Times New Roman" w:cs="Times New Roman" w:eastAsia="Times New Roman" w:hAnsi="Times New Roman"/>
          <w:sz w:val="18"/>
          <w:szCs w:val="18"/>
          <w:color w:val="231F20"/>
        </w:rPr>
        <w:t xml:space="preserve"> </w:t>
      </w:r>
      <w:hyperlink r:id="rId75">
        <w:r>
          <w:rPr>
            <w:rFonts w:ascii="Times New Roman" w:cs="Times New Roman" w:eastAsia="Times New Roman" w:hAnsi="Times New Roman"/>
            <w:sz w:val="18"/>
            <w:szCs w:val="18"/>
            <w:u w:val="single" w:color="auto"/>
            <w:color w:val="0E32E1"/>
          </w:rPr>
          <w:t>Risk Factors</w:t>
        </w:r>
        <w:r>
          <w:rPr>
            <w:rFonts w:ascii="Times New Roman" w:cs="Times New Roman" w:eastAsia="Times New Roman" w:hAnsi="Times New Roman"/>
            <w:sz w:val="18"/>
            <w:szCs w:val="18"/>
            <w:u w:val="single" w:color="auto"/>
            <w:color w:val="231F20"/>
          </w:rPr>
          <w:t xml:space="preserve"> </w:t>
        </w:r>
      </w:hyperlink>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Annual Report, except as follows: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successfully execute or achieve the expected benefits of cost-saving measures that we have taken or may take in the future, and our efforts may result in further actions or additional asset impairment charges and adversely affect our business.</w:t>
      </w:r>
    </w:p>
    <w:p>
      <w:pPr>
        <w:spacing w:after="0" w:line="11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April 28, 2025, we implemented a cost reduction action to reduce our workforce by approximately 31 employees, cease recruitment of additional planned new hires, and reduce other operating expenses. We are undertaking these cost reductions to improve our cash runway and to better align our organizational structure with our top business objectives. From time to time, we also take actions intended to address the short-term health of our business as well as our long-term objectives based on our current estimates, assumptions and forecasts. These measures are subject to known and unknown risks and uncertainties, including whether we have targeted the appropriate areas for our cost-saving efforts and at the appropriate scale, and whether, if required in the future, we will be able to appropriately target any additional areas for our cost-saving efforts. As such, the actions we are taking in connection with our current cost saving measures and that we may decide to take in the future may not be successful in yielding our intended results and may not appropriately address either or both of the short-term and long-term strategy for our business. Implementation of our current and any other cost-saving initiatives may be costly and disruptive to our business, the expected costs and charges may be greater than we have forecasted, and the estimated cost savings may be lower than we have forecasted. Certain aspects of the cost saving measures, such as severance costs in connection with reducing our headcount, could negatively impact our cash flows. In addition, our initiatives could result in personnel attrition beyond our planned reduction in headcount or reduced employee morale, which could in turn adversely impact productivity, including through a loss of continuity, loss of accumulated knowledge or inefficiency during transitional periods, or our ability to attract highly skilled employees. Unfavorable publicity about us or any of our strategic initiatives could result in reputation harm and could diminish confidence in, and the use of, our ATEVs.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Reorganization</w:t>
      </w:r>
    </w:p>
    <w:p>
      <w:pPr>
        <w:spacing w:after="0" w:line="200"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On April 28, 2025, the Company implemented a cost reduction action to reduce its workforce by approximately 31 employees, cease recruitment of additional planned new hires, and reduce other operating expenses. Employees impacted by this plan were notified on May 7, 2025. Humacyte is undertaking these cost reductions to improve its cash runway and to better align the Company’s organizational structure with its top business objectives. These objectives include the commercial launch of Symvess in the extremity vascular trauma indication, including sales, marketing and manufacturing; completion of the V012 Phase 3 trial of the ATEV in dialysis and the planned filing of a supplemental BLA with the FDA for the dialysis indication; and the filing of an IND to commence a human study of the small-diameter ATEV in CABG. The Company estimates that it will incur aggregate charges representing a one-time cash expenditure for severance and other employee termination benefits of approximately $0.8 million, of which the majority is expected to be incurred during the second quarter of 2025. Humacyte estimates that it will incur savings due to the workforce and other operating cost reductions, and reduced capital expenditures, net of termination severance and benefits, totaling approximately $13.8 million in 2025 and up to approximately $38.0 million in 2026. The Company does not believe these cost-saving measures will impair its ability to conduct any of its key business functions. However, the Company may not be able to realize all of the cost savings and benefits initially anticipated as a result of these actions, and costs may be greater than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Operating Officer Transition</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May 7, 2025, in connection with the planned reorganization described above, an agreement was reached with Dr. Heather Prichard under which she will cease to serve as Chief Operating Officer of Humacyte, effective June 7, 2025. Dr. Prichard is expected to receive severance and other benefits in accordance with the employment agreement, dated September 13, 2019, between her and Humacyte. The circumstances giving rise to Dr. Prichard’s departure do not involve any disagreement between Dr. Prichard and the Company or relate to any accounting matters, financial statements, financial disclosures or related disclosure controls and procedures.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20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(as defined in Rule 16a-1(f) under the Exchange Act) of the Company adopted or terminated any “Rule 10b5-1 trading arrangement” or any “non Rule 10b5-1 trading arrangement,” as each term is defined in Item 408(a) of Regulation 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40"/>
          </w:cols>
          <w:pgMar w:left="320" w:top="513" w:right="339" w:bottom="1440" w:gutter="0" w:footer="0" w:header="0"/>
        </w:sect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8572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28575</wp:posOffset>
            </wp:positionV>
            <wp:extent cx="62147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14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Rules 13a-14(a) and 15d-14(a) under the Securities Exchange Act of 1934, as adopted pursuant to Section 302 of the Sarbanes-Oxley Act of 2002.</w:t>
      </w:r>
    </w:p>
    <w:p>
      <w:pPr>
        <w:spacing w:after="0" w:line="55" w:lineRule="exact"/>
        <w:rPr>
          <w:sz w:val="20"/>
          <w:szCs w:val="20"/>
          <w:color w:val="auto"/>
        </w:rPr>
      </w:pPr>
    </w:p>
    <w:p>
      <w:pPr>
        <w:sectPr>
          <w:pgSz w:w="11900" w:h="16838" w:orient="portrait"/>
          <w:cols w:equalWidth="0" w:num="2">
            <w:col w:w="760" w:space="720"/>
            <w:col w:w="9760"/>
          </w:cols>
          <w:pgMar w:left="320" w:top="513"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38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82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760" w:type="dxa"/>
            <w:vAlign w:val="bottom"/>
            <w:tcBorders>
              <w:top w:val="single" w:sz="8" w:color="0000FF"/>
            </w:tcBorders>
            <w:gridSpan w:val="3"/>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Humacyte, Inc.’s Quarterly Report on Form 10-Q for the quarter ended March 31, 2025, formatted in</w:t>
            </w:r>
          </w:p>
        </w:tc>
      </w:tr>
      <w:tr>
        <w:trPr>
          <w:trHeight w:val="203"/>
        </w:trPr>
        <w:tc>
          <w:tcPr>
            <w:tcW w:w="1460" w:type="dxa"/>
            <w:vAlign w:val="bottom"/>
          </w:tcPr>
          <w:p>
            <w:pPr>
              <w:spacing w:after="0"/>
              <w:rPr>
                <w:sz w:val="17"/>
                <w:szCs w:val="17"/>
                <w:color w:val="auto"/>
              </w:rPr>
            </w:pPr>
          </w:p>
        </w:tc>
        <w:tc>
          <w:tcPr>
            <w:tcW w:w="974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Inline XBRL (Inline eXtensible Business Reporting Language): (i) Condensed Consolidated Balance Sheets (unaudited), (ii)</w:t>
            </w:r>
          </w:p>
        </w:tc>
      </w:tr>
      <w:tr>
        <w:trPr>
          <w:trHeight w:val="203"/>
        </w:trPr>
        <w:tc>
          <w:tcPr>
            <w:tcW w:w="1460" w:type="dxa"/>
            <w:vAlign w:val="bottom"/>
          </w:tcPr>
          <w:p>
            <w:pPr>
              <w:spacing w:after="0"/>
              <w:rPr>
                <w:sz w:val="17"/>
                <w:szCs w:val="17"/>
                <w:color w:val="auto"/>
              </w:rPr>
            </w:pPr>
          </w:p>
        </w:tc>
        <w:tc>
          <w:tcPr>
            <w:tcW w:w="974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(unaudited), (iii) Condensed Consolidated</w:t>
            </w:r>
          </w:p>
        </w:tc>
      </w:tr>
      <w:tr>
        <w:trPr>
          <w:trHeight w:val="216"/>
        </w:trPr>
        <w:tc>
          <w:tcPr>
            <w:tcW w:w="1460" w:type="dxa"/>
            <w:vAlign w:val="bottom"/>
          </w:tcPr>
          <w:p>
            <w:pPr>
              <w:spacing w:after="0"/>
              <w:rPr>
                <w:sz w:val="18"/>
                <w:szCs w:val="18"/>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Statements of Changes in Stockholders’ Equity (Deficit) (unaudited), (iv) Condensed Consolidated Statements of Cash Flows</w:t>
            </w:r>
          </w:p>
        </w:tc>
      </w:tr>
      <w:tr>
        <w:trPr>
          <w:trHeight w:val="234"/>
        </w:trPr>
        <w:tc>
          <w:tcPr>
            <w:tcW w:w="1460" w:type="dxa"/>
            <w:vAlign w:val="bottom"/>
          </w:tcPr>
          <w:p>
            <w:pPr>
              <w:spacing w:after="0"/>
              <w:rPr>
                <w:sz w:val="20"/>
                <w:szCs w:val="20"/>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(unaudited), (v) Notes to Condensed Consolidated Financial Statements (unaudited), and (vi) Cover Page.</w:t>
            </w:r>
          </w:p>
        </w:tc>
      </w:tr>
    </w:tbl>
    <w:p>
      <w:pPr>
        <w:spacing w:after="0" w:line="76" w:lineRule="exact"/>
        <w:rPr>
          <w:sz w:val="20"/>
          <w:szCs w:val="20"/>
          <w:color w:val="auto"/>
        </w:rPr>
      </w:pPr>
    </w:p>
    <w:p>
      <w:pPr>
        <w:ind w:left="1480" w:hanging="1454"/>
        <w:spacing w:after="0"/>
        <w:tabs>
          <w:tab w:leader="none" w:pos="14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98"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this 13th day of May, 2025.</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HUMACYTE, INC.</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19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Laura E. Niklason, M.D., Ph.D.</w:t>
            </w:r>
          </w:p>
        </w:tc>
      </w:tr>
      <w:tr>
        <w:trPr>
          <w:trHeight w:val="243"/>
        </w:trPr>
        <w:tc>
          <w:tcPr>
            <w:tcW w:w="28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Laura E. Niklason, M.D., Ph.D.</w:t>
            </w:r>
          </w:p>
        </w:tc>
      </w:tr>
      <w:tr>
        <w:trPr>
          <w:trHeight w:val="257"/>
        </w:trPr>
        <w:tc>
          <w:tcPr>
            <w:tcW w:w="28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25"/>
        </w:trPr>
        <w:tc>
          <w:tcPr>
            <w:tcW w:w="2860" w:type="dxa"/>
            <w:vAlign w:val="bottom"/>
          </w:tcPr>
          <w:p>
            <w:pPr>
              <w:spacing w:after="0"/>
              <w:rPr>
                <w:sz w:val="24"/>
                <w:szCs w:val="24"/>
                <w:color w:val="auto"/>
              </w:rPr>
            </w:pPr>
          </w:p>
        </w:tc>
        <w:tc>
          <w:tcPr>
            <w:tcW w:w="19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Dale A. Sander</w:t>
            </w:r>
          </w:p>
        </w:tc>
      </w:tr>
      <w:tr>
        <w:trPr>
          <w:trHeight w:val="243"/>
        </w:trPr>
        <w:tc>
          <w:tcPr>
            <w:tcW w:w="28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Dale A. Sander</w:t>
            </w:r>
          </w:p>
        </w:tc>
      </w:tr>
      <w:tr>
        <w:trPr>
          <w:trHeight w:val="257"/>
        </w:trPr>
        <w:tc>
          <w:tcPr>
            <w:tcW w:w="28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 Treasurer</w:t>
            </w:r>
          </w:p>
        </w:tc>
      </w:tr>
      <w:tr>
        <w:trPr>
          <w:trHeight w:val="904"/>
        </w:trPr>
        <w:tc>
          <w:tcPr>
            <w:tcW w:w="2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59</w:t>
            </w:r>
          </w:p>
        </w:tc>
      </w:tr>
    </w:tbl>
    <w:p>
      <w:pPr>
        <w:sectPr>
          <w:pgSz w:w="11900" w:h="16838" w:orient="portrait"/>
          <w:cols w:equalWidth="0" w:num="1">
            <w:col w:w="11240"/>
          </w:cols>
          <w:pgMar w:left="320" w:top="51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Laura E. Niklason, certify that:</w:t>
      </w:r>
    </w:p>
    <w:p>
      <w:pPr>
        <w:spacing w:after="0" w:line="22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March 31, 2025;</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20"/>
          <w:szCs w:val="20"/>
          <w:color w:val="auto"/>
        </w:rPr>
        <w:t>Date: May 13,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22860</wp:posOffset>
            </wp:positionV>
            <wp:extent cx="3385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p>
      <w:pPr>
        <w:spacing w:after="0" w:line="5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Laura E. Niklason, M.D., Ph.D.</w:t>
      </w:r>
    </w:p>
    <w:p>
      <w:pPr>
        <w:spacing w:after="0" w:line="51" w:lineRule="exact"/>
        <w:rPr>
          <w:sz w:val="20"/>
          <w:szCs w:val="20"/>
          <w:color w:val="auto"/>
        </w:rPr>
      </w:pPr>
    </w:p>
    <w:p>
      <w:pPr>
        <w:sectPr>
          <w:pgSz w:w="11900" w:h="16838" w:orient="portrait"/>
          <w:cols w:equalWidth="0" w:num="2">
            <w:col w:w="6560" w:space="720"/>
            <w:col w:w="3960"/>
          </w:cols>
          <w:pgMar w:left="320" w:top="977" w:right="33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ectPr>
          <w:pgSz w:w="11900" w:h="16838" w:orient="portrait"/>
          <w:cols w:equalWidth="0" w:num="2">
            <w:col w:w="6560" w:space="720"/>
            <w:col w:w="3960"/>
          </w:cols>
          <w:pgMar w:left="320" w:top="977" w:right="339" w:bottom="1440" w:gutter="0" w:footer="0" w:header="0"/>
          <w:type w:val="continuous"/>
        </w:sectPr>
      </w:pPr>
    </w:p>
    <w:bookmarkStart w:id="60" w:name="page61"/>
    <w:bookmarkEnd w:id="60"/>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Dale A. Sander, certify that:</w:t>
      </w:r>
    </w:p>
    <w:p>
      <w:pPr>
        <w:spacing w:after="0" w:line="22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March 31, 2025;</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 May 13, 2025</w:t>
            </w:r>
          </w:p>
        </w:tc>
        <w:tc>
          <w:tcPr>
            <w:tcW w:w="2100" w:type="dxa"/>
            <w:vAlign w:val="bottom"/>
          </w:tcPr>
          <w:p>
            <w:pPr>
              <w:ind w:left="1500"/>
              <w:spacing w:after="0"/>
              <w:rPr>
                <w:sz w:val="20"/>
                <w:szCs w:val="20"/>
                <w:color w:val="auto"/>
              </w:rPr>
            </w:pPr>
            <w:r>
              <w:rPr>
                <w:rFonts w:ascii="Times New Roman" w:cs="Times New Roman" w:eastAsia="Times New Roman" w:hAnsi="Times New Roman"/>
                <w:sz w:val="20"/>
                <w:szCs w:val="20"/>
                <w:color w:val="auto"/>
              </w:rPr>
              <w:t>By:</w:t>
            </w:r>
          </w:p>
        </w:tc>
        <w:tc>
          <w:tcPr>
            <w:tcW w:w="6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44"/>
        </w:trPr>
        <w:tc>
          <w:tcPr>
            <w:tcW w:w="30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0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6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5180" w:type="dxa"/>
            <w:vAlign w:val="bottom"/>
          </w:tcPr>
          <w:p>
            <w:pPr>
              <w:ind w:left="32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 Development</w:t>
            </w:r>
          </w:p>
        </w:tc>
      </w:tr>
      <w:tr>
        <w:trPr>
          <w:trHeight w:val="258"/>
        </w:trPr>
        <w:tc>
          <w:tcPr>
            <w:tcW w:w="30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Officer and Treasurer</w:t>
            </w:r>
          </w:p>
        </w:tc>
      </w:tr>
    </w:tbl>
    <w:p>
      <w:pPr>
        <w:sectPr>
          <w:pgSz w:w="11900" w:h="16838" w:orient="portrait"/>
          <w:cols w:equalWidth="0" w:num="1">
            <w:col w:w="11240"/>
          </w:cols>
          <w:pgMar w:left="320" w:top="896"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March 31, 2025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1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22"/>
          <w:szCs w:val="22"/>
          <w:color w:val="auto"/>
        </w:rPr>
      </w:pPr>
    </w:p>
    <w:p>
      <w:pPr>
        <w:ind w:left="660" w:right="240" w:hanging="328"/>
        <w:spacing w:after="0" w:line="259"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Date: May 13, 2025</w:t>
            </w:r>
          </w:p>
        </w:tc>
        <w:tc>
          <w:tcPr>
            <w:tcW w:w="2460" w:type="dxa"/>
            <w:vAlign w:val="bottom"/>
          </w:tcPr>
          <w:p>
            <w:pPr>
              <w:ind w:left="1780"/>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Laura E. Niklason</w:t>
            </w:r>
          </w:p>
        </w:tc>
      </w:tr>
      <w:tr>
        <w:trPr>
          <w:trHeight w:val="244"/>
        </w:trPr>
        <w:tc>
          <w:tcPr>
            <w:tcW w:w="33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Laura E. Niklason, M.D., Ph.D.</w:t>
            </w:r>
          </w:p>
        </w:tc>
      </w:tr>
      <w:tr>
        <w:trPr>
          <w:trHeight w:val="258"/>
        </w:trPr>
        <w:tc>
          <w:tcPr>
            <w:tcW w:w="3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ectPr>
          <w:pgSz w:w="11900" w:h="16838" w:orient="portrait"/>
          <w:cols w:equalWidth="0" w:num="1">
            <w:col w:w="11240"/>
          </w:cols>
          <w:pgMar w:left="320" w:top="1139"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March 31, 2025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8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Date: May 13, 2025</w:t>
            </w:r>
          </w:p>
        </w:tc>
        <w:tc>
          <w:tcPr>
            <w:tcW w:w="21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By:</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Dale A. Sander</w:t>
            </w:r>
          </w:p>
        </w:tc>
        <w:tc>
          <w:tcPr>
            <w:tcW w:w="4520" w:type="dxa"/>
            <w:vAlign w:val="bottom"/>
            <w:tcBorders>
              <w:bottom w:val="single" w:sz="8" w:color="auto"/>
            </w:tcBorders>
          </w:tcPr>
          <w:p>
            <w:pPr>
              <w:spacing w:after="0"/>
              <w:rPr>
                <w:sz w:val="22"/>
                <w:szCs w:val="22"/>
                <w:color w:val="auto"/>
              </w:rPr>
            </w:pPr>
          </w:p>
        </w:tc>
      </w:tr>
      <w:tr>
        <w:trPr>
          <w:trHeight w:val="244"/>
        </w:trPr>
        <w:tc>
          <w:tcPr>
            <w:tcW w:w="29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29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0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52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w:t>
            </w:r>
          </w:p>
        </w:tc>
      </w:tr>
      <w:tr>
        <w:trPr>
          <w:trHeight w:val="258"/>
        </w:trPr>
        <w:tc>
          <w:tcPr>
            <w:tcW w:w="29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Development Officer and Treasurer</w:t>
            </w:r>
          </w:p>
        </w:tc>
      </w:tr>
    </w:tbl>
    <w:p>
      <w:pPr>
        <w:spacing w:after="0" w:line="1" w:lineRule="exact"/>
        <w:rPr>
          <w:sz w:val="20"/>
          <w:szCs w:val="20"/>
          <w:color w:val="auto"/>
        </w:rPr>
      </w:pPr>
    </w:p>
    <w:sectPr>
      <w:pgSz w:w="11900" w:h="16838" w:orient="portrait"/>
      <w:cols w:equalWidth="0" w:num="1">
        <w:col w:w="11240"/>
      </w:cols>
      <w:pgMar w:left="320" w:top="1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7"/>
    </w:lvl>
  </w:abstractNum>
  <w:abstractNum w:abstractNumId="6">
    <w:nsid w:val="431BD7B7"/>
    <w:multiLevelType w:val="hybridMultilevel"/>
    <w:lvl w:ilvl="0">
      <w:lvlJc w:val="left"/>
      <w:lvlText w:val="%1."/>
      <w:numFmt w:val="decimal"/>
      <w:start w:val="8"/>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lvl w:ilvl="1">
      <w:lvlJc w:val="left"/>
      <w:lvlText w:val="%2"/>
      <w:numFmt w:val="decimal"/>
      <w:start w:val="104"/>
    </w:lvl>
  </w:abstractNum>
  <w:abstractNum w:abstractNumId="24">
    <w:nsid w:val="54E49EB4"/>
    <w:multiLevelType w:val="hybridMultilevel"/>
    <w:lvl w:ilvl="0">
      <w:lvlJc w:val="left"/>
      <w:lvlText w:val="**"/>
      <w:numFmt w:val="bullet"/>
      <w:start w:val="1"/>
    </w:lvl>
    <w:lvl w:ilvl="1">
      <w:lvlJc w:val="left"/>
      <w:lvlText w:val="%2"/>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75" Type="http://schemas.openxmlformats.org/officeDocument/2006/relationships/hyperlink" Target="https://www.sec.gov/ix?doc=/Archives/edgar/data/1818382/000181838225000034/huma-20241231.htm#ie0573d68fa8e4e4a976867c9ab5d7930_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2025-05-13T16:20:53Z</dcterms:created>
  <dcterms:modified xsi:type="dcterms:W3CDTF">2025-05-13T16:20:53Z</dcterms:modified>
</cp:coreProperties>
</file>