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0001878193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Humacyte,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001-39532</w:t>
      </w:r>
    </w:p>
    <w:p>
      <w:pPr>
        <w:spacing w:after="0" w:line="44" w:lineRule="exact"/>
        <w:rPr>
          <w:sz w:val="24"/>
          <w:szCs w:val="24"/>
          <w:color w:val="auto"/>
        </w:rPr>
      </w:pPr>
    </w:p>
    <w:p>
      <w:pPr>
        <w:ind w:right="520"/>
        <w:spacing w:after="0" w:line="241" w:lineRule="auto"/>
        <w:rPr>
          <w:sz w:val="20"/>
          <w:szCs w:val="20"/>
          <w:color w:val="auto"/>
        </w:rPr>
      </w:pPr>
      <w:r>
        <w:rPr>
          <w:rFonts w:ascii="Times New Roman" w:cs="Times New Roman" w:eastAsia="Times New Roman" w:hAnsi="Times New Roman"/>
          <w:sz w:val="22"/>
          <w:szCs w:val="22"/>
          <w:color w:val="auto"/>
        </w:rPr>
        <w:t>2525 EAST NORTH CAROLINA HIGHWAY 54 DURHAM</w:t>
      </w:r>
    </w:p>
    <w:p>
      <w:pPr>
        <w:spacing w:after="0" w:line="232" w:lineRule="auto"/>
        <w:rPr>
          <w:sz w:val="20"/>
          <w:szCs w:val="20"/>
          <w:color w:val="auto"/>
        </w:rPr>
      </w:pPr>
      <w:r>
        <w:rPr>
          <w:rFonts w:ascii="Times New Roman" w:cs="Times New Roman" w:eastAsia="Times New Roman" w:hAnsi="Times New Roman"/>
          <w:sz w:val="22"/>
          <w:szCs w:val="22"/>
          <w:color w:val="auto"/>
        </w:rPr>
        <w:t>NORTH CAROLINA</w:t>
      </w:r>
    </w:p>
    <w:p>
      <w:pPr>
        <w:spacing w:after="0"/>
        <w:rPr>
          <w:sz w:val="20"/>
          <w:szCs w:val="20"/>
          <w:color w:val="auto"/>
        </w:rPr>
      </w:pPr>
      <w:r>
        <w:rPr>
          <w:rFonts w:ascii="Times New Roman" w:cs="Times New Roman" w:eastAsia="Times New Roman" w:hAnsi="Times New Roman"/>
          <w:sz w:val="22"/>
          <w:szCs w:val="22"/>
          <w:color w:val="auto"/>
        </w:rPr>
        <w:t>27713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919-313-9633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Sander Dale A.</w:t>
      </w:r>
    </w:p>
    <w:p>
      <w:pPr>
        <w:spacing w:after="0" w:line="44" w:lineRule="exact"/>
        <w:rPr>
          <w:sz w:val="24"/>
          <w:szCs w:val="24"/>
          <w:color w:val="auto"/>
        </w:rPr>
      </w:pPr>
    </w:p>
    <w:p>
      <w:pPr>
        <w:sectPr>
          <w:pgSz w:w="11900" w:h="16838" w:orient="portrait"/>
          <w:cols w:equalWidth="0" w:num="2">
            <w:col w:w="5740" w:space="660"/>
            <w:col w:w="4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45887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41146.87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222019108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45887</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05/15/2026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12/05/2025</w:t>
      </w:r>
    </w:p>
    <w:p>
      <w:pPr>
        <w:spacing w:after="0" w:line="623" w:lineRule="exact"/>
        <w:rPr>
          <w:sz w:val="20"/>
          <w:szCs w:val="20"/>
          <w:color w:val="auto"/>
        </w:rPr>
      </w:pPr>
    </w:p>
    <w:p>
      <w:pPr>
        <w:sectPr>
          <w:pgSz w:w="11900" w:h="16838" w:orient="portrait"/>
          <w:cols w:equalWidth="0" w:num="2">
            <w:col w:w="3380" w:space="620"/>
            <w:col w:w="72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6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w:t>
            </w:r>
          </w:p>
        </w:tc>
        <w:tc>
          <w:tcPr>
            <w:tcW w:w="0" w:type="dxa"/>
            <w:vAlign w:val="bottom"/>
          </w:tcPr>
          <w:p>
            <w:pPr>
              <w:spacing w:after="0"/>
              <w:rPr>
                <w:sz w:val="1"/>
                <w:szCs w:val="1"/>
                <w:color w:val="auto"/>
              </w:rPr>
            </w:pPr>
          </w:p>
        </w:tc>
      </w:tr>
      <w:tr>
        <w:trPr>
          <w:trHeight w:val="161"/>
        </w:trPr>
        <w:tc>
          <w:tcPr>
            <w:tcW w:w="2400" w:type="dxa"/>
            <w:vAlign w:val="bottom"/>
            <w:vMerge w:val="continue"/>
          </w:tcPr>
          <w:p>
            <w:pPr>
              <w:spacing w:after="0"/>
              <w:rPr>
                <w:sz w:val="13"/>
                <w:szCs w:val="13"/>
                <w:color w:val="auto"/>
              </w:rPr>
            </w:pPr>
          </w:p>
        </w:tc>
        <w:tc>
          <w:tcPr>
            <w:tcW w:w="7860" w:type="dxa"/>
            <w:vAlign w:val="bottom"/>
            <w:vMerge w:val="restart"/>
          </w:tcPr>
          <w:p>
            <w:pPr>
              <w:ind w:left="1560"/>
              <w:spacing w:after="0"/>
              <w:rPr>
                <w:sz w:val="20"/>
                <w:szCs w:val="20"/>
                <w:color w:val="auto"/>
              </w:rPr>
            </w:pPr>
            <w:r>
              <w:rPr>
                <w:rFonts w:ascii="Times New Roman" w:cs="Times New Roman" w:eastAsia="Times New Roman" w:hAnsi="Times New Roman"/>
                <w:sz w:val="22"/>
                <w:szCs w:val="22"/>
                <w:color w:val="auto"/>
              </w:rPr>
              <w:t>Brokerage Services LLC, as attorney-in-fact for Dale A. Sander</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7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2026-05-18T15:19:16Z</dcterms:created>
  <dcterms:modified xsi:type="dcterms:W3CDTF">2026-05-18T15:19:16Z</dcterms:modified>
</cp:coreProperties>
</file>