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535940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560705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7" w:lineRule="exact"/>
        <w:rPr>
          <w:sz w:val="24"/>
          <w:szCs w:val="24"/>
          <w:color w:val="auto"/>
        </w:rPr>
      </w:pPr>
    </w:p>
    <w:p>
      <w:pPr>
        <w:ind w:left="400" w:hanging="377"/>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7" w:lineRule="exact"/>
        <w:rPr>
          <w:sz w:val="24"/>
          <w:szCs w:val="24"/>
          <w:color w:val="auto"/>
        </w:rPr>
      </w:pPr>
    </w:p>
    <w:p>
      <w:pPr>
        <w:ind w:left="400" w:hanging="377"/>
        <w:spacing w:after="0"/>
        <w:tabs>
          <w:tab w:leader="none" w:pos="40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07" w:lineRule="exact"/>
        <w:rPr>
          <w:sz w:val="24"/>
          <w:szCs w:val="24"/>
          <w:color w:val="auto"/>
        </w:rPr>
      </w:pPr>
    </w:p>
    <w:p>
      <w:pPr>
        <w:ind w:left="382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77"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Commission file number 001-39532</w:t>
      </w:r>
    </w:p>
    <w:p>
      <w:pPr>
        <w:spacing w:after="0" w:line="19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231F20"/>
        </w:rPr>
        <w:t>Humacyte,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293" w:right="339" w:bottom="0" w:gutter="0" w:footer="0" w:header="0"/>
        </w:sectPr>
      </w:pPr>
    </w:p>
    <w:p>
      <w:pPr>
        <w:spacing w:after="0" w:line="250"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85-1763759</w:t>
      </w:r>
    </w:p>
    <w:p>
      <w:pPr>
        <w:spacing w:after="0" w:line="71" w:lineRule="exact"/>
        <w:rPr>
          <w:sz w:val="24"/>
          <w:szCs w:val="24"/>
          <w:color w:val="auto"/>
        </w:rPr>
      </w:pPr>
    </w:p>
    <w:p>
      <w:pPr>
        <w:sectPr>
          <w:pgSz w:w="11900" w:h="16838" w:orient="portrait"/>
          <w:cols w:equalWidth="0" w:num="2">
            <w:col w:w="7240" w:space="720"/>
            <w:col w:w="3280"/>
          </w:cols>
          <w:pgMar w:left="320" w:top="293" w:right="339" w:bottom="0" w:gutter="0" w:footer="0" w:header="0"/>
          <w:type w:val="continuous"/>
        </w:sectPr>
      </w:pPr>
    </w:p>
    <w:p>
      <w:pPr>
        <w:ind w:left="71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0"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incorporation or organization)</w:t>
      </w:r>
    </w:p>
    <w:p>
      <w:pPr>
        <w:sectPr>
          <w:pgSz w:w="11900" w:h="16838" w:orient="portrait"/>
          <w:cols w:equalWidth="0" w:num="1">
            <w:col w:w="11240"/>
          </w:cols>
          <w:pgMar w:left="320" w:top="293" w:right="339" w:bottom="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2525 East North Carolina Highway 54</w:t>
      </w:r>
    </w:p>
    <w:p>
      <w:pPr>
        <w:spacing w:after="0" w:line="43"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Durham, NC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27713</w:t>
      </w:r>
    </w:p>
    <w:p>
      <w:pPr>
        <w:spacing w:after="0" w:line="35" w:lineRule="exact"/>
        <w:rPr>
          <w:sz w:val="24"/>
          <w:szCs w:val="24"/>
          <w:color w:val="auto"/>
        </w:rPr>
      </w:pPr>
    </w:p>
    <w:p>
      <w:pPr>
        <w:sectPr>
          <w:pgSz w:w="11900" w:h="16838" w:orient="portrait"/>
          <w:cols w:equalWidth="0" w:num="2">
            <w:col w:w="7440" w:space="720"/>
            <w:col w:w="3080"/>
          </w:cols>
          <w:pgMar w:left="320" w:top="293" w:right="339" w:bottom="0" w:gutter="0" w:footer="0" w:header="0"/>
          <w:type w:val="continuous"/>
        </w:sectPr>
      </w:pPr>
    </w:p>
    <w:p>
      <w:pPr>
        <w:ind w:left="13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293" w:right="339" w:bottom="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313-9633</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12(b) of the Act:</w:t>
            </w: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304"/>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7"/>
        </w:trPr>
        <w:tc>
          <w:tcPr>
            <w:tcW w:w="4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1"/>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Common Stock, par value $0.0001 per share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HUMA</w:t>
            </w:r>
          </w:p>
        </w:tc>
        <w:tc>
          <w:tcPr>
            <w:tcW w:w="8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Nasdaq Stock Market LLC</w:t>
            </w:r>
          </w:p>
        </w:tc>
      </w:tr>
      <w:tr>
        <w:trPr>
          <w:trHeight w:val="219"/>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Redeemable Warrants, each whole warrant exercisable for</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3"/>
              </w:rPr>
              <w:t>HUMAW</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Nasdaq Stock Market LLC</w:t>
            </w:r>
          </w:p>
        </w:tc>
      </w:tr>
      <w:tr>
        <w:trPr>
          <w:trHeight w:val="231"/>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one share of Common Stock at an exercise price of $11.50</w:t>
            </w: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20" w:type="dxa"/>
            <w:vAlign w:val="bottom"/>
          </w:tcPr>
          <w:p>
            <w:pPr>
              <w:spacing w:after="0"/>
              <w:rPr>
                <w:sz w:val="20"/>
                <w:szCs w:val="20"/>
                <w:color w:val="auto"/>
              </w:rPr>
            </w:pPr>
          </w:p>
        </w:tc>
      </w:tr>
    </w:tbl>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12(g) of the Act: </w:t>
      </w:r>
      <w:r>
        <w:rPr>
          <w:rFonts w:ascii="Times New Roman" w:cs="Times New Roman" w:eastAsia="Times New Roman" w:hAnsi="Times New Roman"/>
          <w:sz w:val="18"/>
          <w:szCs w:val="18"/>
          <w:b w:val="1"/>
          <w:bCs w:val="1"/>
          <w:color w:val="auto"/>
        </w:rPr>
        <w:t>None</w:t>
      </w:r>
    </w:p>
    <w:p>
      <w:pPr>
        <w:spacing w:after="0" w:line="179" w:lineRule="exact"/>
        <w:rPr>
          <w:sz w:val="24"/>
          <w:szCs w:val="24"/>
          <w:color w:val="auto"/>
        </w:rPr>
      </w:pPr>
    </w:p>
    <w:p>
      <w:pPr>
        <w:ind w:right="1660"/>
        <w:spacing w:after="0" w:line="479"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 w:lineRule="exact"/>
        <w:rPr>
          <w:sz w:val="24"/>
          <w:szCs w:val="24"/>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0" w:lineRule="exact"/>
        <w:rPr>
          <w:sz w:val="24"/>
          <w:szCs w:val="24"/>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in Rule 12b-2 of the Exchange Act. (Check one):</w:t>
      </w:r>
    </w:p>
    <w:p>
      <w:pPr>
        <w:sectPr>
          <w:pgSz w:w="11900" w:h="16838" w:orient="portrait"/>
          <w:cols w:equalWidth="0" w:num="1">
            <w:col w:w="11240"/>
          </w:cols>
          <w:pgMar w:left="320" w:top="293" w:right="339" w:bottom="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2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640"/>
              <w:spacing w:after="0"/>
              <w:rPr>
                <w:sz w:val="20"/>
                <w:szCs w:val="20"/>
                <w:color w:val="auto"/>
              </w:rPr>
            </w:pPr>
            <w:r>
              <w:rPr>
                <w:rFonts w:ascii="Wingdings" w:cs="Wingdings" w:eastAsia="Wingdings" w:hAnsi="Wingdings"/>
                <w:sz w:val="18"/>
                <w:szCs w:val="18"/>
                <w:b w:val="1"/>
                <w:bCs w:val="1"/>
                <w:color w:val="auto"/>
              </w:rPr>
              <w:t>o</w:t>
            </w:r>
          </w:p>
        </w:tc>
        <w:tc>
          <w:tcPr>
            <w:tcW w:w="48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60"/>
              <w:spacing w:after="0"/>
              <w:rPr>
                <w:sz w:val="20"/>
                <w:szCs w:val="20"/>
                <w:color w:val="auto"/>
              </w:rPr>
            </w:pPr>
            <w:r>
              <w:rPr>
                <w:rFonts w:ascii="Wingdings" w:cs="Wingdings" w:eastAsia="Wingdings" w:hAnsi="Wingdings"/>
                <w:sz w:val="18"/>
                <w:szCs w:val="18"/>
                <w:b w:val="1"/>
                <w:bCs w:val="1"/>
                <w:color w:val="auto"/>
                <w:w w:val="99"/>
              </w:rPr>
              <w:t>o</w:t>
            </w:r>
          </w:p>
        </w:tc>
      </w:tr>
      <w:tr>
        <w:trPr>
          <w:trHeight w:val="25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8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60"/>
              <w:spacing w:after="0"/>
              <w:rPr>
                <w:sz w:val="20"/>
                <w:szCs w:val="20"/>
                <w:color w:val="auto"/>
              </w:rPr>
            </w:pPr>
            <w:r>
              <w:rPr>
                <w:rFonts w:ascii="Wingdings" w:cs="Wingdings" w:eastAsia="Wingdings" w:hAnsi="Wingdings"/>
                <w:sz w:val="18"/>
                <w:szCs w:val="18"/>
                <w:b w:val="1"/>
                <w:bCs w:val="1"/>
                <w:color w:val="auto"/>
                <w:w w:val="83"/>
              </w:rPr>
              <w:t>x</w:t>
            </w:r>
          </w:p>
        </w:tc>
      </w:tr>
      <w:tr>
        <w:trPr>
          <w:trHeight w:val="251"/>
        </w:trPr>
        <w:tc>
          <w:tcPr>
            <w:tcW w:w="22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8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60"/>
              <w:spacing w:after="0"/>
              <w:rPr>
                <w:sz w:val="20"/>
                <w:szCs w:val="20"/>
                <w:color w:val="auto"/>
              </w:rPr>
            </w:pPr>
            <w:r>
              <w:rPr>
                <w:rFonts w:ascii="Wingdings" w:cs="Wingdings" w:eastAsia="Wingdings" w:hAnsi="Wingdings"/>
                <w:sz w:val="18"/>
                <w:szCs w:val="18"/>
                <w:b w:val="1"/>
                <w:bCs w:val="1"/>
                <w:color w:val="auto"/>
                <w:w w:val="83"/>
              </w:rPr>
              <w:t>x</w:t>
            </w:r>
          </w:p>
        </w:tc>
      </w:tr>
    </w:tbl>
    <w:p>
      <w:pPr>
        <w:spacing w:after="0" w:line="274"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8"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Wingdings" w:cs="Wingdings" w:eastAsia="Wingdings" w:hAnsi="Wingdings"/>
          <w:sz w:val="18"/>
          <w:szCs w:val="18"/>
          <w:b w:val="1"/>
          <w:bCs w:val="1"/>
          <w:color w:val="000000"/>
        </w:rPr>
        <w:t>o</w:t>
      </w:r>
    </w:p>
    <w:p>
      <w:pPr>
        <w:spacing w:after="0" w:line="15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 xml:space="preserve">If securities are </w:t>
      </w:r>
      <w:r>
        <w:rPr>
          <w:rFonts w:ascii="Times New Roman" w:cs="Times New Roman" w:eastAsia="Times New Roman" w:hAnsi="Times New Roman"/>
          <w:sz w:val="18"/>
          <w:szCs w:val="18"/>
          <w:color w:val="231F20"/>
        </w:rPr>
        <w:t>registered</w:t>
      </w:r>
      <w:r>
        <w:rPr>
          <w:rFonts w:ascii="Times New Roman" w:cs="Times New Roman" w:eastAsia="Times New Roman" w:hAnsi="Times New Roman"/>
          <w:sz w:val="18"/>
          <w:szCs w:val="18"/>
          <w:color w:val="auto"/>
        </w:rPr>
        <w:t xml:space="preserve">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2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94" w:lineRule="exact"/>
        <w:rPr>
          <w:sz w:val="20"/>
          <w:szCs w:val="20"/>
          <w:color w:val="auto"/>
        </w:rPr>
      </w:pPr>
    </w:p>
    <w:p>
      <w:pPr>
        <w:spacing w:after="0"/>
        <w:tabs>
          <w:tab w:leader="none" w:pos="8720" w:val="left"/>
        </w:tabs>
        <w:rPr>
          <w:sz w:val="20"/>
          <w:szCs w:val="20"/>
          <w:color w:val="auto"/>
        </w:rPr>
      </w:pPr>
      <w:r>
        <w:rPr>
          <w:rFonts w:ascii="Times New Roman" w:cs="Times New Roman" w:eastAsia="Times New Roman" w:hAnsi="Times New Roman"/>
          <w:sz w:val="18"/>
          <w:szCs w:val="18"/>
          <w:color w:val="231F20"/>
        </w:rPr>
        <w:t xml:space="preserve">Indicate by check mark whether the registrant is a shell company (as defined in Rule 12b-2 of the Exchange Act). </w:t>
      </w:r>
      <w:r>
        <w:rPr>
          <w:rFonts w:ascii="Times New Roman" w:cs="Times New Roman" w:eastAsia="Times New Roman" w:hAnsi="Times New Roman"/>
          <w:sz w:val="18"/>
          <w:szCs w:val="18"/>
          <w:color w:val="000000"/>
        </w:rPr>
        <w:t>Yes</w:t>
      </w:r>
      <w:r>
        <w:rPr>
          <w:rFonts w:ascii="Times New Roman" w:cs="Times New Roman" w:eastAsia="Times New Roman" w:hAnsi="Times New Roman"/>
          <w:sz w:val="18"/>
          <w:szCs w:val="18"/>
          <w:color w:val="231F20"/>
        </w:rPr>
        <w:t xml:space="preserve"> </w:t>
      </w:r>
      <w:r>
        <w:rPr>
          <w:rFonts w:ascii="Wingdings" w:cs="Wingdings" w:eastAsia="Wingdings" w:hAnsi="Wingdings"/>
          <w:sz w:val="18"/>
          <w:szCs w:val="18"/>
          <w:b w:val="1"/>
          <w:bCs w:val="1"/>
          <w:color w:val="000000"/>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As of June 30, 2024, the last business day of the registrant’s most recently completed second fiscal quarter, the aggregate market value of common stock held by non-affiliates of the registrant was approximately $453.2 million (based on the closing price of the registrant’s common stock as reported on The Nasdaq Global Select Market on that date).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March 27, 2025, 155,118,816 shares of common stock, par value $0.0001, were issued and outstanding.</w:t>
      </w:r>
    </w:p>
    <w:p>
      <w:pPr>
        <w:spacing w:after="0" w:line="1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231F20"/>
        </w:rPr>
        <w:t>DOCUMENTS INCORPORATED BY REFERENCE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Portions of the Registrant’s Proxy Statement relative to the 2025 Annual Meeting of Shareholders are incorporated by reference in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699770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48260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73660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40"/>
          </w:cols>
          <w:pgMar w:left="320" w:top="16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gridSpan w:val="9"/>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0"/>
                <w:szCs w:val="20"/>
                <w:color w:val="auto"/>
              </w:rPr>
            </w:pPr>
          </w:p>
        </w:tc>
      </w:tr>
      <w:tr>
        <w:trPr>
          <w:trHeight w:val="37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4"/>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5"/>
        </w:trPr>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180" w:type="dxa"/>
            <w:vAlign w:val="bottom"/>
            <w:gridSpan w:val="24"/>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PART I</w:t>
            </w:r>
          </w:p>
        </w:tc>
        <w:tc>
          <w:tcPr>
            <w:tcW w:w="10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Business</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5</w:t>
            </w:r>
          </w:p>
        </w:tc>
      </w:tr>
      <w:tr>
        <w:trPr>
          <w:trHeight w:val="199"/>
        </w:trPr>
        <w:tc>
          <w:tcPr>
            <w:tcW w:w="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59</w:t>
            </w:r>
          </w:p>
        </w:tc>
      </w:tr>
      <w:tr>
        <w:trPr>
          <w:trHeight w:val="199"/>
        </w:trPr>
        <w:tc>
          <w:tcPr>
            <w:tcW w:w="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95</w:t>
            </w:r>
          </w:p>
        </w:tc>
      </w:tr>
      <w:tr>
        <w:trPr>
          <w:trHeight w:val="199"/>
        </w:trPr>
        <w:tc>
          <w:tcPr>
            <w:tcW w:w="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Cybersecurity</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96</w:t>
            </w:r>
          </w:p>
        </w:tc>
      </w:tr>
      <w:tr>
        <w:trPr>
          <w:trHeight w:val="212"/>
        </w:trPr>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Properties</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97</w:t>
            </w:r>
          </w:p>
        </w:tc>
      </w:tr>
      <w:tr>
        <w:trPr>
          <w:trHeight w:val="199"/>
        </w:trPr>
        <w:tc>
          <w:tcPr>
            <w:tcW w:w="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97</w:t>
            </w:r>
          </w:p>
        </w:tc>
      </w:tr>
      <w:tr>
        <w:trPr>
          <w:trHeight w:val="199"/>
        </w:trPr>
        <w:tc>
          <w:tcPr>
            <w:tcW w:w="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98</w:t>
            </w:r>
          </w:p>
        </w:tc>
      </w:tr>
      <w:tr>
        <w:trPr>
          <w:trHeight w:val="199"/>
        </w:trPr>
        <w:tc>
          <w:tcPr>
            <w:tcW w:w="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25"/>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18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20" w:type="dxa"/>
            <w:vAlign w:val="bottom"/>
            <w:shd w:val="clear" w:color="auto" w:fill="CCEEFF"/>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99</w:t>
            </w:r>
          </w:p>
        </w:tc>
      </w:tr>
      <w:tr>
        <w:trPr>
          <w:trHeight w:val="199"/>
        </w:trPr>
        <w:tc>
          <w:tcPr>
            <w:tcW w:w="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[Reserved]</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99</w:t>
            </w:r>
          </w:p>
        </w:tc>
      </w:tr>
      <w:tr>
        <w:trPr>
          <w:trHeight w:val="159"/>
        </w:trPr>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99</w:t>
            </w:r>
          </w:p>
        </w:tc>
      </w:tr>
      <w:tr>
        <w:trPr>
          <w:trHeight w:val="159"/>
        </w:trPr>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113</w:t>
            </w:r>
          </w:p>
        </w:tc>
      </w:tr>
      <w:tr>
        <w:trPr>
          <w:trHeight w:val="159"/>
        </w:trPr>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114</w:t>
            </w:r>
          </w:p>
        </w:tc>
      </w:tr>
      <w:tr>
        <w:trPr>
          <w:trHeight w:val="159"/>
        </w:trPr>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156</w:t>
            </w:r>
          </w:p>
        </w:tc>
      </w:tr>
      <w:tr>
        <w:trPr>
          <w:trHeight w:val="159"/>
        </w:trPr>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156</w:t>
            </w:r>
          </w:p>
        </w:tc>
      </w:tr>
      <w:tr>
        <w:trPr>
          <w:trHeight w:val="159"/>
        </w:trPr>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157</w:t>
            </w:r>
          </w:p>
        </w:tc>
      </w:tr>
      <w:tr>
        <w:trPr>
          <w:trHeight w:val="159"/>
        </w:trPr>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157</w:t>
            </w:r>
          </w:p>
        </w:tc>
      </w:tr>
      <w:tr>
        <w:trPr>
          <w:trHeight w:val="159"/>
        </w:trPr>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r>
      <w:tr>
        <w:trPr>
          <w:trHeight w:val="225"/>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18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020" w:type="dxa"/>
            <w:vAlign w:val="bottom"/>
            <w:shd w:val="clear" w:color="auto" w:fill="CCEEFF"/>
          </w:tcPr>
          <w:p>
            <w:pPr>
              <w:spacing w:after="0"/>
              <w:rPr>
                <w:sz w:val="19"/>
                <w:szCs w:val="19"/>
                <w:color w:val="auto"/>
              </w:rPr>
            </w:pPr>
          </w:p>
        </w:tc>
      </w:tr>
      <w:tr>
        <w:trPr>
          <w:trHeight w:val="159"/>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158</w:t>
            </w:r>
          </w:p>
        </w:tc>
      </w:tr>
      <w:tr>
        <w:trPr>
          <w:trHeight w:val="159"/>
        </w:trPr>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Executive Compensation</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158</w:t>
            </w:r>
          </w:p>
        </w:tc>
      </w:tr>
      <w:tr>
        <w:trPr>
          <w:trHeight w:val="159"/>
        </w:trPr>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158</w:t>
            </w:r>
          </w:p>
        </w:tc>
      </w:tr>
      <w:tr>
        <w:trPr>
          <w:trHeight w:val="159"/>
        </w:trPr>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158</w:t>
            </w:r>
          </w:p>
        </w:tc>
      </w:tr>
      <w:tr>
        <w:trPr>
          <w:trHeight w:val="159"/>
        </w:trPr>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158</w:t>
            </w:r>
          </w:p>
        </w:tc>
      </w:tr>
      <w:tr>
        <w:trPr>
          <w:trHeight w:val="159"/>
        </w:trPr>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r>
      <w:tr>
        <w:trPr>
          <w:trHeight w:val="225"/>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18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20" w:type="dxa"/>
            <w:vAlign w:val="bottom"/>
            <w:shd w:val="clear" w:color="auto" w:fill="CCEEFF"/>
          </w:tcPr>
          <w:p>
            <w:pPr>
              <w:spacing w:after="0"/>
              <w:rPr>
                <w:sz w:val="19"/>
                <w:szCs w:val="19"/>
                <w:color w:val="auto"/>
              </w:rPr>
            </w:pPr>
          </w:p>
        </w:tc>
      </w:tr>
      <w:tr>
        <w:trPr>
          <w:trHeight w:val="159"/>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159</w:t>
            </w:r>
          </w:p>
        </w:tc>
      </w:tr>
      <w:tr>
        <w:trPr>
          <w:trHeight w:val="159"/>
        </w:trPr>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r>
      <w:tr>
        <w:trPr>
          <w:trHeight w:val="205"/>
        </w:trPr>
        <w:tc>
          <w:tcPr>
            <w:tcW w:w="10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Form 10-K Summary</w:t>
            </w:r>
          </w:p>
        </w:tc>
        <w:tc>
          <w:tcPr>
            <w:tcW w:w="10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162</w:t>
            </w:r>
          </w:p>
        </w:tc>
      </w:tr>
      <w:tr>
        <w:trPr>
          <w:trHeight w:val="159"/>
        </w:trPr>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0000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b w:val="1"/>
                <w:bCs w:val="1"/>
                <w:color w:val="0000FF"/>
                <w:w w:val="95"/>
              </w:rPr>
              <w:t>SIGNATURES</w:t>
            </w:r>
          </w:p>
        </w:tc>
        <w:tc>
          <w:tcPr>
            <w:tcW w:w="9060" w:type="dxa"/>
            <w:vAlign w:val="bottom"/>
            <w:tcBorders>
              <w:bottom w:val="single" w:sz="8" w:color="CCEEFF"/>
            </w:tcBorders>
            <w:gridSpan w:val="2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163</w:t>
            </w:r>
          </w:p>
        </w:tc>
      </w:tr>
    </w:tbl>
    <w:p>
      <w:pPr>
        <w:spacing w:after="0" w:line="200" w:lineRule="exact"/>
        <w:rPr>
          <w:sz w:val="20"/>
          <w:szCs w:val="20"/>
          <w:color w:val="auto"/>
        </w:rPr>
      </w:pPr>
    </w:p>
    <w:p>
      <w:pPr>
        <w:sectPr>
          <w:pgSz w:w="11900" w:h="16838" w:orient="portrait"/>
          <w:cols w:equalWidth="0" w:num="1">
            <w:col w:w="11240"/>
          </w:cols>
          <w:pgMar w:left="320" w:top="293"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FORWARD-LOOKING STATEMENTS</w:t>
      </w:r>
    </w:p>
    <w:p>
      <w:pPr>
        <w:spacing w:after="0" w:line="179"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 xml:space="preserve">This Annual Report on Form 10-K contains forward-looking statements that involve substantial risks and uncertainties. </w:t>
      </w:r>
      <w:r>
        <w:rPr>
          <w:rFonts w:ascii="Times New Roman" w:cs="Times New Roman" w:eastAsia="Times New Roman" w:hAnsi="Times New Roman"/>
          <w:sz w:val="18"/>
          <w:szCs w:val="18"/>
          <w:color w:val="000000"/>
        </w:rPr>
        <w:t>“Forward-looking statements,” 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w:t>
      </w:r>
      <w:r>
        <w:rPr>
          <w:rFonts w:ascii="Times New Roman" w:cs="Times New Roman" w:eastAsia="Times New Roman" w:hAnsi="Times New Roman"/>
          <w:sz w:val="18"/>
          <w:szCs w:val="18"/>
          <w:color w:val="231F20"/>
        </w:rPr>
        <w:t>ithout limitation, statements regarding the financial position, business strategy and the plans and objectives of management for future operations.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Forward-looking statements may include, for example, statements about:</w:t>
      </w:r>
    </w:p>
    <w:p>
      <w:pPr>
        <w:spacing w:after="0" w:line="187" w:lineRule="exact"/>
        <w:rPr>
          <w:sz w:val="20"/>
          <w:szCs w:val="20"/>
          <w:color w:val="auto"/>
        </w:rPr>
      </w:pPr>
    </w:p>
    <w:p>
      <w:pPr>
        <w:ind w:left="640" w:right="140" w:hanging="316"/>
        <w:spacing w:after="0" w:line="231" w:lineRule="auto"/>
        <w:tabs>
          <w:tab w:leader="none" w:pos="63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and ability to commercialize Symvess</w:t>
      </w:r>
      <w:r>
        <w:rPr>
          <w:rFonts w:ascii="Times New Roman" w:cs="Times New Roman" w:eastAsia="Times New Roman" w:hAnsi="Times New Roman"/>
          <w:sz w:val="22"/>
          <w:szCs w:val="22"/>
          <w:color w:val="231F20"/>
          <w:vertAlign w:val="superscript"/>
        </w:rPr>
        <w:t>TM</w:t>
      </w:r>
      <w:r>
        <w:rPr>
          <w:rFonts w:ascii="Times New Roman" w:cs="Times New Roman" w:eastAsia="Times New Roman" w:hAnsi="Times New Roman"/>
          <w:sz w:val="18"/>
          <w:szCs w:val="18"/>
          <w:color w:val="231F20"/>
        </w:rPr>
        <w:t xml:space="preserve"> (acellular tissue engineered vessel-tyod or “ATEV</w:t>
      </w:r>
      <w:r>
        <w:rPr>
          <w:rFonts w:ascii="Times New Roman" w:cs="Times New Roman" w:eastAsia="Times New Roman" w:hAnsi="Times New Roman"/>
          <w:sz w:val="22"/>
          <w:szCs w:val="22"/>
          <w:color w:val="231F20"/>
          <w:vertAlign w:val="superscript"/>
        </w:rPr>
        <w:t>TM</w:t>
      </w:r>
      <w:r>
        <w:rPr>
          <w:rFonts w:ascii="Times New Roman" w:cs="Times New Roman" w:eastAsia="Times New Roman" w:hAnsi="Times New Roman"/>
          <w:sz w:val="18"/>
          <w:szCs w:val="18"/>
          <w:color w:val="231F20"/>
        </w:rPr>
        <w:t>”) and, if approved by regulatory authorities, our product candidates, successfully and on our anticipated timelines;</w:t>
      </w:r>
    </w:p>
    <w:p>
      <w:pPr>
        <w:spacing w:after="0" w:line="155" w:lineRule="exact"/>
        <w:rPr>
          <w:rFonts w:ascii="Times New Roman" w:cs="Times New Roman" w:eastAsia="Times New Roman" w:hAnsi="Times New Roman"/>
          <w:sz w:val="18"/>
          <w:szCs w:val="18"/>
          <w:color w:val="231F20"/>
        </w:rPr>
      </w:pPr>
    </w:p>
    <w:p>
      <w:pPr>
        <w:ind w:left="640" w:right="560" w:hanging="316"/>
        <w:spacing w:after="0" w:line="271" w:lineRule="auto"/>
        <w:tabs>
          <w:tab w:leader="none" w:pos="63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degree of market acceptance of and the availability of third-party coverage and reimbursement for Symvess and, if approved by regulatory authorities, our product candidates;</w:t>
      </w:r>
    </w:p>
    <w:p>
      <w:pPr>
        <w:spacing w:after="0" w:line="61" w:lineRule="exact"/>
        <w:rPr>
          <w:rFonts w:ascii="Times New Roman" w:cs="Times New Roman" w:eastAsia="Times New Roman" w:hAnsi="Times New Roman"/>
          <w:sz w:val="18"/>
          <w:szCs w:val="18"/>
          <w:color w:val="231F20"/>
        </w:rPr>
      </w:pPr>
    </w:p>
    <w:p>
      <w:pPr>
        <w:ind w:left="640" w:right="280" w:hanging="316"/>
        <w:spacing w:after="0" w:line="271" w:lineRule="auto"/>
        <w:tabs>
          <w:tab w:leader="none" w:pos="63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manufacture Symvess and, if approved by regulatory authorities, our product candidates in sufficient quantities to satisfy our clinical trial and commercial needs;</w:t>
      </w:r>
    </w:p>
    <w:p>
      <w:pPr>
        <w:spacing w:after="0" w:line="128"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expected size of the target populations for Symvess and, if approved by regulatory authorities, our product candidates;</w:t>
      </w:r>
    </w:p>
    <w:p>
      <w:pPr>
        <w:spacing w:after="0" w:line="11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anticipated benefits of our ATEVs relative to existing alternatives;</w:t>
      </w:r>
    </w:p>
    <w:p>
      <w:pPr>
        <w:spacing w:after="0" w:line="11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assessment of the competitive landscape;</w:t>
      </w:r>
    </w:p>
    <w:p>
      <w:pPr>
        <w:spacing w:after="0" w:line="190" w:lineRule="exact"/>
        <w:rPr>
          <w:rFonts w:ascii="Times New Roman" w:cs="Times New Roman" w:eastAsia="Times New Roman" w:hAnsi="Times New Roman"/>
          <w:sz w:val="18"/>
          <w:szCs w:val="18"/>
          <w:color w:val="231F20"/>
        </w:rPr>
      </w:pPr>
    </w:p>
    <w:p>
      <w:pPr>
        <w:ind w:left="640" w:right="220" w:hanging="316"/>
        <w:spacing w:after="0" w:line="271"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plans and ability to execute product development, process development and preclinical development efforts successfully and on our anticipated timelines;</w:t>
      </w:r>
    </w:p>
    <w:p>
      <w:pPr>
        <w:spacing w:after="0" w:line="61" w:lineRule="exact"/>
        <w:rPr>
          <w:rFonts w:ascii="Times New Roman" w:cs="Times New Roman" w:eastAsia="Times New Roman" w:hAnsi="Times New Roman"/>
          <w:sz w:val="18"/>
          <w:szCs w:val="18"/>
          <w:color w:val="auto"/>
        </w:rPr>
      </w:pPr>
    </w:p>
    <w:p>
      <w:pPr>
        <w:ind w:left="640" w:right="380" w:hanging="316"/>
        <w:spacing w:after="0" w:line="258" w:lineRule="auto"/>
        <w:tabs>
          <w:tab w:leader="none" w:pos="63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anticipated timeline and ability to file applications for, and obtain marketing approvals from the United States (“U.S.”) Food and Drug Administration (“FDA”) and other regulatory authorities, including the European Medicines Agency (“EMA”), for our ATEVs and product candidates;</w:t>
      </w:r>
    </w:p>
    <w:p>
      <w:pPr>
        <w:spacing w:after="0" w:line="73" w:lineRule="exact"/>
        <w:rPr>
          <w:rFonts w:ascii="Times New Roman" w:cs="Times New Roman" w:eastAsia="Times New Roman" w:hAnsi="Times New Roman"/>
          <w:sz w:val="18"/>
          <w:szCs w:val="18"/>
          <w:color w:val="231F20"/>
        </w:rPr>
      </w:pPr>
    </w:p>
    <w:p>
      <w:pPr>
        <w:ind w:left="640" w:right="400" w:hanging="316"/>
        <w:spacing w:after="0" w:line="271" w:lineRule="auto"/>
        <w:tabs>
          <w:tab w:leader="none" w:pos="63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design, initiate and successfully complete clinical trials and other studies for our product candidates and our plans and expectations regarding our ongoing or planned clinical trials, including for our V007 and V012 Phase 3 clinical trials;</w:t>
      </w:r>
    </w:p>
    <w:p>
      <w:pPr>
        <w:spacing w:after="0" w:line="61"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outcome of our ongoing discussions with the FDA concerning the design of our clinical trials;</w:t>
      </w:r>
    </w:p>
    <w:p>
      <w:pPr>
        <w:spacing w:after="0" w:line="11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anticipated growth rate and market opportunities;</w:t>
      </w:r>
    </w:p>
    <w:p>
      <w:pPr>
        <w:spacing w:after="0" w:line="11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use our proprietary scientific technology platform to build a pipeline of additional product candidates;</w:t>
      </w:r>
    </w:p>
    <w:p>
      <w:pPr>
        <w:spacing w:after="0" w:line="11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characteristics and performance of our ATEVs;</w:t>
      </w:r>
    </w:p>
    <w:p>
      <w:pPr>
        <w:spacing w:after="0" w:line="110" w:lineRule="exact"/>
        <w:rPr>
          <w:rFonts w:ascii="Times New Roman" w:cs="Times New Roman" w:eastAsia="Times New Roman" w:hAnsi="Times New Roman"/>
          <w:sz w:val="18"/>
          <w:szCs w:val="18"/>
          <w:color w:val="231F20"/>
        </w:rPr>
      </w:pPr>
    </w:p>
    <w:p>
      <w:pPr>
        <w:ind w:left="640" w:right="500" w:hanging="316"/>
        <w:spacing w:after="0" w:line="271" w:lineRule="auto"/>
        <w:tabs>
          <w:tab w:leader="none" w:pos="63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regarding our strategic partnership with Fresenius Medical Care Holdings, Inc. (“Fresenius Medical Care”) to sell, market and distribute our 6 millimeter ATEV for certain specified indications and in specified markets, if approved by regulatory authorities;</w:t>
      </w:r>
    </w:p>
    <w:p>
      <w:pPr>
        <w:spacing w:after="0" w:line="61" w:lineRule="exact"/>
        <w:rPr>
          <w:rFonts w:ascii="Times New Roman" w:cs="Times New Roman" w:eastAsia="Times New Roman" w:hAnsi="Times New Roman"/>
          <w:sz w:val="18"/>
          <w:szCs w:val="18"/>
          <w:color w:val="231F20"/>
        </w:rPr>
      </w:pPr>
    </w:p>
    <w:p>
      <w:pPr>
        <w:ind w:left="640" w:right="280" w:hanging="316"/>
        <w:spacing w:after="0" w:line="271" w:lineRule="auto"/>
        <w:tabs>
          <w:tab w:leader="none" w:pos="63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performance of other third parties on which we rely, including our third-party manufacturers, our licensors, our suppliers and the organizations conducting our clinical trials;</w:t>
      </w:r>
    </w:p>
    <w:p>
      <w:pPr>
        <w:spacing w:after="0" w:line="61" w:lineRule="exact"/>
        <w:rPr>
          <w:rFonts w:ascii="Times New Roman" w:cs="Times New Roman" w:eastAsia="Times New Roman" w:hAnsi="Times New Roman"/>
          <w:sz w:val="18"/>
          <w:szCs w:val="18"/>
          <w:color w:val="231F20"/>
        </w:rPr>
      </w:pPr>
    </w:p>
    <w:p>
      <w:pPr>
        <w:ind w:left="640" w:right="360" w:hanging="316"/>
        <w:spacing w:after="0" w:line="271" w:lineRule="auto"/>
        <w:tabs>
          <w:tab w:leader="none" w:pos="63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61"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maintain the confidentiality of our trade secrets, particularly with respect to our manufacturing process;</w:t>
      </w: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right="240" w:hanging="316"/>
        <w:spacing w:after="0" w:line="271" w:lineRule="auto"/>
        <w:tabs>
          <w:tab w:leader="none" w:pos="63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compliance with applicable laws and regulatory requirements, including FDA regulations, healthcare laws and regulations, and anti-corruption laws;</w:t>
      </w:r>
    </w:p>
    <w:p>
      <w:pPr>
        <w:spacing w:after="0" w:line="61" w:lineRule="exact"/>
        <w:rPr>
          <w:rFonts w:ascii="Times New Roman" w:cs="Times New Roman" w:eastAsia="Times New Roman" w:hAnsi="Times New Roman"/>
          <w:sz w:val="18"/>
          <w:szCs w:val="18"/>
          <w:color w:val="231F20"/>
        </w:rPr>
      </w:pPr>
    </w:p>
    <w:p>
      <w:pPr>
        <w:ind w:left="640" w:right="260" w:hanging="316"/>
        <w:spacing w:after="0" w:line="301" w:lineRule="auto"/>
        <w:tabs>
          <w:tab w:leader="none" w:pos="635" w:val="left"/>
        </w:tabs>
        <w:numPr>
          <w:ilvl w:val="0"/>
          <w:numId w:val="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involvement in existing or potential claims and legal proceedings, and the merits, potential outcomes and effects of both existing and potential claims and legal proceedings, as well as regulatory determinations, on our business, prospects, financial condition and results of operations;</w:t>
      </w:r>
    </w:p>
    <w:p>
      <w:pPr>
        <w:spacing w:after="0" w:line="118" w:lineRule="exact"/>
        <w:rPr>
          <w:rFonts w:ascii="Times New Roman" w:cs="Times New Roman" w:eastAsia="Times New Roman" w:hAnsi="Times New Roman"/>
          <w:sz w:val="17"/>
          <w:szCs w:val="17"/>
          <w:color w:val="231F20"/>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attract, retain and motivate qualified personnel and to manage our growth effectively;</w:t>
      </w:r>
    </w:p>
    <w:p>
      <w:pPr>
        <w:spacing w:after="0" w:line="176" w:lineRule="exact"/>
        <w:rPr>
          <w:rFonts w:ascii="Times New Roman" w:cs="Times New Roman" w:eastAsia="Times New Roman" w:hAnsi="Times New Roman"/>
          <w:sz w:val="18"/>
          <w:szCs w:val="18"/>
          <w:color w:val="auto"/>
        </w:rPr>
      </w:pPr>
    </w:p>
    <w:p>
      <w:pPr>
        <w:ind w:left="640" w:right="640" w:hanging="316"/>
        <w:spacing w:after="0" w:line="271"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how long our existing cash and cash equivalents will be sufficient to fund our anticipated operating expenses, capital expenditures and debt service obligations;</w:t>
      </w:r>
    </w:p>
    <w:p>
      <w:pPr>
        <w:spacing w:after="0" w:line="6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future financial performance and capital requirements, including our ability to raise additional capital in the future;</w:t>
      </w:r>
    </w:p>
    <w:p>
      <w:pPr>
        <w:spacing w:after="0" w:line="11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implement and maintain effective internal controls;</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liquidity and trading of our securities; and</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overall global economy and increasing interest rates and inflation on our business.</w:t>
      </w:r>
    </w:p>
    <w:p>
      <w:pPr>
        <w:spacing w:after="0" w:line="177"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caution readers not to place undue reliance on any such forward-looking statements, which speak only as of the date they are made. Any forward-looking statements are based on information current as of the date of this Annual Report on Form 10-K and speak only as of the date on which such statements are made. Actual events or results may differ materially from the results, plans, intentions or expectations anticipated in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of this Annual Report on Form 10-K titled “Risk Factors” and “Management’s Discussion and Analysis of Financial Condition and Results of Operations.”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Business 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Executive Summary</w:t>
      </w:r>
    </w:p>
    <w:p>
      <w:pPr>
        <w:spacing w:after="0" w:line="181"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 xml:space="preserve">Humacyte, Inc. is a commercial-stage biotechnology platform company developing universally implantable, bioengineered human tissues at commercial scale, and in the first quarter of 2025 commenced the United States commercial launch of our first FDA-approved product. 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w:t>
      </w:r>
      <w:r>
        <w:rPr>
          <w:rFonts w:ascii="Times New Roman" w:cs="Times New Roman" w:eastAsia="Times New Roman" w:hAnsi="Times New Roman"/>
          <w:sz w:val="18"/>
          <w:szCs w:val="18"/>
          <w:color w:val="231F20"/>
        </w:rPr>
        <w:t>and conditions across a range of anatomic locations in multiple therapeutic areas.</w:t>
      </w:r>
    </w:p>
    <w:p>
      <w:pPr>
        <w:spacing w:after="0" w:line="151" w:lineRule="exact"/>
        <w:rPr>
          <w:sz w:val="20"/>
          <w:szCs w:val="20"/>
          <w:color w:val="auto"/>
        </w:rPr>
      </w:pPr>
    </w:p>
    <w:p>
      <w:pPr>
        <w:ind w:right="160" w:firstLine="318"/>
        <w:spacing w:after="0" w:line="237" w:lineRule="auto"/>
        <w:rPr>
          <w:sz w:val="20"/>
          <w:szCs w:val="20"/>
          <w:color w:val="auto"/>
        </w:rPr>
      </w:pPr>
      <w:r>
        <w:rPr>
          <w:rFonts w:ascii="Times New Roman" w:cs="Times New Roman" w:eastAsia="Times New Roman" w:hAnsi="Times New Roman"/>
          <w:sz w:val="18"/>
          <w:szCs w:val="18"/>
          <w:color w:val="auto"/>
        </w:rPr>
        <w:t>We are initially using our proprietary, scientific technology platform to engineer and manufacture acellular tissue engineered vessels, or ATEVs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On December 19, 2024, the FDA granted full approval for the ATEV under the brand name </w:t>
      </w:r>
      <w:r>
        <w:rPr>
          <w:rFonts w:ascii="Times New Roman" w:cs="Times New Roman" w:eastAsia="Times New Roman" w:hAnsi="Times New Roman"/>
          <w:sz w:val="18"/>
          <w:szCs w:val="18"/>
          <w:color w:val="231F20"/>
        </w:rPr>
        <w:t>Symvess</w:t>
      </w:r>
      <w:r>
        <w:rPr>
          <w:rFonts w:ascii="Times New Roman" w:cs="Times New Roman" w:eastAsia="Times New Roman" w:hAnsi="Times New Roman"/>
          <w:sz w:val="18"/>
          <w:szCs w:val="18"/>
          <w:color w:val="auto"/>
        </w:rPr>
        <w:t>™ for use in adults as a vascular conduit for extremity arterial injury when urgent revascularization is needed to avoid imminent limb loss, and autologous vein graft is not feasible. Our ATEVs are designed to be easily implanted into any patient without inducing a foreig</w:t>
      </w:r>
      <w:r>
        <w:rPr>
          <w:rFonts w:ascii="Times New Roman" w:cs="Times New Roman" w:eastAsia="Times New Roman" w:hAnsi="Times New Roman"/>
          <w:sz w:val="18"/>
          <w:szCs w:val="18"/>
          <w:color w:val="231F20"/>
        </w:rPr>
        <w:t>n body response or leading to immune rejection. We are developing a portfolio, or “cabinet”,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ATEVs with varying diameters and lengths. The ATEV cabinet is initially targeting the vascular repair, reconstruction and replacement market, including vascular trauma, arteriovenous (“AV”) access for hemodialysis, and peripheral artery disease (“PAD”). We are also developing the ATEV for coronary artery bypass grafting (“CABG”) and pediatric heart surgery. Over the longer term, we are developing our ATEV for the delivery of cellular therapies, including pancreatic islet cell transplantation to treat Type 1 diabetes (our BioVascular Pancreas</w:t>
      </w:r>
      <w:r>
        <w:rPr>
          <w:rFonts w:ascii="Times New Roman" w:cs="Times New Roman" w:eastAsia="Times New Roman" w:hAnsi="Times New Roman"/>
          <w:sz w:val="22"/>
          <w:szCs w:val="22"/>
          <w:color w:val="231F20"/>
          <w:vertAlign w:val="superscript"/>
        </w:rPr>
        <w:t>TM</w:t>
      </w:r>
      <w:r>
        <w:rPr>
          <w:rFonts w:ascii="Times New Roman" w:cs="Times New Roman" w:eastAsia="Times New Roman" w:hAnsi="Times New Roman"/>
          <w:sz w:val="18"/>
          <w:szCs w:val="18"/>
          <w:color w:val="231F20"/>
        </w:rPr>
        <w:t xml:space="preserve"> or “BVP”). We will continue to explore the application of our technology across a broad range of markets and indications including the development of urinary conduit, trachea, esophagus and other novel cell delivery systems.</w:t>
      </w:r>
    </w:p>
    <w:p>
      <w:pPr>
        <w:spacing w:after="0" w:line="16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For the ATEV, 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complications such as amputation and reperfusion injury. In addition, in many instances of vascular trauma the patient may not have adequate vein available, or the time between injury and treatment is too long to make autologous graft repair feasible. Synthetic grafts are often contraindicated in the setting of vascular trauma due to wound contamination that contributes to higher infection risk that can lead to prolonged hospitalization and limb loss. Given the competitive advantages our ATEVs are designed to have over existing vascular substitutes, we believe that ATEVs have the potential to become the standard of care and lead to improved patient outcomes and lower healthcare costs.</w:t>
      </w:r>
    </w:p>
    <w:p>
      <w:pPr>
        <w:spacing w:after="0" w:line="151"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As of December 31, 2024, our ATEVs have been implanted in approximately 601 patients. In addition to vascular trauma, we and our collaborators are currently conducting Phase 3 and Phase 2 trials of our 6 millimeter ATEV in AV access for hemodialysis and PAD. We were granted Fast Track designation by the FDA for our 6 millimeter ATEV for use in AV access for hemodialysis in 2014. We also received the first Regenerative Medicine Advanced Therapy (“RMAT”) designation from the FDA, for the creation of vascular access for performing hemodialysis, in March 2017. In May 2023, we were granted the RMAT designation for the ATEV for urgent arterial repair following extremity vascular trauma, and in June 2024, we were granted the RMAT designation for the ATEV for patients with advanced PAD. In addition, in 2018 our ATEV product candidate was assigned a priority designation by the Secretary of Defense under Public Law 115-92, enacted to expedite the FDA’s review of products that are intended to diagnose, treat or prevent serious or life-threatening conditions facing American military personnel. In September 2023, we announced positive topline results from our V005 Phase 2/3 trial in vascular trauma, and in December 2023 we filed a Biologics License Application (“BLA”) for urgent arterial repair following extremity vascular trauma when synthetic graft is not indicated, and autologous vein use is not feasible. In February 2024, the FDA accepted the BLA filing, granted Priority Review and set a Prescription Drug User Fee</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 xml:space="preserve">Act (“PDUFA”) date, the FDA action date for its regulatory decision regarding the BLA, of August 10, 2024. </w:t>
      </w:r>
      <w:r>
        <w:rPr>
          <w:rFonts w:ascii="Times New Roman" w:cs="Times New Roman" w:eastAsia="Times New Roman" w:hAnsi="Times New Roman"/>
          <w:sz w:val="18"/>
          <w:szCs w:val="18"/>
          <w:color w:val="000000"/>
        </w:rPr>
        <w:t>On August 9, 2024, the FDA informed us that it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required additional time to complete its review of the BLA for the vascular trauma indication. On December 19, 2024, the FDA granted full approval for </w:t>
      </w:r>
      <w:r>
        <w:rPr>
          <w:rFonts w:ascii="Times New Roman" w:cs="Times New Roman" w:eastAsia="Times New Roman" w:hAnsi="Times New Roman"/>
          <w:sz w:val="18"/>
          <w:szCs w:val="18"/>
          <w:color w:val="231F20"/>
        </w:rPr>
        <w:t xml:space="preserve">Symvess </w:t>
      </w:r>
      <w:r>
        <w:rPr>
          <w:rFonts w:ascii="Times New Roman" w:cs="Times New Roman" w:eastAsia="Times New Roman" w:hAnsi="Times New Roman"/>
          <w:sz w:val="18"/>
          <w:szCs w:val="18"/>
          <w:color w:val="000000"/>
        </w:rPr>
        <w:t>(acellular tissue engineered vessel-tyod) for use in adults as a vascular conduit for extremity arterial injury when urgent revascularization is needed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avoid imminent limb loss, and autologous vein graft is not feasible.</w:t>
      </w:r>
    </w:p>
    <w:p>
      <w:pPr>
        <w:spacing w:after="0" w:line="143" w:lineRule="exact"/>
        <w:rPr>
          <w:sz w:val="20"/>
          <w:szCs w:val="20"/>
          <w:color w:val="auto"/>
        </w:rPr>
      </w:pPr>
    </w:p>
    <w:p>
      <w:pPr>
        <w:jc w:val="both"/>
        <w:ind w:right="200" w:firstLine="318"/>
        <w:spacing w:after="0" w:line="254" w:lineRule="auto"/>
        <w:rPr>
          <w:sz w:val="20"/>
          <w:szCs w:val="20"/>
          <w:color w:val="auto"/>
        </w:rPr>
      </w:pPr>
      <w:r>
        <w:rPr>
          <w:rFonts w:ascii="Times New Roman" w:cs="Times New Roman" w:eastAsia="Times New Roman" w:hAnsi="Times New Roman"/>
          <w:sz w:val="18"/>
          <w:szCs w:val="18"/>
          <w:color w:val="231F20"/>
        </w:rPr>
        <w:t>In April 2023, we announced completion of enrollment of our V007 Phase 3 trial of the ATEV for use in AV access for hemodialysis. In July 2024, we announced positive topline results from our V007 Phase 3 trial, where the ATEV met the co-primary endpoints in the study. Dependent upon interim results from our ongoing V012 Phase 3 trial of the ATEV for use in AV access for hemodialysis in women, we plan to submit a supplemental BLA for the ATEV to the FDA for an indication in AV access for hemodialysis in the second half of 2026.</w:t>
      </w:r>
    </w:p>
    <w:p>
      <w:pPr>
        <w:spacing w:after="0" w:line="143" w:lineRule="exact"/>
        <w:rPr>
          <w:sz w:val="20"/>
          <w:szCs w:val="20"/>
          <w:color w:val="auto"/>
        </w:rPr>
      </w:pPr>
    </w:p>
    <w:p>
      <w:pPr>
        <w:ind w:right="300" w:firstLine="318"/>
        <w:spacing w:after="0" w:line="251" w:lineRule="auto"/>
        <w:rPr>
          <w:sz w:val="20"/>
          <w:szCs w:val="20"/>
          <w:color w:val="auto"/>
        </w:rPr>
      </w:pPr>
      <w:r>
        <w:rPr>
          <w:rFonts w:ascii="Times New Roman" w:cs="Times New Roman" w:eastAsia="Times New Roman" w:hAnsi="Times New Roman"/>
          <w:sz w:val="18"/>
          <w:szCs w:val="18"/>
          <w:color w:val="231F20"/>
        </w:rPr>
        <w:t>We have developed a novel paradigm for manufacturing human tissues that is intended to mimic key aspects of human physiology. We have an 83,000 square foot bioprocessing facility housing our modular manufacturing process with the ability to manufacture ATEVs of different diameters and lengths at commercial scale. As we continue to expand production, we believe we will have the ability to take advantage of economies of scale to reduce costs of production. We believe our established, controlled manufacturing process demonstrates a significant competitive advantage in the regenerative medicine market.</w:t>
      </w:r>
    </w:p>
    <w:p>
      <w:pPr>
        <w:spacing w:after="0" w:line="162" w:lineRule="exact"/>
        <w:rPr>
          <w:sz w:val="20"/>
          <w:szCs w:val="20"/>
          <w:color w:val="auto"/>
        </w:rPr>
      </w:pPr>
    </w:p>
    <w:p>
      <w:pPr>
        <w:ind w:right="80" w:firstLine="318"/>
        <w:spacing w:after="0" w:line="254" w:lineRule="auto"/>
        <w:rPr>
          <w:sz w:val="20"/>
          <w:szCs w:val="20"/>
          <w:color w:val="auto"/>
        </w:rPr>
      </w:pPr>
      <w:r>
        <w:rPr>
          <w:rFonts w:ascii="Times New Roman" w:cs="Times New Roman" w:eastAsia="Times New Roman" w:hAnsi="Times New Roman"/>
          <w:sz w:val="18"/>
          <w:szCs w:val="18"/>
          <w:color w:val="231F20"/>
        </w:rPr>
        <w:t>Our technology is protected by our patent portfolio, which includes certain patents licensed from parties as well as intellectual property generated internally at Humacyte. Our patent portfolio is comprised of 15 families of patents, many of which generally relate to the scaffolds used to make Symvess and our product candidates, the composition of Symvess and our product candidates and systems and methods of manufacturing Symvess and our product candidates. For more information, see “— Intellectual Property” below.</w:t>
      </w:r>
    </w:p>
    <w:p>
      <w:pPr>
        <w:spacing w:after="0" w:line="143" w:lineRule="exact"/>
        <w:rPr>
          <w:sz w:val="20"/>
          <w:szCs w:val="20"/>
          <w:color w:val="auto"/>
        </w:rPr>
      </w:pPr>
    </w:p>
    <w:p>
      <w:pPr>
        <w:ind w:right="400" w:firstLine="318"/>
        <w:spacing w:after="0" w:line="271" w:lineRule="auto"/>
        <w:rPr>
          <w:sz w:val="20"/>
          <w:szCs w:val="20"/>
          <w:color w:val="auto"/>
        </w:rPr>
      </w:pPr>
      <w:r>
        <w:rPr>
          <w:rFonts w:ascii="Times New Roman" w:cs="Times New Roman" w:eastAsia="Times New Roman" w:hAnsi="Times New Roman"/>
          <w:sz w:val="18"/>
          <w:szCs w:val="18"/>
          <w:color w:val="231F20"/>
        </w:rPr>
        <w:t>We intend to continue to shape our commercial and distribution strategy by indication and pursue collaborations with partners in markets where such partners provide strategic opportunities in launching our product candidates and enabling access to specific patient populations.</w:t>
      </w:r>
    </w:p>
    <w:p>
      <w:pPr>
        <w:spacing w:after="0" w:line="128" w:lineRule="exact"/>
        <w:rPr>
          <w:sz w:val="20"/>
          <w:szCs w:val="20"/>
          <w:color w:val="auto"/>
        </w:rPr>
      </w:pPr>
    </w:p>
    <w:p>
      <w:pPr>
        <w:jc w:val="both"/>
        <w:ind w:right="100" w:firstLine="318"/>
        <w:spacing w:after="0" w:line="273" w:lineRule="auto"/>
        <w:rPr>
          <w:sz w:val="20"/>
          <w:szCs w:val="20"/>
          <w:color w:val="auto"/>
        </w:rPr>
      </w:pPr>
      <w:r>
        <w:rPr>
          <w:rFonts w:ascii="Times New Roman" w:cs="Times New Roman" w:eastAsia="Times New Roman" w:hAnsi="Times New Roman"/>
          <w:sz w:val="17"/>
          <w:szCs w:val="17"/>
          <w:color w:val="231F20"/>
        </w:rPr>
        <w:t>Our world-class senior management team and board of directors will be instrumental in helping us achieve our goals. Our President and Chief Executive Officer, Laura Niklason M.D., PhD., who founded Legacy Humacyte (as defined below), is an internationally respected physician scientist and a world leader in regenerative medicine technologies. Dr. Niklason is also a member of three national academies — Inventors, Medicine and Engineering. Our current Chair of the Board is Kathleen Sebelius, the former Secretary of the Department of Health and Human Services (“HHS”), and the former Governor of Kansas.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Merger</w:t>
      </w:r>
    </w:p>
    <w:p>
      <w:pPr>
        <w:spacing w:after="0" w:line="181"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231F20"/>
        </w:rPr>
        <w:t>On August 26, 2021 (the “Closing Date”), Humacyte, Inc. (“Legacy Humacyte”), a Delaware corporation, and Alpha Healthcare Acquisition Corp. (“AHAC”), a Delaware corporation, consummated a merger pursuant to that certain Business Combination Agreement, dated as of February 17, 2021 (the “Merger Agreement”), by and among Legacy Humacyte, AHAC and Hunter Merger Sub (“Merger Sub”), a Delaware corporation and wholly owned subsidiary of AHAC. As contemplated by the Merger Agreement, Merger Sub merged with and into Legacy Humacyte, with Legacy Humacyte continuing as the surviving corporation and as a wholly owned subsidiary of AHAC (the “Merger” and collectively with the other transactions described in the Merger Agreement, the “Reverse Recapitalization”). On the Closing Date, AHAC changed its name to Humacyte, Inc. and Legacy Humacyte changed its name to Humacyte Global, Inc.</w:t>
      </w:r>
    </w:p>
    <w:p>
      <w:pPr>
        <w:spacing w:after="0" w:line="151" w:lineRule="exact"/>
        <w:rPr>
          <w:sz w:val="20"/>
          <w:szCs w:val="20"/>
          <w:color w:val="auto"/>
        </w:rPr>
      </w:pPr>
    </w:p>
    <w:p>
      <w:pPr>
        <w:jc w:val="both"/>
        <w:ind w:right="280" w:firstLine="318"/>
        <w:spacing w:after="0" w:line="258" w:lineRule="auto"/>
        <w:rPr>
          <w:sz w:val="20"/>
          <w:szCs w:val="20"/>
          <w:color w:val="auto"/>
        </w:rPr>
      </w:pPr>
      <w:r>
        <w:rPr>
          <w:rFonts w:ascii="Times New Roman" w:cs="Times New Roman" w:eastAsia="Times New Roman" w:hAnsi="Times New Roman"/>
          <w:sz w:val="18"/>
          <w:szCs w:val="18"/>
          <w:color w:val="231F20"/>
        </w:rPr>
        <w:t>Unless the context indicates otherwise, references in this Annual Report on Form 10-K to the “Company,” “Humacyte,” “we,” “us,” “our” and similar terms refer to Humacyte, Inc. (formerly known as Alpha Healthcare Acquisition Corp.) and its consolidated subsidiaries (including Humacyte Global, Inc.) following the Merger. References to “AHAC” refer to Alpha Healthcare Acquisition Corp. prior to the Merger.</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Approach</w:t>
      </w:r>
    </w:p>
    <w:p>
      <w:pPr>
        <w:spacing w:after="0" w:line="181" w:lineRule="exact"/>
        <w:rPr>
          <w:sz w:val="20"/>
          <w:szCs w:val="20"/>
          <w:color w:val="auto"/>
        </w:rPr>
      </w:pPr>
    </w:p>
    <w:p>
      <w:pPr>
        <w:jc w:val="both"/>
        <w:ind w:right="160" w:firstLine="318"/>
        <w:spacing w:after="0" w:line="258" w:lineRule="auto"/>
        <w:rPr>
          <w:sz w:val="20"/>
          <w:szCs w:val="20"/>
          <w:color w:val="auto"/>
        </w:rPr>
      </w:pPr>
      <w:r>
        <w:rPr>
          <w:rFonts w:ascii="Times New Roman" w:cs="Times New Roman" w:eastAsia="Times New Roman" w:hAnsi="Times New Roman"/>
          <w:sz w:val="18"/>
          <w:szCs w:val="18"/>
          <w:color w:val="231F20"/>
        </w:rPr>
        <w:t>We have developed an approach that relies on two key complementary elements to address the significant market opportunity for the global treatment of patients in need of vascular replacement, repair and reconstruction, vascular access for dialysis and potential future indications including complex tissue and organ replacement and treatment of Type-1 diabetes:</w:t>
      </w:r>
    </w:p>
    <w:p>
      <w:pPr>
        <w:spacing w:after="0" w:line="140" w:lineRule="exact"/>
        <w:rPr>
          <w:sz w:val="20"/>
          <w:szCs w:val="20"/>
          <w:color w:val="auto"/>
        </w:rPr>
      </w:pPr>
    </w:p>
    <w:p>
      <w:pPr>
        <w:ind w:left="640" w:right="320" w:hanging="316"/>
        <w:spacing w:after="0" w:line="271" w:lineRule="auto"/>
        <w:tabs>
          <w:tab w:leader="none" w:pos="63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proprietary scientific and engineering technology platform allows us to grow human tissues, which are ultimately decellularized and therefore expected to be non-immunogenic and universally implantable; and</w:t>
      </w:r>
    </w:p>
    <w:p>
      <w:pPr>
        <w:spacing w:after="0" w:line="141"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novel, scalable manufacturing paradigm is designed to allow us to produce thousands of ATEVs per year with the ability to expand manufacturing capacity and breadth to meet expected future global demand and the planned expansion of our pipeline of product candidates.</w:t>
      </w:r>
    </w:p>
    <w:p>
      <w:pPr>
        <w:spacing w:after="0" w:line="128" w:lineRule="exact"/>
        <w:rPr>
          <w:sz w:val="20"/>
          <w:szCs w:val="20"/>
          <w:color w:val="auto"/>
        </w:rPr>
      </w:pPr>
    </w:p>
    <w:p>
      <w:pPr>
        <w:ind w:right="260" w:firstLine="318"/>
        <w:spacing w:after="0" w:line="271" w:lineRule="auto"/>
        <w:rPr>
          <w:sz w:val="20"/>
          <w:szCs w:val="20"/>
          <w:color w:val="auto"/>
        </w:rPr>
      </w:pPr>
      <w:r>
        <w:rPr>
          <w:rFonts w:ascii="Times New Roman" w:cs="Times New Roman" w:eastAsia="Times New Roman" w:hAnsi="Times New Roman"/>
          <w:sz w:val="18"/>
          <w:szCs w:val="18"/>
          <w:color w:val="231F20"/>
        </w:rPr>
        <w:t>Over time, we intend to develop a readily available “cabinet” of ATEVs of varying diameters and lengths to address the significant unmet needs across multiple potential indications in vascular repair, reconstruction and replacement.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Proprietary Scientific Technology Platform</w:t>
      </w:r>
    </w:p>
    <w:p>
      <w:pPr>
        <w:spacing w:after="0" w:line="194" w:lineRule="exact"/>
        <w:rPr>
          <w:sz w:val="20"/>
          <w:szCs w:val="20"/>
          <w:color w:val="auto"/>
        </w:rPr>
      </w:pPr>
    </w:p>
    <w:p>
      <w:pPr>
        <w:ind w:right="140" w:firstLine="318"/>
        <w:spacing w:after="0" w:line="248" w:lineRule="auto"/>
        <w:rPr>
          <w:sz w:val="20"/>
          <w:szCs w:val="20"/>
          <w:color w:val="auto"/>
        </w:rPr>
      </w:pPr>
      <w:r>
        <w:rPr>
          <w:rFonts w:ascii="Times New Roman" w:cs="Times New Roman" w:eastAsia="Times New Roman" w:hAnsi="Times New Roman"/>
          <w:sz w:val="18"/>
          <w:szCs w:val="18"/>
          <w:color w:val="231F20"/>
        </w:rPr>
        <w:t>Our proprietary scientific technology platform uses primary human aortic vascular cells from a working cell stock that have been isolated from donor tissues and cryopreserved. The working cell stock is expanded using traditional cell culture techniques, and the cells are transferred onto a biocompatible, biodegradable polymer mesh within a flexible, single-use bioreactor bag. Over the course of weeks, the cells proliferate and build extracellular matrix while the polymer mesh degrades. The resulting bioengineered vessel is comprised of the aortic vascular cells and their deposited extracellular matrix. After completion of the culture period, we decellularize the bioengineered vessel using a proprietary combination of solutions. The resulting ATEV retains the extracellular matrix constituents and, therefore, the biomechanical properties of the bioengineered vessel, but is cleansed of the cells and cellular components that could induce a foreign body response or immune rejection following implantation. Our functionally closed system allows for the ATEV to be grown, decellularized and ultimately shipped within the same flexible bioreactor bag. Our ATEVs are designed to be shipped to hospitals, trauma centers and outpatient surgical settings, where they can then be refrigerated for immediate use by removing each ATEV from its packaging.</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following image summarizes key information about our proprietary scientific technology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123825</wp:posOffset>
            </wp:positionV>
            <wp:extent cx="4916170" cy="2386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16170" cy="2386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Novel Manufacturing Paradigm</w:t>
      </w:r>
    </w:p>
    <w:p>
      <w:pPr>
        <w:spacing w:after="0" w:line="181" w:lineRule="exact"/>
        <w:rPr>
          <w:sz w:val="20"/>
          <w:szCs w:val="20"/>
          <w:color w:val="auto"/>
        </w:rPr>
      </w:pPr>
    </w:p>
    <w:p>
      <w:pPr>
        <w:ind w:firstLine="318"/>
        <w:spacing w:after="0" w:line="242" w:lineRule="auto"/>
        <w:rPr>
          <w:sz w:val="20"/>
          <w:szCs w:val="20"/>
          <w:color w:val="auto"/>
        </w:rPr>
      </w:pPr>
      <w:r>
        <w:rPr>
          <w:rFonts w:ascii="Times New Roman" w:cs="Times New Roman" w:eastAsia="Times New Roman" w:hAnsi="Times New Roman"/>
          <w:sz w:val="18"/>
          <w:szCs w:val="18"/>
          <w:color w:val="auto"/>
        </w:rPr>
        <w:t>We have developed a novel paradigm for manufacturing human tissues that is intended to mimic key aspects of human physiology. Our proprietary manufacturing process was designed with a modular approach allowing us to produce ATEVs in smaller batches for clinical trials and scale out to larger batches for commercial manufacturing. In 2021 we commenced supplying our ongoing clinical trials with ATEVs produced in our current, commercial-scale LUNA200</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system, which consists of 20 growth drawers per production unit for a total of 200 ATEVs per batch. Each growth drawer is capable of producing ten 42cm ATEVs, each of which is contained within an individual bioreactor bag. Inside a LUNA200, a tubing network connects all ATEVs, allowing the entire system to share nutritive media. In this way, a single LUNA200 can produce up to 200 ATEVs (42cm in length) per batch while maintaining the critical operating parameters, such as biomechanical pulsing, that affect growth. The FDA inspected our manufacturing facility in April 2024 as part of its review and approval of our BLA in extremity vascular trauma, and we are using this facility to provide product for the United States commercial launch in that indication which commenced in the first quarter of 2025.</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Our current 83,000 square foot manufacturing facility has space to further expand manufacturing capacity as needed to over 40 LUNA200 systems.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Currently, eight LUNA200 systems are installed and 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121285</wp:posOffset>
            </wp:positionV>
            <wp:extent cx="5647690" cy="2050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7690" cy="205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We believe that the LUNA200 can produce ATEVs in diameter sizes from 3mm to 10mm and lengths from 10cm to 42cm, making the equipment suitable for the varied array of product candidates in our pipeline. We currently intend to introduce a 13cm-long ATEV line extension after the commercial launch of the 42cm ATEV, for surgeries that require shorter segments of ATEV in the setting of vascular trauma and repair. Using our existing LUNA200 manufacturing equipment without modification, we believe we have the ability to generate 400 ATEVs (13cm in length) or 200 ATEVs (42cm in length) per manufactured batch. We have designed our manufacturing system to be functionally closed, to utilize single-use disposable materials with aseptic connections, and to be highly automated, which allows us to control and maximize ATEV production.</w:t>
      </w:r>
    </w:p>
    <w:p>
      <w:pPr>
        <w:spacing w:after="0" w:line="162" w:lineRule="exact"/>
        <w:rPr>
          <w:sz w:val="20"/>
          <w:szCs w:val="20"/>
          <w:color w:val="auto"/>
        </w:rPr>
      </w:pPr>
    </w:p>
    <w:p>
      <w:pPr>
        <w:jc w:val="center"/>
        <w:ind w:right="60"/>
        <w:spacing w:after="0" w:line="280" w:lineRule="auto"/>
        <w:rPr>
          <w:sz w:val="20"/>
          <w:szCs w:val="20"/>
          <w:color w:val="auto"/>
        </w:rPr>
      </w:pPr>
      <w:r>
        <w:rPr>
          <w:rFonts w:ascii="Times New Roman" w:cs="Times New Roman" w:eastAsia="Times New Roman" w:hAnsi="Times New Roman"/>
          <w:sz w:val="17"/>
          <w:szCs w:val="17"/>
          <w:color w:val="231F20"/>
        </w:rPr>
        <w:t>Based on observations to date, the ATEV has withstood maximal pressures that are comparable to those reported for native arteries. For example, the human aorta is reported to have rupture strengths around 1,400 mmHg, while human cerebral arteries rupture around 1,800 mmHg. We have observed ATEVs withstanding maximal pressures of approximately 3,200 mmHg before rupturing, making their mechanical properties on par with native human blood vessels.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Market Opportunity</w:t>
      </w:r>
    </w:p>
    <w:p>
      <w:pPr>
        <w:spacing w:after="0" w:line="181" w:lineRule="exact"/>
        <w:rPr>
          <w:sz w:val="20"/>
          <w:szCs w:val="20"/>
          <w:color w:val="auto"/>
        </w:rPr>
      </w:pPr>
    </w:p>
    <w:p>
      <w:pPr>
        <w:ind w:right="120" w:firstLine="318"/>
        <w:spacing w:after="0" w:line="273" w:lineRule="auto"/>
        <w:rPr>
          <w:sz w:val="20"/>
          <w:szCs w:val="20"/>
          <w:color w:val="auto"/>
        </w:rPr>
      </w:pPr>
      <w:r>
        <w:rPr>
          <w:rFonts w:ascii="Times New Roman" w:cs="Times New Roman" w:eastAsia="Times New Roman" w:hAnsi="Times New Roman"/>
          <w:sz w:val="17"/>
          <w:szCs w:val="17"/>
          <w:color w:val="231F20"/>
        </w:rPr>
        <w:t>We are a biotechnology company that has commenced the U.S. commercial launch of one FDA-approved product, with Phase 3 clinical trials in two indications and a strong pipeline for additional products and indications. Additionally, we have had significant interest from surgeons to use our ATEV in life and limb saving surgeries as demonstrated by their requests to the FDA to use our ATEV in multiple expanded access (compassionate use) cases where no alternative was available, as well as requests from Ukrainian surgeons that led to a humanitarian program conducted during the conflict in that country.</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Our Initial Market Opportunity in Vascular Repair, Reconstruction and Replacement</w:t>
      </w:r>
    </w:p>
    <w:p>
      <w:pPr>
        <w:spacing w:after="0" w:line="179" w:lineRule="exact"/>
        <w:rPr>
          <w:sz w:val="20"/>
          <w:szCs w:val="20"/>
          <w:color w:val="auto"/>
        </w:rPr>
      </w:pPr>
    </w:p>
    <w:p>
      <w:pPr>
        <w:ind w:right="140" w:firstLine="318"/>
        <w:spacing w:after="0" w:line="266" w:lineRule="auto"/>
        <w:rPr>
          <w:sz w:val="20"/>
          <w:szCs w:val="20"/>
          <w:color w:val="auto"/>
        </w:rPr>
      </w:pPr>
      <w:r>
        <w:rPr>
          <w:rFonts w:ascii="Times New Roman" w:cs="Times New Roman" w:eastAsia="Times New Roman" w:hAnsi="Times New Roman"/>
          <w:sz w:val="17"/>
          <w:szCs w:val="17"/>
          <w:color w:val="231F20"/>
        </w:rPr>
        <w:t>We believe there is a significant market opportunity for our technology across a number of important clinical areas within vascular reconstruction and replacement including vascular trauma, AV access for hemodialysis, PAD, and adult cardiac surgery. To treat these diseases and conditions, patients often require invasive vascular and cardiovascular surgery, which involves the use of alternative vascular synthetic materials or autologous vessels harvested from elsewhere in the body. For more information about our evaluation of market opportunity, see “Risk Factors — Risks Related to the Development and Commercialization of Our Product Candidates — The sizes of the market opportunities for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124460</wp:posOffset>
            </wp:positionV>
            <wp:extent cx="5445760" cy="2496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45760" cy="249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u w:val="single" w:color="auto"/>
          <w:color w:val="231F20"/>
        </w:rPr>
        <w:t>Vascular Trauma</w:t>
      </w:r>
      <w:r>
        <w:rPr>
          <w:rFonts w:ascii="Times New Roman" w:cs="Times New Roman" w:eastAsia="Times New Roman" w:hAnsi="Times New Roman"/>
          <w:sz w:val="18"/>
          <w:szCs w:val="18"/>
          <w:color w:val="231F20"/>
        </w:rPr>
        <w:t>: Arterial injuries resulting from vascular trauma are common in military and civilian populations, frequently resulting in the loss of life or limb. In military populations, as the rate of battlefield fatalities has been declining due to faster evacuations and more robust protection from body armor, the rate of survivable vascular injuries has been increasing. In civilian populations, trauma injuries are primarily caused by motor vehicle, workplace and sporting accidents, gun violence, mass casualty terrorist attacks, stabbings, blunt trauma, and iatrogenic injuries (injuries caused by medical treatment or examination). We estimate that central or peripheral vascular injuries in civilian patients account for approximately 150,000 of all injuries reported in global trauma patients. Furthermore, these injuries account for greater than 20% of all trauma-related deaths.</w:t>
      </w:r>
    </w:p>
    <w:p>
      <w:pPr>
        <w:spacing w:after="0" w:line="149"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Civilian patients with central or peripheral vascular injuries are estimated to account for approximately 80,000 of all injuries reported in trauma patients in the United States, inclusive of urgent and iatrogenic vascular trauma injuries, and account for greater than 20% of all trauma-related deaths. Based on an analysis of the Definitive Healthcare Claims (DHC) Database 2023, we estimate that approximately 26,000 patients per year will be eligible for the ATEV within the United States (analysis was based on inclusion of patients with major repairs to injuries of the extremities, and the exclusion of patients with vein injuries, injuries to the torso, head, neck, wrist, hand, ankle or foot, or who received ligation or endovascular repair).</w:t>
      </w:r>
    </w:p>
    <w:p>
      <w:pPr>
        <w:spacing w:after="0" w:line="148"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We believe our ATEVs are a promising alternative that can address critical gaps in existing treatment options for acute vascular injuries due to trauma. We have developed our ATEVs with the goal of providing an effective solution in all time-constrained surgical environments and in resource-limited, infection prone civilian and battlefield conditions. The ability to provide immediately available, non-immunogenic, universally implantable human vessels that have low rates of infection represents a clinically significant advantage over existing treatment options. In addition, the Budget Impact Model for the ATEV, published in the </w:t>
      </w:r>
      <w:r>
        <w:rPr>
          <w:rFonts w:ascii="Times New Roman" w:cs="Times New Roman" w:eastAsia="Times New Roman" w:hAnsi="Times New Roman"/>
          <w:sz w:val="18"/>
          <w:szCs w:val="18"/>
          <w:i w:val="1"/>
          <w:iCs w:val="1"/>
          <w:color w:val="auto"/>
        </w:rPr>
        <w:t>Journal of Medical Economics</w:t>
      </w:r>
      <w:r>
        <w:rPr>
          <w:rFonts w:ascii="Times New Roman" w:cs="Times New Roman" w:eastAsia="Times New Roman" w:hAnsi="Times New Roman"/>
          <w:sz w:val="18"/>
          <w:szCs w:val="18"/>
          <w:color w:val="auto"/>
        </w:rPr>
        <w:t xml:space="preserve"> in March 2025, reported that the ATEV was projected to be cost saving for both trauma centers and third-party payors, primarily due to reductions in the costs related to amputations and conduit infections.</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8"/>
          <w:szCs w:val="18"/>
          <w:u w:val="single" w:color="auto"/>
          <w:color w:val="231F20"/>
        </w:rPr>
        <w:t>AV Access for Hemodialysis</w:t>
      </w:r>
      <w:r>
        <w:rPr>
          <w:rFonts w:ascii="Times New Roman" w:cs="Times New Roman" w:eastAsia="Times New Roman" w:hAnsi="Times New Roman"/>
          <w:sz w:val="18"/>
          <w:szCs w:val="18"/>
          <w:color w:val="231F20"/>
        </w:rPr>
        <w:t>: An estimated $5 to $6 billion per year is spent on hospital admissions in hemodialysis patients with infection and access complications. In 2024, over 555,000 patients received hemodialysis in the United States. Annually, at least 160,000 existing or new dialysis patients require a new AV access in the U.S. and an additional 150,000 patients require a new AV access in Europe and Japan.</w:t>
      </w:r>
    </w:p>
    <w:p>
      <w:pPr>
        <w:spacing w:after="0" w:line="140" w:lineRule="exact"/>
        <w:rPr>
          <w:sz w:val="20"/>
          <w:szCs w:val="20"/>
          <w:color w:val="auto"/>
        </w:rPr>
      </w:pPr>
    </w:p>
    <w:p>
      <w:pPr>
        <w:ind w:right="100" w:firstLine="318"/>
        <w:spacing w:after="0" w:line="254" w:lineRule="auto"/>
        <w:rPr>
          <w:sz w:val="20"/>
          <w:szCs w:val="20"/>
          <w:color w:val="auto"/>
        </w:rPr>
      </w:pPr>
      <w:r>
        <w:rPr>
          <w:rFonts w:ascii="Times New Roman" w:cs="Times New Roman" w:eastAsia="Times New Roman" w:hAnsi="Times New Roman"/>
          <w:sz w:val="18"/>
          <w:szCs w:val="18"/>
          <w:color w:val="231F20"/>
        </w:rPr>
        <w:t>Hemodialysis patients are a chronically ill population, suffering an average of 1.8 hospital admissions, three visits to the emergency department, and four days hospitalized for infections each year. The two most common causes of hospital admissions in hemodialysis patients are infection and access complications. For hemodialysis patients, an infected access site can lead to sepsis, a life-threatening complication that is the most expensive cause for hospitalization in the United States and carries at least a 10% overall mortality rate.</w:t>
      </w:r>
    </w:p>
    <w:p>
      <w:pPr>
        <w:spacing w:after="0" w:line="143"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8"/>
          <w:szCs w:val="18"/>
          <w:color w:val="231F20"/>
        </w:rPr>
        <w:t>We believe that our ATEVs, when used as AV access for hemodialysis, can decrease infections and dialysis access failures, which would improve patient outcomes and lower the burden of dialysis costs on the healthcare system. We expect to file a BLA with the FDA in the second half of 2026 seeking approval for the use of ATEV in AV access for hemodialysis, and to target our commercialization efforts particularly toward those patients who are at high risk of fistula failure or non-maturation, such as women and male patients with two risk factors, such as obesity and diabetes.</w:t>
      </w:r>
    </w:p>
    <w:p>
      <w:pPr>
        <w:spacing w:after="0" w:line="156" w:lineRule="exact"/>
        <w:rPr>
          <w:sz w:val="20"/>
          <w:szCs w:val="20"/>
          <w:color w:val="auto"/>
        </w:rPr>
      </w:pPr>
    </w:p>
    <w:p>
      <w:pPr>
        <w:ind w:right="200" w:firstLine="318"/>
        <w:spacing w:after="0" w:line="251" w:lineRule="auto"/>
        <w:rPr>
          <w:sz w:val="20"/>
          <w:szCs w:val="20"/>
          <w:color w:val="auto"/>
        </w:rPr>
      </w:pPr>
      <w:r>
        <w:rPr>
          <w:rFonts w:ascii="Times New Roman" w:cs="Times New Roman" w:eastAsia="Times New Roman" w:hAnsi="Times New Roman"/>
          <w:sz w:val="18"/>
          <w:szCs w:val="18"/>
          <w:u w:val="single" w:color="auto"/>
          <w:color w:val="231F20"/>
        </w:rPr>
        <w:t>Peripheral Artery Disease</w:t>
      </w:r>
      <w:r>
        <w:rPr>
          <w:rFonts w:ascii="Times New Roman" w:cs="Times New Roman" w:eastAsia="Times New Roman" w:hAnsi="Times New Roman"/>
          <w:sz w:val="18"/>
          <w:szCs w:val="18"/>
          <w:color w:val="231F20"/>
        </w:rPr>
        <w:t>: PAD is a cardiovascular disease of blood vessels located outside the brain and heart. Atherosclerosis, which is the buildup of plaque along the artery walls, usually affects arteries in the legs, but it can also affect arteries that carry blood from the heart to the head, arms, kidneys, and intestines. We believe our ATEVs can be used as a bypass conduit in patients suffering from PAD in the legs. Peripheral arterial bypass procedures are common with over 230,000 PAD-related procedures reported annually in the U.S. There are over 200,000 peripheral bypass procedures per year in Europe, and approximately 220,000 per year in Asia.</w:t>
      </w:r>
    </w:p>
    <w:p>
      <w:pPr>
        <w:spacing w:after="0" w:line="148"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While endovascular techniques have become more available over the past ten years to treat an array of vascular occlusions, depending on the nature and length of the blockage these types of treatment options have had limited success and durability as compared to conventional surgical bypass. Both angioplasty and stenting procedures provide near term success, however long-term durability has remained a question, as highlighted in the results of the recent BEST-CLI clinical trial published in the </w:t>
      </w:r>
      <w:r>
        <w:rPr>
          <w:rFonts w:ascii="Times New Roman" w:cs="Times New Roman" w:eastAsia="Times New Roman" w:hAnsi="Times New Roman"/>
          <w:sz w:val="18"/>
          <w:szCs w:val="18"/>
          <w:i w:val="1"/>
          <w:iCs w:val="1"/>
          <w:color w:val="231F20"/>
        </w:rPr>
        <w:t>New England Journal of Medicine</w:t>
      </w:r>
      <w:r>
        <w:rPr>
          <w:rFonts w:ascii="Times New Roman" w:cs="Times New Roman" w:eastAsia="Times New Roman" w:hAnsi="Times New Roman"/>
          <w:sz w:val="18"/>
          <w:szCs w:val="18"/>
          <w:color w:val="231F20"/>
        </w:rPr>
        <w:t xml:space="preserve"> demonstrating that patients treated with surgical bypass had fewer major amputations and less need for repeat procedures than those treated with endovascular therapy.</w:t>
      </w:r>
    </w:p>
    <w:p>
      <w:pPr>
        <w:spacing w:after="0" w:line="148" w:lineRule="exact"/>
        <w:rPr>
          <w:sz w:val="20"/>
          <w:szCs w:val="20"/>
          <w:color w:val="auto"/>
        </w:rPr>
      </w:pPr>
    </w:p>
    <w:p>
      <w:pPr>
        <w:ind w:right="320" w:firstLine="318"/>
        <w:spacing w:after="0" w:line="254" w:lineRule="auto"/>
        <w:rPr>
          <w:sz w:val="20"/>
          <w:szCs w:val="20"/>
          <w:color w:val="auto"/>
        </w:rPr>
      </w:pPr>
      <w:r>
        <w:rPr>
          <w:rFonts w:ascii="Times New Roman" w:cs="Times New Roman" w:eastAsia="Times New Roman" w:hAnsi="Times New Roman"/>
          <w:sz w:val="18"/>
          <w:szCs w:val="18"/>
          <w:u w:val="single" w:color="auto"/>
          <w:color w:val="231F20"/>
        </w:rPr>
        <w:t>Type I Diabetes</w:t>
      </w:r>
      <w:r>
        <w:rPr>
          <w:rFonts w:ascii="Times New Roman" w:cs="Times New Roman" w:eastAsia="Times New Roman" w:hAnsi="Times New Roman"/>
          <w:sz w:val="18"/>
          <w:szCs w:val="18"/>
          <w:color w:val="231F20"/>
        </w:rPr>
        <w:t>: Type 1 diabetes, caused by auto-immune destruction of insulin-producing cells in the islets of the pancreas, is a devastating disease affecting more than 1.7 million people in the United States, and costing at least $10 billion to $14 billion annually. In the EU4 (France, Germany, Italy and Spain) and the UK, the number of patients suffering with Type 1 diabetes is estimated at approximately 1.5 million. Even with the newer insulin delivery technologies, less than one-third of patients achieve consistent target blood sugar levels.</w:t>
      </w:r>
    </w:p>
    <w:p>
      <w:pPr>
        <w:spacing w:after="0" w:line="156" w:lineRule="exact"/>
        <w:rPr>
          <w:sz w:val="20"/>
          <w:szCs w:val="20"/>
          <w:color w:val="auto"/>
        </w:rPr>
      </w:pPr>
    </w:p>
    <w:p>
      <w:pPr>
        <w:ind w:right="120" w:firstLine="318"/>
        <w:spacing w:after="0" w:line="254" w:lineRule="auto"/>
        <w:rPr>
          <w:sz w:val="20"/>
          <w:szCs w:val="20"/>
          <w:color w:val="auto"/>
        </w:rPr>
      </w:pPr>
      <w:r>
        <w:rPr>
          <w:rFonts w:ascii="Times New Roman" w:cs="Times New Roman" w:eastAsia="Times New Roman" w:hAnsi="Times New Roman"/>
          <w:sz w:val="18"/>
          <w:szCs w:val="18"/>
          <w:color w:val="231F20"/>
        </w:rPr>
        <w:t>Pancreas transplantation is limited due to the associated morbidity and cost of a whole pancreas organ transplantation procedure. As an alternative to pancreas transplantation, the “Edmonton Protocol” has been developed whereby insulin producing cells are transplanted into the portal vein in the liver. However, the majority of the injected cells are lost to inflammation and clotting, and only 16% of Type 1 diabetes patients who receive the Protocol are cured long term.</w:t>
      </w:r>
    </w:p>
    <w:p>
      <w:pPr>
        <w:spacing w:after="0" w:line="143" w:lineRule="exact"/>
        <w:rPr>
          <w:sz w:val="20"/>
          <w:szCs w:val="20"/>
          <w:color w:val="auto"/>
        </w:rPr>
      </w:pPr>
    </w:p>
    <w:p>
      <w:pPr>
        <w:ind w:right="140" w:firstLine="318"/>
        <w:spacing w:after="0" w:line="261" w:lineRule="auto"/>
        <w:rPr>
          <w:sz w:val="20"/>
          <w:szCs w:val="20"/>
          <w:color w:val="auto"/>
        </w:rPr>
      </w:pPr>
      <w:r>
        <w:rPr>
          <w:rFonts w:ascii="Times New Roman" w:cs="Times New Roman" w:eastAsia="Times New Roman" w:hAnsi="Times New Roman"/>
          <w:sz w:val="18"/>
          <w:szCs w:val="18"/>
          <w:color w:val="231F20"/>
        </w:rPr>
        <w:t>We believe our ATEVs present a means to deliver a therapeutic number of pancreatic islets to patients with Type 1 diabetes. Pancreatic islets are embedded on the outer surface of our ATEV and may be implanted as an AV graft, analogous to the outpatient procedure done for hemodialysis access. After implantation, the islets may have the potential to sense blood glucose and then respond by secreting appropriate levels of insulin to maintain proper glucose levels in the blood. We have termed this new paradigm for pancreatic islet cell delivery the BioVascular Pancreas or “BVP</w:t>
      </w:r>
      <w:r>
        <w:rPr>
          <w:rFonts w:ascii="Times New Roman" w:cs="Times New Roman" w:eastAsia="Times New Roman" w:hAnsi="Times New Roman"/>
          <w:sz w:val="22"/>
          <w:szCs w:val="22"/>
          <w:color w:val="231F20"/>
          <w:vertAlign w:val="superscript"/>
        </w:rPr>
        <w:t>TM</w:t>
      </w:r>
      <w:r>
        <w:rPr>
          <w:rFonts w:ascii="Times New Roman" w:cs="Times New Roman" w:eastAsia="Times New Roman" w:hAnsi="Times New Roman"/>
          <w:sz w:val="18"/>
          <w:szCs w:val="18"/>
          <w:color w:val="231F20"/>
        </w:rPr>
        <w:t>.”</w:t>
      </w:r>
    </w:p>
    <w:p>
      <w:pPr>
        <w:spacing w:after="0" w:line="69" w:lineRule="exact"/>
        <w:rPr>
          <w:sz w:val="20"/>
          <w:szCs w:val="20"/>
          <w:color w:val="auto"/>
        </w:rPr>
      </w:pPr>
    </w:p>
    <w:p>
      <w:pPr>
        <w:ind w:right="440" w:firstLine="318"/>
        <w:spacing w:after="0" w:line="271" w:lineRule="auto"/>
        <w:rPr>
          <w:sz w:val="20"/>
          <w:szCs w:val="20"/>
          <w:color w:val="auto"/>
        </w:rPr>
      </w:pPr>
      <w:r>
        <w:rPr>
          <w:rFonts w:ascii="Times New Roman" w:cs="Times New Roman" w:eastAsia="Times New Roman" w:hAnsi="Times New Roman"/>
          <w:sz w:val="18"/>
          <w:szCs w:val="18"/>
          <w:color w:val="231F20"/>
        </w:rPr>
        <w:t>We believe that a reliable, low-risk, and easily implantable islet cell delivery method that could ensure the survival and functionality of a therapeutic number of islet cells in a human adult would be transformational for the treatment of Type 1 diabetes.</w:t>
      </w:r>
    </w:p>
    <w:p>
      <w:pPr>
        <w:spacing w:after="0" w:line="141" w:lineRule="exact"/>
        <w:rPr>
          <w:sz w:val="20"/>
          <w:szCs w:val="20"/>
          <w:color w:val="auto"/>
        </w:rPr>
      </w:pPr>
    </w:p>
    <w:p>
      <w:pPr>
        <w:ind w:right="180" w:firstLine="318"/>
        <w:spacing w:after="0" w:line="254" w:lineRule="auto"/>
        <w:rPr>
          <w:sz w:val="20"/>
          <w:szCs w:val="20"/>
          <w:color w:val="auto"/>
        </w:rPr>
      </w:pPr>
      <w:r>
        <w:rPr>
          <w:rFonts w:ascii="Times New Roman" w:cs="Times New Roman" w:eastAsia="Times New Roman" w:hAnsi="Times New Roman"/>
          <w:sz w:val="18"/>
          <w:szCs w:val="18"/>
          <w:u w:val="single" w:color="auto"/>
          <w:color w:val="231F20"/>
        </w:rPr>
        <w:t>Coronary Artery Bypass Graft</w:t>
      </w:r>
      <w:r>
        <w:rPr>
          <w:rFonts w:ascii="Times New Roman" w:cs="Times New Roman" w:eastAsia="Times New Roman" w:hAnsi="Times New Roman"/>
          <w:sz w:val="18"/>
          <w:szCs w:val="18"/>
          <w:color w:val="231F20"/>
        </w:rPr>
        <w:t>: CABG is a surgery used to treat a blockage or narrowing of one or more of the coronary arteries to restore the blood supply to the heart muscle. We believe our ATEVs can replace existing vascular substitutes and improve patient outcomes, particularly in obese patients or those suffering from diabetes, in whom the risks of saphenous vein harvesting are more substantial. CABG procedures are common, with more than 200,000 CABG procedures reported annually in the U.S. and over 765,000 annual CABG procedures globally.</w:t>
      </w:r>
    </w:p>
    <w:p>
      <w:pPr>
        <w:spacing w:after="0" w:line="200" w:lineRule="exact"/>
        <w:rPr>
          <w:sz w:val="20"/>
          <w:szCs w:val="20"/>
          <w:color w:val="auto"/>
        </w:rPr>
      </w:pPr>
    </w:p>
    <w:p>
      <w:pPr>
        <w:spacing w:after="0" w:line="3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Typically, a CABG operation involves the use of both the patient’s own artery and vein. In patients who are obese, have diabetes, or who are very elderly, there are higher risks for vein harvest complications, including failure to heal the vein harvest incision, infection, and prolonged swelling of the operative leg. Furthermore, complications from the vein harvest incision site are more common than complications from the chest incision in CABG patients. It is estimated that approximately 20% of patients requiring bypass surgery have no suitable grafts available, with sources reporting as high as 45% of CABG patients are without suitable autologous vein. In preclinical testing, we have evaluated a small diameter ATEV (“sdATEV”) which is 3.5mm in diameter and 20cm in length for use as a CABG conduit. Testing has been performed in non-human primates, pigs and sheep. We plan to utilize the collective preclinical data on the sdATEV to support an Investigational New Drug (“IND”) application to the FDA for CABG during 2025.</w:t>
      </w:r>
    </w:p>
    <w:p>
      <w:pPr>
        <w:spacing w:after="0" w:line="151"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u w:val="single" w:color="auto"/>
          <w:color w:val="231F20"/>
        </w:rPr>
        <w:t>Pediatric Heart Surgery</w:t>
      </w:r>
      <w:r>
        <w:rPr>
          <w:rFonts w:ascii="Times New Roman" w:cs="Times New Roman" w:eastAsia="Times New Roman" w:hAnsi="Times New Roman"/>
          <w:sz w:val="18"/>
          <w:szCs w:val="18"/>
          <w:color w:val="231F20"/>
        </w:rPr>
        <w:t>: We have evaluated in preclinical testing a smaller diameter ATEV product for use in pediatric heart surgery as a Blalock Taussig (“BT”) shunt. The BT shunt is a surgical procedure that is used to increase pulmonary blood flow for the treatment of babies born with a complex congenital heart defect called Tetralogy of Fallot, a common type of “blue baby syndrome”. In 2024, there were approximately 1,800 babies born in the United States with Tetralogy of Fallot. The BT shunt is a life-saving procedure for these babies, and we plan to submit an orphan drug application for use of our ATEV as a BT shunt for infants born with cyanotic congenital heart defects. Although 3 – 4mm inner diameter expanded polytetrafluoroethylene (“ePTFE”) grafts are currently used as the most common BT shunt, they suffer from limitations that impact morbidity and mortality in these infants.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Product Pipeline</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following table highlights key information about the most active programs within our current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123825</wp:posOffset>
            </wp:positionV>
            <wp:extent cx="5445760" cy="1831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45760" cy="183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40" w:firstLine="318"/>
        <w:spacing w:after="0" w:line="254" w:lineRule="auto"/>
        <w:rPr>
          <w:sz w:val="20"/>
          <w:szCs w:val="20"/>
          <w:color w:val="auto"/>
        </w:rPr>
      </w:pPr>
      <w:r>
        <w:rPr>
          <w:rFonts w:ascii="Times New Roman" w:cs="Times New Roman" w:eastAsia="Times New Roman" w:hAnsi="Times New Roman"/>
          <w:sz w:val="18"/>
          <w:szCs w:val="18"/>
          <w:color w:val="231F20"/>
        </w:rPr>
        <w:t>We began clinical evaluations of our ATEVs in December 2012, with the enrollment of the first Phase 2 patient in our V001 hemodialysis access trial in Europe. Since then, we have completed two pivotal and one Phase 2 trials in the United States, and currently have one pivotal trial actively enrolling and two trials in long-term follow-up. In clinical trials and in expanded access cases, ATEVs have been implanted in approximately 85 clinical centers in seven countries around the world, and by more than 100 practicing surgeons.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 xml:space="preserve">Overview of Clinical Trials Assessing the Safety and Efficacy of the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i w:val="1"/>
          <w:iCs w:val="1"/>
          <w:color w:val="231F20"/>
        </w:rPr>
        <w:t xml:space="preserve"> in Multiple Indications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Clinical Trial</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Begin</w:t>
            </w: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60" w:type="dxa"/>
            <w:vAlign w:val="bottom"/>
            <w:gridSpan w:val="2"/>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Enrollment</w:t>
            </w:r>
          </w:p>
        </w:tc>
        <w:tc>
          <w:tcPr>
            <w:tcW w:w="1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Design/Phase</w:t>
            </w:r>
          </w:p>
        </w:tc>
        <w:tc>
          <w:tcPr>
            <w:tcW w:w="1760" w:type="dxa"/>
            <w:vAlign w:val="bottom"/>
            <w:gridSpan w:val="2"/>
            <w:vMerge w:val="continue"/>
          </w:tcPr>
          <w:p>
            <w:pPr>
              <w:spacing w:after="0"/>
              <w:rPr>
                <w:sz w:val="2"/>
                <w:szCs w:val="2"/>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25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Outcomes**</w:t>
            </w:r>
          </w:p>
        </w:tc>
        <w:tc>
          <w:tcPr>
            <w:tcW w:w="0" w:type="dxa"/>
            <w:vAlign w:val="bottom"/>
          </w:tcPr>
          <w:p>
            <w:pPr>
              <w:spacing w:after="0" w:line="20" w:lineRule="exact"/>
              <w:rPr>
                <w:sz w:val="1"/>
                <w:szCs w:val="1"/>
                <w:color w:val="auto"/>
              </w:rPr>
            </w:pPr>
          </w:p>
        </w:tc>
      </w:tr>
      <w:tr>
        <w:trPr>
          <w:trHeight w:val="191"/>
        </w:trPr>
        <w:tc>
          <w:tcPr>
            <w:tcW w:w="126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Subjects</w:t>
            </w:r>
          </w:p>
        </w:tc>
        <w:tc>
          <w:tcPr>
            <w:tcW w:w="1480" w:type="dxa"/>
            <w:vAlign w:val="bottom"/>
            <w:gridSpan w:val="2"/>
            <w:vMerge w:val="continue"/>
          </w:tcPr>
          <w:p>
            <w:pPr>
              <w:spacing w:after="0"/>
              <w:rPr>
                <w:sz w:val="16"/>
                <w:szCs w:val="16"/>
                <w:color w:val="auto"/>
              </w:rPr>
            </w:pP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Vascular Trauma</w:t>
            </w: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5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260" w:type="dxa"/>
            <w:vAlign w:val="bottom"/>
          </w:tcPr>
          <w:p>
            <w:pPr>
              <w:ind w:left="520"/>
              <w:spacing w:after="0" w:line="146" w:lineRule="exact"/>
              <w:rPr>
                <w:sz w:val="20"/>
                <w:szCs w:val="20"/>
                <w:color w:val="auto"/>
              </w:rPr>
            </w:pPr>
            <w:r>
              <w:rPr>
                <w:rFonts w:ascii="Times New Roman" w:cs="Times New Roman" w:eastAsia="Times New Roman" w:hAnsi="Times New Roman"/>
                <w:sz w:val="14"/>
                <w:szCs w:val="14"/>
                <w:color w:val="auto"/>
              </w:rPr>
              <w:t>V005</w:t>
            </w:r>
          </w:p>
        </w:tc>
        <w:tc>
          <w:tcPr>
            <w:tcW w:w="1260" w:type="dxa"/>
            <w:vAlign w:val="bottom"/>
            <w:gridSpan w:val="2"/>
          </w:tcPr>
          <w:p>
            <w:pPr>
              <w:jc w:val="center"/>
              <w:ind w:left="9"/>
              <w:spacing w:after="0" w:line="146" w:lineRule="exact"/>
              <w:rPr>
                <w:sz w:val="20"/>
                <w:szCs w:val="20"/>
                <w:color w:val="auto"/>
              </w:rPr>
            </w:pPr>
            <w:r>
              <w:rPr>
                <w:rFonts w:ascii="Times New Roman" w:cs="Times New Roman" w:eastAsia="Times New Roman" w:hAnsi="Times New Roman"/>
                <w:sz w:val="14"/>
                <w:szCs w:val="14"/>
                <w:color w:val="auto"/>
                <w:w w:val="97"/>
              </w:rPr>
              <w:t>Vascular Trauma</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2018</w:t>
            </w:r>
          </w:p>
        </w:tc>
        <w:tc>
          <w:tcPr>
            <w:tcW w:w="80" w:type="dxa"/>
            <w:vAlign w:val="bottom"/>
          </w:tcPr>
          <w:p>
            <w:pPr>
              <w:spacing w:after="0"/>
              <w:rPr>
                <w:sz w:val="12"/>
                <w:szCs w:val="12"/>
                <w:color w:val="auto"/>
              </w:rPr>
            </w:pPr>
          </w:p>
        </w:tc>
        <w:tc>
          <w:tcPr>
            <w:tcW w:w="17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color w:val="auto"/>
              </w:rPr>
              <w:t>Phase 2/3 Single-arm</w:t>
            </w:r>
          </w:p>
        </w:tc>
        <w:tc>
          <w:tcPr>
            <w:tcW w:w="17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color w:val="auto"/>
              </w:rPr>
              <w:t>72 total. Primary analysis</w:t>
            </w:r>
          </w:p>
        </w:tc>
        <w:tc>
          <w:tcPr>
            <w:tcW w:w="14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color w:val="auto"/>
              </w:rPr>
              <w:t>BLA approved by FDA</w:t>
            </w:r>
          </w:p>
        </w:tc>
        <w:tc>
          <w:tcPr>
            <w:tcW w:w="252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color w:val="auto"/>
              </w:rPr>
              <w:t>30-day PP: 84.3%</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Historical Comparator</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based on a total of 51</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December 19, 2024</w:t>
            </w: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30-day SP: 90.2%</w:t>
            </w:r>
          </w:p>
        </w:tc>
        <w:tc>
          <w:tcPr>
            <w:tcW w:w="0" w:type="dxa"/>
            <w:vAlign w:val="bottom"/>
          </w:tcPr>
          <w:p>
            <w:pPr>
              <w:spacing w:after="0"/>
              <w:rPr>
                <w:sz w:val="1"/>
                <w:szCs w:val="1"/>
                <w:color w:val="auto"/>
              </w:rPr>
            </w:pPr>
          </w:p>
        </w:tc>
      </w:tr>
      <w:tr>
        <w:trPr>
          <w:trHeight w:val="172"/>
        </w:trPr>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Unblinded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patients with injuries of</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Infection Rate: 2.0%</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extremities</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Amputation Rate: 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Clinical Trial</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Begin</w:t>
            </w: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vMerge w:val="restart"/>
          </w:tcPr>
          <w:p>
            <w:pPr>
              <w:spacing w:after="0"/>
              <w:rPr>
                <w:sz w:val="3"/>
                <w:szCs w:val="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00" w:type="dxa"/>
            <w:vAlign w:val="bottom"/>
            <w:vMerge w:val="restart"/>
          </w:tcPr>
          <w:p>
            <w:pPr>
              <w:spacing w:after="0"/>
              <w:rPr>
                <w:sz w:val="3"/>
                <w:szCs w:val="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Enrollment</w:t>
            </w:r>
          </w:p>
        </w:tc>
        <w:tc>
          <w:tcPr>
            <w:tcW w:w="80" w:type="dxa"/>
            <w:vAlign w:val="bottom"/>
            <w:vMerge w:val="restart"/>
          </w:tcPr>
          <w:p>
            <w:pPr>
              <w:spacing w:after="0"/>
              <w:rPr>
                <w:sz w:val="3"/>
                <w:szCs w:val="3"/>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Design/Phase</w:t>
            </w:r>
          </w:p>
        </w:tc>
        <w:tc>
          <w:tcPr>
            <w:tcW w:w="80" w:type="dxa"/>
            <w:vAlign w:val="bottom"/>
            <w:vMerge w:val="restart"/>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vMerge w:val="restart"/>
          </w:tcPr>
          <w:p>
            <w:pPr>
              <w:spacing w:after="0"/>
              <w:rPr>
                <w:sz w:val="3"/>
                <w:szCs w:val="3"/>
                <w:color w:val="auto"/>
              </w:rPr>
            </w:pPr>
          </w:p>
        </w:tc>
        <w:tc>
          <w:tcPr>
            <w:tcW w:w="25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Outcomes**</w:t>
            </w:r>
          </w:p>
        </w:tc>
        <w:tc>
          <w:tcPr>
            <w:tcW w:w="0" w:type="dxa"/>
            <w:vAlign w:val="bottom"/>
          </w:tcPr>
          <w:p>
            <w:pPr>
              <w:spacing w:after="0" w:line="20" w:lineRule="exact"/>
              <w:rPr>
                <w:sz w:val="1"/>
                <w:szCs w:val="1"/>
                <w:color w:val="auto"/>
              </w:rPr>
            </w:pPr>
          </w:p>
        </w:tc>
      </w:tr>
      <w:tr>
        <w:trPr>
          <w:trHeight w:val="192"/>
        </w:trPr>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Subjects</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340" w:type="dxa"/>
            <w:vAlign w:val="bottom"/>
            <w:shd w:val="clear" w:color="auto" w:fill="CCEEFF"/>
          </w:tcPr>
          <w:p>
            <w:pPr>
              <w:ind w:left="520"/>
              <w:spacing w:after="0" w:line="145" w:lineRule="exact"/>
              <w:rPr>
                <w:sz w:val="20"/>
                <w:szCs w:val="20"/>
                <w:color w:val="auto"/>
              </w:rPr>
            </w:pPr>
            <w:r>
              <w:rPr>
                <w:rFonts w:ascii="Times New Roman" w:cs="Times New Roman" w:eastAsia="Times New Roman" w:hAnsi="Times New Roman"/>
                <w:sz w:val="14"/>
                <w:szCs w:val="14"/>
                <w:color w:val="auto"/>
              </w:rPr>
              <w:t>V017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Vascular Trauma</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Retrospective observational</w:t>
            </w:r>
          </w:p>
        </w:tc>
        <w:tc>
          <w:tcPr>
            <w:tcW w:w="1760" w:type="dxa"/>
            <w:vAlign w:val="bottom"/>
            <w:gridSpan w:val="2"/>
            <w:shd w:val="clear" w:color="auto" w:fill="CCEEFF"/>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19 total treated under</w:t>
            </w:r>
          </w:p>
        </w:tc>
        <w:tc>
          <w:tcPr>
            <w:tcW w:w="13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Included in BLA</w:t>
            </w:r>
          </w:p>
        </w:tc>
        <w:tc>
          <w:tcPr>
            <w:tcW w:w="100" w:type="dxa"/>
            <w:vAlign w:val="bottom"/>
            <w:shd w:val="clear" w:color="auto" w:fill="CCEEFF"/>
          </w:tcPr>
          <w:p>
            <w:pPr>
              <w:spacing w:after="0"/>
              <w:rPr>
                <w:sz w:val="12"/>
                <w:szCs w:val="12"/>
                <w:color w:val="auto"/>
              </w:rPr>
            </w:pPr>
          </w:p>
        </w:tc>
        <w:tc>
          <w:tcPr>
            <w:tcW w:w="25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30-day PP: 93.8%</w:t>
            </w: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center"/>
              <w:ind w:right="80"/>
              <w:spacing w:after="0" w:line="159" w:lineRule="exact"/>
              <w:rPr>
                <w:sz w:val="20"/>
                <w:szCs w:val="20"/>
                <w:color w:val="auto"/>
              </w:rPr>
            </w:pPr>
            <w:r>
              <w:rPr>
                <w:rFonts w:ascii="Times New Roman" w:cs="Times New Roman" w:eastAsia="Times New Roman" w:hAnsi="Times New Roman"/>
                <w:sz w:val="14"/>
                <w:szCs w:val="14"/>
                <w:color w:val="auto"/>
                <w:w w:val="99"/>
              </w:rPr>
              <w:t xml:space="preserve">study to evaluate the </w:t>
            </w:r>
            <w:r>
              <w:rPr>
                <w:rFonts w:ascii="Times New Roman" w:cs="Times New Roman" w:eastAsia="Times New Roman" w:hAnsi="Times New Roman"/>
                <w:sz w:val="14"/>
                <w:szCs w:val="14"/>
                <w:color w:val="231F20"/>
                <w:w w:val="99"/>
              </w:rPr>
              <w:t>ATEV</w:t>
            </w:r>
          </w:p>
        </w:tc>
        <w:tc>
          <w:tcPr>
            <w:tcW w:w="1760" w:type="dxa"/>
            <w:vAlign w:val="bottom"/>
            <w:gridSpan w:val="2"/>
            <w:shd w:val="clear" w:color="auto" w:fill="CCEEFF"/>
          </w:tcPr>
          <w:p>
            <w:pPr>
              <w:jc w:val="center"/>
              <w:ind w:right="100"/>
              <w:spacing w:after="0" w:line="159" w:lineRule="exact"/>
              <w:rPr>
                <w:sz w:val="20"/>
                <w:szCs w:val="20"/>
                <w:color w:val="auto"/>
              </w:rPr>
            </w:pPr>
            <w:r>
              <w:rPr>
                <w:rFonts w:ascii="Times New Roman" w:cs="Times New Roman" w:eastAsia="Times New Roman" w:hAnsi="Times New Roman"/>
                <w:sz w:val="14"/>
                <w:szCs w:val="14"/>
                <w:color w:val="auto"/>
              </w:rPr>
              <w:t>humanitarian program. 17</w:t>
            </w:r>
          </w:p>
        </w:tc>
        <w:tc>
          <w:tcPr>
            <w:tcW w:w="1480" w:type="dxa"/>
            <w:vAlign w:val="bottom"/>
            <w:gridSpan w:val="2"/>
            <w:shd w:val="clear" w:color="auto" w:fill="CCEEFF"/>
          </w:tcPr>
          <w:p>
            <w:pPr>
              <w:jc w:val="center"/>
              <w:ind w:right="120"/>
              <w:spacing w:after="0" w:line="159" w:lineRule="exact"/>
              <w:rPr>
                <w:sz w:val="20"/>
                <w:szCs w:val="20"/>
                <w:color w:val="auto"/>
              </w:rPr>
            </w:pPr>
            <w:r>
              <w:rPr>
                <w:rFonts w:ascii="Times New Roman" w:cs="Times New Roman" w:eastAsia="Times New Roman" w:hAnsi="Times New Roman"/>
                <w:sz w:val="14"/>
                <w:szCs w:val="14"/>
                <w:color w:val="auto"/>
              </w:rPr>
              <w:t>submission approved</w:t>
            </w:r>
          </w:p>
        </w:tc>
        <w:tc>
          <w:tcPr>
            <w:tcW w:w="25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30-day SP: 93.8%</w:t>
            </w:r>
          </w:p>
        </w:tc>
        <w:tc>
          <w:tcPr>
            <w:tcW w:w="0" w:type="dxa"/>
            <w:vAlign w:val="bottom"/>
          </w:tcPr>
          <w:p>
            <w:pPr>
              <w:spacing w:after="0"/>
              <w:rPr>
                <w:sz w:val="1"/>
                <w:szCs w:val="1"/>
                <w:color w:val="auto"/>
              </w:rPr>
            </w:pPr>
          </w:p>
        </w:tc>
      </w:tr>
      <w:tr>
        <w:trPr>
          <w:trHeight w:val="110"/>
        </w:trPr>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in real-world setting of</w:t>
            </w:r>
          </w:p>
        </w:tc>
        <w:tc>
          <w:tcPr>
            <w:tcW w:w="17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consented for inclusion in</w:t>
            </w:r>
          </w:p>
        </w:tc>
        <w:tc>
          <w:tcPr>
            <w:tcW w:w="1480" w:type="dxa"/>
            <w:vAlign w:val="bottom"/>
            <w:gridSpan w:val="2"/>
            <w:shd w:val="clear" w:color="auto" w:fill="CCEEFF"/>
          </w:tcPr>
          <w:p>
            <w:pPr>
              <w:jc w:val="center"/>
              <w:ind w:right="120"/>
              <w:spacing w:after="0" w:line="110" w:lineRule="exact"/>
              <w:rPr>
                <w:sz w:val="20"/>
                <w:szCs w:val="20"/>
                <w:color w:val="auto"/>
              </w:rPr>
            </w:pPr>
            <w:r>
              <w:rPr>
                <w:rFonts w:ascii="Times New Roman" w:cs="Times New Roman" w:eastAsia="Times New Roman" w:hAnsi="Times New Roman"/>
                <w:sz w:val="12"/>
                <w:szCs w:val="12"/>
                <w:color w:val="auto"/>
              </w:rPr>
              <w:t>by FDA December 19,</w:t>
            </w:r>
          </w:p>
        </w:tc>
        <w:tc>
          <w:tcPr>
            <w:tcW w:w="2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Infection Rate: 0%</w:t>
            </w:r>
          </w:p>
        </w:tc>
        <w:tc>
          <w:tcPr>
            <w:tcW w:w="0" w:type="dxa"/>
            <w:vAlign w:val="bottom"/>
          </w:tcPr>
          <w:p>
            <w:pPr>
              <w:spacing w:after="0"/>
              <w:rPr>
                <w:sz w:val="1"/>
                <w:szCs w:val="1"/>
                <w:color w:val="auto"/>
              </w:rPr>
            </w:pPr>
          </w:p>
        </w:tc>
      </w:tr>
      <w:tr>
        <w:trPr>
          <w:trHeight w:val="93"/>
        </w:trPr>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760" w:type="dxa"/>
            <w:vAlign w:val="bottom"/>
            <w:gridSpan w:val="2"/>
            <w:vMerge w:val="continue"/>
            <w:shd w:val="clear" w:color="auto" w:fill="CCEEFF"/>
          </w:tcPr>
          <w:p>
            <w:pPr>
              <w:spacing w:after="0"/>
              <w:rPr>
                <w:sz w:val="8"/>
                <w:szCs w:val="8"/>
                <w:color w:val="auto"/>
              </w:rPr>
            </w:pPr>
          </w:p>
        </w:tc>
        <w:tc>
          <w:tcPr>
            <w:tcW w:w="1760" w:type="dxa"/>
            <w:vAlign w:val="bottom"/>
            <w:gridSpan w:val="2"/>
            <w:vMerge w:val="continue"/>
            <w:shd w:val="clear" w:color="auto" w:fill="CCEEFF"/>
          </w:tcPr>
          <w:p>
            <w:pPr>
              <w:spacing w:after="0"/>
              <w:rPr>
                <w:sz w:val="8"/>
                <w:szCs w:val="8"/>
                <w:color w:val="auto"/>
              </w:rPr>
            </w:pP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shd w:val="clear" w:color="auto" w:fill="CCEEFF"/>
          </w:tcPr>
          <w:p>
            <w:pPr>
              <w:spacing w:after="0"/>
              <w:rPr>
                <w:sz w:val="8"/>
                <w:szCs w:val="8"/>
                <w:color w:val="auto"/>
              </w:rPr>
            </w:pPr>
          </w:p>
        </w:tc>
        <w:tc>
          <w:tcPr>
            <w:tcW w:w="25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7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humanitarian program</w:t>
            </w:r>
          </w:p>
        </w:tc>
        <w:tc>
          <w:tcPr>
            <w:tcW w:w="17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study, 16 of whom had</w:t>
            </w:r>
          </w:p>
        </w:tc>
        <w:tc>
          <w:tcPr>
            <w:tcW w:w="13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Amputation Rate: 0%</w:t>
            </w:r>
          </w:p>
        </w:tc>
        <w:tc>
          <w:tcPr>
            <w:tcW w:w="0" w:type="dxa"/>
            <w:vAlign w:val="bottom"/>
          </w:tcPr>
          <w:p>
            <w:pPr>
              <w:spacing w:after="0"/>
              <w:rPr>
                <w:sz w:val="1"/>
                <w:szCs w:val="1"/>
                <w:color w:val="auto"/>
              </w:rPr>
            </w:pPr>
          </w:p>
        </w:tc>
      </w:tr>
      <w:tr>
        <w:trPr>
          <w:trHeight w:val="81"/>
        </w:trPr>
        <w:tc>
          <w:tcPr>
            <w:tcW w:w="1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760" w:type="dxa"/>
            <w:vAlign w:val="bottom"/>
            <w:gridSpan w:val="2"/>
            <w:vMerge w:val="continue"/>
            <w:shd w:val="clear" w:color="auto" w:fill="CCEEFF"/>
          </w:tcPr>
          <w:p>
            <w:pPr>
              <w:spacing w:after="0"/>
              <w:rPr>
                <w:sz w:val="7"/>
                <w:szCs w:val="7"/>
                <w:color w:val="auto"/>
              </w:rPr>
            </w:pPr>
          </w:p>
        </w:tc>
        <w:tc>
          <w:tcPr>
            <w:tcW w:w="1760" w:type="dxa"/>
            <w:vAlign w:val="bottom"/>
            <w:gridSpan w:val="2"/>
            <w:vMerge w:val="continue"/>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5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conducted during wartime in</w:t>
            </w:r>
          </w:p>
        </w:tc>
        <w:tc>
          <w:tcPr>
            <w:tcW w:w="1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injuries of extremities and</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center"/>
              <w:ind w:right="80"/>
              <w:spacing w:after="0" w:line="159" w:lineRule="exact"/>
              <w:rPr>
                <w:sz w:val="20"/>
                <w:szCs w:val="20"/>
                <w:color w:val="auto"/>
              </w:rPr>
            </w:pPr>
            <w:r>
              <w:rPr>
                <w:rFonts w:ascii="Times New Roman" w:cs="Times New Roman" w:eastAsia="Times New Roman" w:hAnsi="Times New Roman"/>
                <w:sz w:val="14"/>
                <w:szCs w:val="14"/>
                <w:color w:val="auto"/>
                <w:w w:val="97"/>
              </w:rPr>
              <w:t>Ukraine</w:t>
            </w:r>
          </w:p>
        </w:tc>
        <w:tc>
          <w:tcPr>
            <w:tcW w:w="1760" w:type="dxa"/>
            <w:vAlign w:val="bottom"/>
            <w:gridSpan w:val="2"/>
            <w:shd w:val="clear" w:color="auto" w:fill="CCEEFF"/>
          </w:tcPr>
          <w:p>
            <w:pPr>
              <w:jc w:val="center"/>
              <w:ind w:right="100"/>
              <w:spacing w:after="0" w:line="159" w:lineRule="exact"/>
              <w:rPr>
                <w:sz w:val="20"/>
                <w:szCs w:val="20"/>
                <w:color w:val="auto"/>
              </w:rPr>
            </w:pPr>
            <w:r>
              <w:rPr>
                <w:rFonts w:ascii="Times New Roman" w:cs="Times New Roman" w:eastAsia="Times New Roman" w:hAnsi="Times New Roman"/>
                <w:sz w:val="14"/>
                <w:szCs w:val="14"/>
                <w:color w:val="auto"/>
              </w:rPr>
              <w:t>were included in primary</w:t>
            </w: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analysis</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13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5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93" w:right="339"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Dialysis Access</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V001</w:t>
            </w:r>
          </w:p>
        </w:tc>
        <w:tc>
          <w:tcPr>
            <w:tcW w:w="1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Dialysis Access</w:t>
            </w:r>
          </w:p>
        </w:tc>
        <w:tc>
          <w:tcPr>
            <w:tcW w:w="9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2012</w:t>
            </w:r>
          </w:p>
        </w:tc>
        <w:tc>
          <w:tcPr>
            <w:tcW w:w="17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w w:val="99"/>
              </w:rPr>
              <w:t>Phase 2 Single-arm</w:t>
            </w:r>
          </w:p>
        </w:tc>
        <w:tc>
          <w:tcPr>
            <w:tcW w:w="18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40</w:t>
            </w:r>
          </w:p>
        </w:tc>
        <w:tc>
          <w:tcPr>
            <w:tcW w:w="14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Completed</w:t>
            </w:r>
          </w:p>
        </w:tc>
      </w:tr>
      <w:tr>
        <w:trPr>
          <w:trHeight w:val="1072"/>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V003</w:t>
            </w:r>
          </w:p>
        </w:tc>
        <w:tc>
          <w:tcPr>
            <w:tcW w:w="1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Dialysis Access</w:t>
            </w:r>
          </w:p>
        </w:tc>
        <w:tc>
          <w:tcPr>
            <w:tcW w:w="9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2013</w:t>
            </w:r>
          </w:p>
        </w:tc>
        <w:tc>
          <w:tcPr>
            <w:tcW w:w="17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w w:val="99"/>
              </w:rPr>
              <w:t>Phase 2 Single-arm</w:t>
            </w:r>
          </w:p>
        </w:tc>
        <w:tc>
          <w:tcPr>
            <w:tcW w:w="18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20</w:t>
            </w:r>
          </w:p>
        </w:tc>
        <w:tc>
          <w:tcPr>
            <w:tcW w:w="14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Completed</w:t>
            </w:r>
          </w:p>
        </w:tc>
      </w:tr>
      <w:tr>
        <w:trPr>
          <w:trHeight w:val="87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V006</w:t>
            </w:r>
          </w:p>
        </w:tc>
        <w:tc>
          <w:tcPr>
            <w:tcW w:w="1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Dialysis Access</w:t>
            </w:r>
          </w:p>
        </w:tc>
        <w:tc>
          <w:tcPr>
            <w:tcW w:w="9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2016</w:t>
            </w:r>
          </w:p>
        </w:tc>
        <w:tc>
          <w:tcPr>
            <w:tcW w:w="17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w w:val="99"/>
              </w:rPr>
              <w:t>Phase 3 Prospective</w:t>
            </w:r>
          </w:p>
        </w:tc>
        <w:tc>
          <w:tcPr>
            <w:tcW w:w="18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355 total; 177 received</w:t>
            </w:r>
          </w:p>
        </w:tc>
        <w:tc>
          <w:tcPr>
            <w:tcW w:w="14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Completed</w:t>
            </w:r>
          </w:p>
        </w:tc>
      </w:tr>
      <w:tr>
        <w:trPr>
          <w:trHeight w:val="184"/>
        </w:trPr>
        <w:tc>
          <w:tcPr>
            <w:tcW w:w="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Randomized Blinded</w:t>
            </w:r>
          </w:p>
        </w:tc>
        <w:tc>
          <w:tcPr>
            <w:tcW w:w="184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231F20"/>
                <w:w w:val="98"/>
              </w:rPr>
              <w:t xml:space="preserve">ATEV, </w:t>
            </w:r>
            <w:r>
              <w:rPr>
                <w:rFonts w:ascii="Times New Roman" w:cs="Times New Roman" w:eastAsia="Times New Roman" w:hAnsi="Times New Roman"/>
                <w:sz w:val="14"/>
                <w:szCs w:val="14"/>
                <w:color w:val="000000"/>
                <w:w w:val="98"/>
              </w:rPr>
              <w:t>178 received ePTFE</w:t>
            </w:r>
          </w:p>
        </w:tc>
        <w:tc>
          <w:tcPr>
            <w:tcW w:w="1420" w:type="dxa"/>
            <w:vAlign w:val="bottom"/>
          </w:tcPr>
          <w:p>
            <w:pPr>
              <w:spacing w:after="0"/>
              <w:rPr>
                <w:sz w:val="15"/>
                <w:szCs w:val="15"/>
                <w:color w:val="auto"/>
              </w:rPr>
            </w:pPr>
          </w:p>
        </w:tc>
      </w:tr>
      <w:tr>
        <w:trPr>
          <w:trHeight w:val="1219"/>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V007</w:t>
            </w:r>
          </w:p>
        </w:tc>
        <w:tc>
          <w:tcPr>
            <w:tcW w:w="1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Dialysis Access</w:t>
            </w:r>
          </w:p>
        </w:tc>
        <w:tc>
          <w:tcPr>
            <w:tcW w:w="9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2017</w:t>
            </w:r>
          </w:p>
        </w:tc>
        <w:tc>
          <w:tcPr>
            <w:tcW w:w="17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w w:val="99"/>
              </w:rPr>
              <w:t>Phase 3 Prospective</w:t>
            </w:r>
          </w:p>
        </w:tc>
        <w:tc>
          <w:tcPr>
            <w:tcW w:w="18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242 total; 123 received</w:t>
            </w:r>
          </w:p>
        </w:tc>
        <w:tc>
          <w:tcPr>
            <w:tcW w:w="14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Topline results reported</w:t>
            </w:r>
          </w:p>
        </w:tc>
      </w:tr>
      <w:tr>
        <w:trPr>
          <w:trHeight w:val="172"/>
        </w:trPr>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Randomized Blinded</w:t>
            </w:r>
          </w:p>
        </w:tc>
        <w:tc>
          <w:tcPr>
            <w:tcW w:w="18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6"/>
              </w:rPr>
              <w:t>ATEV, 119 received AVF</w:t>
            </w:r>
          </w:p>
        </w:tc>
        <w:tc>
          <w:tcPr>
            <w:tcW w:w="14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August 2024, two-year</w:t>
            </w:r>
          </w:p>
        </w:tc>
      </w:tr>
      <w:tr>
        <w:trPr>
          <w:trHeight w:val="184"/>
        </w:trPr>
        <w:tc>
          <w:tcPr>
            <w:tcW w:w="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follow-up in process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-2471420</wp:posOffset>
            </wp:positionV>
            <wp:extent cx="7134860" cy="680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6807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-1219200</wp:posOffset>
            </wp:positionV>
            <wp:extent cx="7134860" cy="890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90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30-day PP: 95%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6-month SP: 100%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12-month SP: 97%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60-month SP: 58%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Infection Rate/yr: 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Rejections: 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30-day PP: 95%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6-month SP: 89%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12-month SP: 81%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Infection Rate/yr: 4% (1 event)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Rejections: 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30-day PP </w:t>
      </w:r>
      <w:r>
        <w:rPr>
          <w:rFonts w:ascii="Times New Roman" w:cs="Times New Roman" w:eastAsia="Times New Roman" w:hAnsi="Times New Roman"/>
          <w:sz w:val="14"/>
          <w:szCs w:val="14"/>
          <w:color w:val="231F20"/>
        </w:rPr>
        <w:t>ATEV</w:t>
      </w:r>
      <w:r>
        <w:rPr>
          <w:rFonts w:ascii="Times New Roman" w:cs="Times New Roman" w:eastAsia="Times New Roman" w:hAnsi="Times New Roman"/>
          <w:sz w:val="14"/>
          <w:szCs w:val="14"/>
          <w:color w:val="auto"/>
        </w:rPr>
        <w:t>: 93%</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12-month SP </w:t>
      </w:r>
      <w:r>
        <w:rPr>
          <w:rFonts w:ascii="Times New Roman" w:cs="Times New Roman" w:eastAsia="Times New Roman" w:hAnsi="Times New Roman"/>
          <w:sz w:val="14"/>
          <w:szCs w:val="14"/>
          <w:color w:val="231F20"/>
        </w:rPr>
        <w:t>ATEV</w:t>
      </w:r>
      <w:r>
        <w:rPr>
          <w:rFonts w:ascii="Times New Roman" w:cs="Times New Roman" w:eastAsia="Times New Roman" w:hAnsi="Times New Roman"/>
          <w:sz w:val="14"/>
          <w:szCs w:val="14"/>
          <w:color w:val="auto"/>
        </w:rPr>
        <w:t>: 82%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24-month SP </w:t>
      </w:r>
      <w:r>
        <w:rPr>
          <w:rFonts w:ascii="Times New Roman" w:cs="Times New Roman" w:eastAsia="Times New Roman" w:hAnsi="Times New Roman"/>
          <w:sz w:val="14"/>
          <w:szCs w:val="14"/>
          <w:color w:val="231F20"/>
        </w:rPr>
        <w:t>ATEV</w:t>
      </w:r>
      <w:r>
        <w:rPr>
          <w:rFonts w:ascii="Times New Roman" w:cs="Times New Roman" w:eastAsia="Times New Roman" w:hAnsi="Times New Roman"/>
          <w:sz w:val="14"/>
          <w:szCs w:val="14"/>
          <w:color w:val="auto"/>
        </w:rPr>
        <w:t>: 67%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12-month SP ePTFE: 80%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24-month SP ePTFE: 74% Infection Rate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ATEV</w:t>
      </w:r>
      <w:r>
        <w:rPr>
          <w:rFonts w:ascii="Times New Roman" w:cs="Times New Roman" w:eastAsia="Times New Roman" w:hAnsi="Times New Roman"/>
          <w:sz w:val="14"/>
          <w:szCs w:val="14"/>
          <w:color w:val="000000"/>
        </w:rPr>
        <w:t>/yr: 0.93%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Infection Rate ePTFE/yr: 4.5%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Number of </w:t>
      </w:r>
      <w:r>
        <w:rPr>
          <w:rFonts w:ascii="Times New Roman" w:cs="Times New Roman" w:eastAsia="Times New Roman" w:hAnsi="Times New Roman"/>
          <w:sz w:val="14"/>
          <w:szCs w:val="14"/>
          <w:color w:val="231F20"/>
        </w:rPr>
        <w:t>ATEV</w:t>
      </w:r>
      <w:r>
        <w:rPr>
          <w:rFonts w:ascii="Times New Roman" w:cs="Times New Roman" w:eastAsia="Times New Roman" w:hAnsi="Times New Roman"/>
          <w:sz w:val="14"/>
          <w:szCs w:val="14"/>
          <w:color w:val="auto"/>
        </w:rPr>
        <w:t xml:space="preserve"> Rejections: 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6-month SP ATEV: 81%</w:t>
      </w:r>
    </w:p>
    <w:p>
      <w:pPr>
        <w:spacing w:after="0" w:line="217" w:lineRule="auto"/>
        <w:rPr>
          <w:sz w:val="20"/>
          <w:szCs w:val="20"/>
          <w:color w:val="auto"/>
        </w:rPr>
      </w:pPr>
      <w:r>
        <w:rPr>
          <w:rFonts w:ascii="Times New Roman" w:cs="Times New Roman" w:eastAsia="Times New Roman" w:hAnsi="Times New Roman"/>
          <w:sz w:val="14"/>
          <w:szCs w:val="14"/>
          <w:color w:val="auto"/>
        </w:rPr>
        <w:t>12-month SP ATEV: 68%</w:t>
      </w:r>
    </w:p>
    <w:p>
      <w:pPr>
        <w:spacing w:after="0" w:line="217" w:lineRule="auto"/>
        <w:rPr>
          <w:sz w:val="20"/>
          <w:szCs w:val="20"/>
          <w:color w:val="auto"/>
        </w:rPr>
      </w:pPr>
      <w:r>
        <w:rPr>
          <w:rFonts w:ascii="Times New Roman" w:cs="Times New Roman" w:eastAsia="Times New Roman" w:hAnsi="Times New Roman"/>
          <w:sz w:val="14"/>
          <w:szCs w:val="14"/>
          <w:color w:val="auto"/>
        </w:rPr>
        <w:t>6-month SP AVF: 66%</w:t>
      </w:r>
    </w:p>
    <w:p>
      <w:pPr>
        <w:spacing w:after="0"/>
        <w:rPr>
          <w:sz w:val="20"/>
          <w:szCs w:val="20"/>
          <w:color w:val="auto"/>
        </w:rPr>
      </w:pPr>
      <w:r>
        <w:rPr>
          <w:rFonts w:ascii="Times New Roman" w:cs="Times New Roman" w:eastAsia="Times New Roman" w:hAnsi="Times New Roman"/>
          <w:sz w:val="14"/>
          <w:szCs w:val="14"/>
          <w:color w:val="auto"/>
        </w:rPr>
        <w:t>12-month SP AVF: 62%</w:t>
      </w:r>
    </w:p>
    <w:p>
      <w:pPr>
        <w:spacing w:after="0" w:line="31" w:lineRule="exact"/>
        <w:rPr>
          <w:sz w:val="20"/>
          <w:szCs w:val="20"/>
          <w:color w:val="auto"/>
        </w:rPr>
      </w:pPr>
    </w:p>
    <w:p>
      <w:pPr>
        <w:sectPr>
          <w:pgSz w:w="11900" w:h="16838" w:orient="portrait"/>
          <w:cols w:equalWidth="0" w:num="2">
            <w:col w:w="8600" w:space="140"/>
            <w:col w:w="2500"/>
          </w:cols>
          <w:pgMar w:left="320" w:top="293" w:right="3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1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V011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Dialysis Access</w:t>
            </w:r>
          </w:p>
        </w:tc>
        <w:tc>
          <w:tcPr>
            <w:tcW w:w="9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2019</w:t>
            </w:r>
          </w:p>
        </w:tc>
        <w:tc>
          <w:tcPr>
            <w:tcW w:w="182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Phase 2 (LUNA200</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Completed</w:t>
            </w: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30-day PP: 97%</w:t>
            </w:r>
          </w:p>
        </w:tc>
      </w:tr>
      <w:tr>
        <w:trPr>
          <w:trHeight w:val="172"/>
        </w:trPr>
        <w:tc>
          <w:tcPr>
            <w:tcW w:w="1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2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Manufacturing System</w:t>
            </w:r>
          </w:p>
        </w:tc>
        <w:tc>
          <w:tcPr>
            <w:tcW w:w="18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30-day SP: 100%</w:t>
            </w:r>
          </w:p>
        </w:tc>
      </w:tr>
      <w:tr>
        <w:trPr>
          <w:trHeight w:val="172"/>
        </w:trPr>
        <w:tc>
          <w:tcPr>
            <w:tcW w:w="1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2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Bridging Study)</w:t>
            </w:r>
          </w:p>
        </w:tc>
        <w:tc>
          <w:tcPr>
            <w:tcW w:w="18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12-month SP: 83%</w:t>
            </w:r>
          </w:p>
        </w:tc>
      </w:tr>
      <w:tr>
        <w:trPr>
          <w:trHeight w:val="172"/>
        </w:trPr>
        <w:tc>
          <w:tcPr>
            <w:tcW w:w="1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Infection Rate </w:t>
            </w:r>
            <w:r>
              <w:rPr>
                <w:rFonts w:ascii="Times New Roman" w:cs="Times New Roman" w:eastAsia="Times New Roman" w:hAnsi="Times New Roman"/>
                <w:sz w:val="14"/>
                <w:szCs w:val="14"/>
                <w:color w:val="231F20"/>
              </w:rPr>
              <w:t>ATEV</w:t>
            </w:r>
            <w:r>
              <w:rPr>
                <w:rFonts w:ascii="Times New Roman" w:cs="Times New Roman" w:eastAsia="Times New Roman" w:hAnsi="Times New Roman"/>
                <w:sz w:val="14"/>
                <w:szCs w:val="14"/>
                <w:color w:val="auto"/>
              </w:rPr>
              <w:t>/yr: 0%</w:t>
            </w:r>
          </w:p>
        </w:tc>
      </w:tr>
      <w:tr>
        <w:trPr>
          <w:trHeight w:val="201"/>
        </w:trPr>
        <w:tc>
          <w:tcPr>
            <w:tcW w:w="1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Number of </w:t>
            </w:r>
            <w:r>
              <w:rPr>
                <w:rFonts w:ascii="Times New Roman" w:cs="Times New Roman" w:eastAsia="Times New Roman" w:hAnsi="Times New Roman"/>
                <w:sz w:val="14"/>
                <w:szCs w:val="14"/>
                <w:color w:val="231F20"/>
              </w:rPr>
              <w:t>ATEV</w:t>
            </w:r>
            <w:r>
              <w:rPr>
                <w:rFonts w:ascii="Times New Roman" w:cs="Times New Roman" w:eastAsia="Times New Roman" w:hAnsi="Times New Roman"/>
                <w:sz w:val="14"/>
                <w:szCs w:val="14"/>
                <w:color w:val="auto"/>
              </w:rPr>
              <w:t xml:space="preserve"> Rejections: 0</w:t>
            </w:r>
          </w:p>
        </w:tc>
      </w:tr>
      <w:tr>
        <w:trPr>
          <w:trHeight w:val="146"/>
        </w:trPr>
        <w:tc>
          <w:tcPr>
            <w:tcW w:w="1160" w:type="dxa"/>
            <w:vAlign w:val="bottom"/>
          </w:tcPr>
          <w:p>
            <w:pPr>
              <w:ind w:left="520"/>
              <w:spacing w:after="0" w:line="146" w:lineRule="exact"/>
              <w:rPr>
                <w:sz w:val="20"/>
                <w:szCs w:val="20"/>
                <w:color w:val="auto"/>
              </w:rPr>
            </w:pPr>
            <w:r>
              <w:rPr>
                <w:rFonts w:ascii="Times New Roman" w:cs="Times New Roman" w:eastAsia="Times New Roman" w:hAnsi="Times New Roman"/>
                <w:sz w:val="14"/>
                <w:szCs w:val="14"/>
                <w:color w:val="auto"/>
              </w:rPr>
              <w:t>V012</w:t>
            </w: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Dialysis Access</w:t>
            </w:r>
          </w:p>
        </w:tc>
        <w:tc>
          <w:tcPr>
            <w:tcW w:w="900" w:type="dxa"/>
            <w:vAlign w:val="bottom"/>
          </w:tcPr>
          <w:p>
            <w:pPr>
              <w:jc w:val="right"/>
              <w:ind w:right="269"/>
              <w:spacing w:after="0" w:line="146" w:lineRule="exact"/>
              <w:rPr>
                <w:sz w:val="20"/>
                <w:szCs w:val="20"/>
                <w:color w:val="auto"/>
              </w:rPr>
            </w:pPr>
            <w:r>
              <w:rPr>
                <w:rFonts w:ascii="Times New Roman" w:cs="Times New Roman" w:eastAsia="Times New Roman" w:hAnsi="Times New Roman"/>
                <w:sz w:val="14"/>
                <w:szCs w:val="14"/>
                <w:color w:val="auto"/>
              </w:rPr>
              <w:t>2023</w:t>
            </w:r>
          </w:p>
        </w:tc>
        <w:tc>
          <w:tcPr>
            <w:tcW w:w="1820" w:type="dxa"/>
            <w:vAlign w:val="bottom"/>
          </w:tcPr>
          <w:p>
            <w:pPr>
              <w:jc w:val="center"/>
              <w:ind w:left="109"/>
              <w:spacing w:after="0" w:line="146" w:lineRule="exact"/>
              <w:rPr>
                <w:sz w:val="20"/>
                <w:szCs w:val="20"/>
                <w:color w:val="auto"/>
              </w:rPr>
            </w:pPr>
            <w:r>
              <w:rPr>
                <w:rFonts w:ascii="Times New Roman" w:cs="Times New Roman" w:eastAsia="Times New Roman" w:hAnsi="Times New Roman"/>
                <w:sz w:val="14"/>
                <w:szCs w:val="14"/>
                <w:color w:val="auto"/>
                <w:w w:val="99"/>
              </w:rPr>
              <w:t>Phase 3 Prospective</w:t>
            </w: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 xml:space="preserve">Target 150 women total, </w:t>
            </w:r>
            <w:r>
              <w:rPr>
                <w:rFonts w:ascii="Times New Roman" w:cs="Times New Roman" w:eastAsia="Times New Roman" w:hAnsi="Times New Roman"/>
                <w:sz w:val="14"/>
                <w:szCs w:val="14"/>
                <w:color w:val="231F20"/>
                <w:w w:val="99"/>
              </w:rPr>
              <w:t>76</w:t>
            </w:r>
          </w:p>
        </w:tc>
        <w:tc>
          <w:tcPr>
            <w:tcW w:w="14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Enrollment ongoing</w:t>
            </w:r>
          </w:p>
        </w:tc>
        <w:tc>
          <w:tcPr>
            <w:tcW w:w="262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Trial is currently enrolling, interim analysis</w:t>
            </w:r>
          </w:p>
        </w:tc>
      </w:tr>
      <w:tr>
        <w:trPr>
          <w:trHeight w:val="159"/>
        </w:trPr>
        <w:tc>
          <w:tcPr>
            <w:tcW w:w="1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jc w:val="center"/>
              <w:ind w:left="109"/>
              <w:spacing w:after="0" w:line="159" w:lineRule="exact"/>
              <w:rPr>
                <w:sz w:val="20"/>
                <w:szCs w:val="20"/>
                <w:color w:val="auto"/>
              </w:rPr>
            </w:pPr>
            <w:r>
              <w:rPr>
                <w:rFonts w:ascii="Times New Roman" w:cs="Times New Roman" w:eastAsia="Times New Roman" w:hAnsi="Times New Roman"/>
                <w:sz w:val="14"/>
                <w:szCs w:val="14"/>
                <w:color w:val="auto"/>
              </w:rPr>
              <w:t>Randomized Blinded</w:t>
            </w:r>
          </w:p>
        </w:tc>
        <w:tc>
          <w:tcPr>
            <w:tcW w:w="1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currently enrolled</w:t>
            </w:r>
          </w:p>
        </w:tc>
        <w:tc>
          <w:tcPr>
            <w:tcW w:w="1400" w:type="dxa"/>
            <w:vAlign w:val="bottom"/>
          </w:tcPr>
          <w:p>
            <w:pPr>
              <w:spacing w:after="0"/>
              <w:rPr>
                <w:sz w:val="13"/>
                <w:szCs w:val="13"/>
                <w:color w:val="auto"/>
              </w:rPr>
            </w:pPr>
          </w:p>
        </w:tc>
        <w:tc>
          <w:tcPr>
            <w:tcW w:w="262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color w:val="auto"/>
              </w:rPr>
              <w:t>planned on first 80 patients after one-year</w:t>
            </w:r>
          </w:p>
        </w:tc>
      </w:tr>
      <w:tr>
        <w:trPr>
          <w:trHeight w:val="172"/>
        </w:trPr>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follow up</w:t>
            </w:r>
          </w:p>
        </w:tc>
      </w:tr>
      <w:tr>
        <w:trPr>
          <w:trHeight w:val="205"/>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Peripheral Artery Disease</w:t>
            </w:r>
          </w:p>
        </w:tc>
        <w:tc>
          <w:tcPr>
            <w:tcW w:w="9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spacing w:after="0"/>
              <w:rPr>
                <w:sz w:val="17"/>
                <w:szCs w:val="17"/>
                <w:color w:val="auto"/>
              </w:rPr>
            </w:pPr>
          </w:p>
        </w:tc>
      </w:tr>
      <w:tr>
        <w:trPr>
          <w:trHeight w:val="163"/>
        </w:trPr>
        <w:tc>
          <w:tcPr>
            <w:tcW w:w="11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V002</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PAD</w:t>
            </w:r>
          </w:p>
        </w:tc>
        <w:tc>
          <w:tcPr>
            <w:tcW w:w="9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2013</w:t>
            </w:r>
          </w:p>
        </w:tc>
        <w:tc>
          <w:tcPr>
            <w:tcW w:w="182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w w:val="99"/>
              </w:rPr>
              <w:t>Phase 2 Single-arm</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10-year follow-up</w:t>
            </w:r>
          </w:p>
        </w:tc>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30-day PP: 100%</w:t>
            </w:r>
          </w:p>
        </w:tc>
      </w:tr>
      <w:tr>
        <w:trPr>
          <w:trHeight w:val="172"/>
        </w:trPr>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ongoing</w:t>
            </w:r>
          </w:p>
        </w:tc>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6-month SP: 84%</w:t>
            </w:r>
          </w:p>
        </w:tc>
      </w:tr>
      <w:tr>
        <w:trPr>
          <w:trHeight w:val="172"/>
        </w:trPr>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12-month SP: 84%</w:t>
            </w:r>
          </w:p>
        </w:tc>
      </w:tr>
      <w:tr>
        <w:trPr>
          <w:trHeight w:val="172"/>
        </w:trPr>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72-month SP: 60%</w:t>
            </w:r>
          </w:p>
        </w:tc>
      </w:tr>
      <w:tr>
        <w:trPr>
          <w:trHeight w:val="172"/>
        </w:trPr>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Infection Rate/yr: 0%</w:t>
            </w:r>
          </w:p>
        </w:tc>
      </w:tr>
      <w:tr>
        <w:trPr>
          <w:trHeight w:val="184"/>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Number of Rejections: 0</w:t>
            </w:r>
          </w:p>
        </w:tc>
      </w:tr>
      <w:tr>
        <w:trPr>
          <w:trHeight w:val="37"/>
        </w:trPr>
        <w:tc>
          <w:tcPr>
            <w:tcW w:w="1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163"/>
        </w:trPr>
        <w:tc>
          <w:tcPr>
            <w:tcW w:w="1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V004</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2"/>
              </w:rPr>
              <w:t>PAD</w:t>
            </w:r>
          </w:p>
        </w:tc>
        <w:tc>
          <w:tcPr>
            <w:tcW w:w="9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2016</w:t>
            </w:r>
          </w:p>
        </w:tc>
        <w:tc>
          <w:tcPr>
            <w:tcW w:w="182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Phase 2 Single-arm</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Completed</w:t>
            </w: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30-day PP: 100%</w:t>
            </w:r>
          </w:p>
        </w:tc>
      </w:tr>
      <w:tr>
        <w:trPr>
          <w:trHeight w:val="172"/>
        </w:trPr>
        <w:tc>
          <w:tcPr>
            <w:tcW w:w="1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6-month SP: 86%</w:t>
            </w:r>
          </w:p>
        </w:tc>
      </w:tr>
      <w:tr>
        <w:trPr>
          <w:trHeight w:val="172"/>
        </w:trPr>
        <w:tc>
          <w:tcPr>
            <w:tcW w:w="1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12-month SP: 64%</w:t>
            </w:r>
          </w:p>
        </w:tc>
      </w:tr>
      <w:tr>
        <w:trPr>
          <w:trHeight w:val="172"/>
        </w:trPr>
        <w:tc>
          <w:tcPr>
            <w:tcW w:w="1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Infection Rate/yr: 0%</w:t>
            </w:r>
          </w:p>
        </w:tc>
      </w:tr>
      <w:tr>
        <w:trPr>
          <w:trHeight w:val="172"/>
        </w:trPr>
        <w:tc>
          <w:tcPr>
            <w:tcW w:w="1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Number of Rejections: 0</w:t>
            </w:r>
          </w:p>
        </w:tc>
      </w:tr>
      <w:tr>
        <w:trPr>
          <w:trHeight w:val="184"/>
        </w:trPr>
        <w:tc>
          <w:tcPr>
            <w:tcW w:w="1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Number of Amputations: 0</w:t>
            </w:r>
          </w:p>
        </w:tc>
      </w:tr>
      <w:tr>
        <w:trPr>
          <w:trHeight w:val="37"/>
        </w:trPr>
        <w:tc>
          <w:tcPr>
            <w:tcW w:w="11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67" w:lineRule="exact"/>
        <w:rPr>
          <w:sz w:val="20"/>
          <w:szCs w:val="20"/>
          <w:color w:val="auto"/>
        </w:rPr>
      </w:pPr>
    </w:p>
    <w:p>
      <w:pPr>
        <w:ind w:left="320" w:right="720" w:hanging="314"/>
        <w:spacing w:after="0" w:line="271" w:lineRule="auto"/>
        <w:tabs>
          <w:tab w:leader="none" w:pos="35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PP: Primary Patency, which is the interval of time of access placement until any intervention designed to maintain or reestablish patency, access thrombosis, or the time of measurement of patency, i.e. patent without interventions.</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SP: Secondary Patency, which is the interval from the time of access placement until abandonment, i.e. patent with or without interventions.</w:t>
      </w: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As of December 31, 2024, approximately 601 patients worldwide have received our ATEVs in clinical trials, and expanded access and humanitarian programs, for the treatment of vascular trauma, AV access for hemodialysis, PAD, and in expanded access cases resulting in approximately 1,277 subject-years of exposure to the ATEV. Our cumulative ATEV exposure is approximately 993 subject-years in the hemodialysis access population, 168 subject-years in the PAD population, and 115 subject-years in the arterial trauma population. The longest our ATEV has been in a patient and used for dialysis is more than ten years and there have been more than 117,000 estimated dialysis sessions using our ATEVs. A total of 29 expanded access/compassionate use cases have been granted by the FDA, and another 28 patients with severe PAD have been treated with the ATEV under an investigator IND at the Mayo Clinic. Lastly, 19 patients suffering vascular injuries during the conflict in Ukraine have been treated with the ATEV under a humanitarian program. Throughout all of these trials and other programs, we have observed that our ATEVs functioned as intended and provided functional blood flow to affected limbs. We have also observed consistent durability with a strong tolerability profile. Furthermore, we have observed no evidence of clinically relevant immunologic reactions to our ATEVs, supporting the potential use of our ATEVs as off-the-shelf, universally implantable, bioengineered human tissues.</w:t>
      </w:r>
    </w:p>
    <w:p>
      <w:pPr>
        <w:spacing w:after="0" w:line="151" w:lineRule="exact"/>
        <w:rPr>
          <w:sz w:val="20"/>
          <w:szCs w:val="20"/>
          <w:color w:val="auto"/>
        </w:rPr>
      </w:pPr>
    </w:p>
    <w:p>
      <w:pPr>
        <w:ind w:right="200" w:firstLine="318"/>
        <w:spacing w:after="0" w:line="254" w:lineRule="auto"/>
        <w:rPr>
          <w:sz w:val="20"/>
          <w:szCs w:val="20"/>
          <w:color w:val="auto"/>
        </w:rPr>
      </w:pPr>
      <w:r>
        <w:rPr>
          <w:rFonts w:ascii="Times New Roman" w:cs="Times New Roman" w:eastAsia="Times New Roman" w:hAnsi="Times New Roman"/>
          <w:sz w:val="18"/>
          <w:szCs w:val="18"/>
          <w:color w:val="231F20"/>
        </w:rPr>
        <w:t>Overall, the ATEV has functioned well and as intended, across ten different clinical trials in three clinical indications. The ATEV has been implanted in approximately 601 patients, across more than 85 clinical sites in seven countries, over more than ten years as of December 31, 2024. We have observed zero instances of clinical rejection of the ATEV in any clinical trial over the past ten years, suggesting that the ATEV was not immunologically rejected after implantation.</w:t>
      </w:r>
    </w:p>
    <w:p>
      <w:pPr>
        <w:spacing w:after="0" w:line="143" w:lineRule="exact"/>
        <w:rPr>
          <w:sz w:val="20"/>
          <w:szCs w:val="20"/>
          <w:color w:val="auto"/>
        </w:rPr>
      </w:pPr>
    </w:p>
    <w:p>
      <w:pPr>
        <w:ind w:right="80" w:firstLine="318"/>
        <w:spacing w:after="0" w:line="254" w:lineRule="auto"/>
        <w:rPr>
          <w:sz w:val="20"/>
          <w:szCs w:val="20"/>
          <w:color w:val="auto"/>
        </w:rPr>
      </w:pPr>
      <w:r>
        <w:rPr>
          <w:rFonts w:ascii="Times New Roman" w:cs="Times New Roman" w:eastAsia="Times New Roman" w:hAnsi="Times New Roman"/>
          <w:sz w:val="18"/>
          <w:szCs w:val="18"/>
          <w:color w:val="231F20"/>
        </w:rPr>
        <w:t>Based on clinical trial results to date, we have observed that the ATEVs have a low infection rate, with an infection rate averaging approximately 1.0% or less per patient-year in our AV access trials, and low infection rates in our trauma and PAD trials (ranging from 0% to approximately 2%, depending on the trial and indication). Vascular graft infections are a potentially serious complication and can result in adverse outcomes such as sepsis, hospitalization, long-term antibiotic use, repeat procedures and even death.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ATEVs Remodel with Host Cells After Implantation</w:t>
      </w:r>
    </w:p>
    <w:p>
      <w:pPr>
        <w:spacing w:after="0" w:line="177"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231F20"/>
        </w:rPr>
        <w:t xml:space="preserve">Additionally, based on clinical samples obtained during our Phase 2 AV access trials and published in three peer reviewed journals, </w:t>
      </w:r>
      <w:r>
        <w:rPr>
          <w:rFonts w:ascii="Times New Roman" w:cs="Times New Roman" w:eastAsia="Times New Roman" w:hAnsi="Times New Roman"/>
          <w:sz w:val="18"/>
          <w:szCs w:val="18"/>
          <w:i w:val="1"/>
          <w:iCs w:val="1"/>
          <w:color w:val="231F20"/>
        </w:rPr>
        <w:t>The Lancet</w:t>
      </w:r>
      <w:r>
        <w:rPr>
          <w:rFonts w:ascii="Times New Roman" w:cs="Times New Roman" w:eastAsia="Times New Roman" w:hAnsi="Times New Roman"/>
          <w:sz w:val="18"/>
          <w:szCs w:val="18"/>
          <w:color w:val="231F20"/>
        </w:rPr>
        <w:t xml:space="preserve"> in 2016, </w:t>
      </w:r>
      <w:r>
        <w:rPr>
          <w:rFonts w:ascii="Times New Roman" w:cs="Times New Roman" w:eastAsia="Times New Roman" w:hAnsi="Times New Roman"/>
          <w:sz w:val="18"/>
          <w:szCs w:val="18"/>
          <w:i w:val="1"/>
          <w:iCs w:val="1"/>
          <w:color w:val="231F20"/>
        </w:rPr>
        <w:t xml:space="preserve">Science Translational Medicine </w:t>
      </w:r>
      <w:r>
        <w:rPr>
          <w:rFonts w:ascii="Times New Roman" w:cs="Times New Roman" w:eastAsia="Times New Roman" w:hAnsi="Times New Roman"/>
          <w:sz w:val="18"/>
          <w:szCs w:val="18"/>
          <w:color w:val="231F20"/>
        </w:rPr>
        <w:t>in 2019, and in the</w:t>
      </w:r>
      <w:r>
        <w:rPr>
          <w:rFonts w:ascii="Times New Roman" w:cs="Times New Roman" w:eastAsia="Times New Roman" w:hAnsi="Times New Roman"/>
          <w:sz w:val="18"/>
          <w:szCs w:val="18"/>
          <w:i w:val="1"/>
          <w:iCs w:val="1"/>
          <w:color w:val="231F20"/>
        </w:rPr>
        <w:t xml:space="preserve"> Journal of Vascular Surgery </w:t>
      </w:r>
      <w:r>
        <w:rPr>
          <w:rFonts w:ascii="Times New Roman" w:cs="Times New Roman" w:eastAsia="Times New Roman" w:hAnsi="Times New Roman"/>
          <w:sz w:val="18"/>
          <w:szCs w:val="18"/>
          <w:color w:val="231F20"/>
        </w:rPr>
        <w:t>in 2020, we observed that the ATEV became populated with healthy, vascular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cells from the patient. As described in these publications, over time the patient’s cells have been observed to transform the ATEV into a multi-layered living tissue similar to native blood vessels. In these trials we have also observed ongoing cellular repair of ATEV tissues that had been previously injured during cannulation with dialysis needles, which suggests that the recellularized ATEV may be capable of self-healing. The image below shows an ATEV that had been implanted in a hemodialysis patient for 44 weeks, that had developed alpha-actin positive vascular smooth muscle cells throughout the wall (red staining in the left-hand panel), and had developed a layer of CD31+ endothelial cells on the inner luminal surface of the ATEV (line of red endothelial cells indicated in the right-hand panel).</w:t>
      </w:r>
    </w:p>
    <w:p>
      <w:pPr>
        <w:spacing w:after="0" w:line="14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i w:val="1"/>
          <w:iCs w:val="1"/>
          <w:color w:val="231F20"/>
        </w:rPr>
        <w:t>Histological Images of ATEV Repopulated with the Patient’s Own Vascular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1256030</wp:posOffset>
            </wp:positionH>
            <wp:positionV relativeFrom="paragraph">
              <wp:posOffset>133350</wp:posOffset>
            </wp:positionV>
            <wp:extent cx="4840605" cy="2117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40605"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ATEVs Low Rate of Infection</w:t>
      </w:r>
    </w:p>
    <w:p>
      <w:pPr>
        <w:spacing w:after="0" w:line="179"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 xml:space="preserve">In July 2023, a preclinical study that supported a possible scientific basis for the low rates of infection that have been observed in clinical trials of the ATEV was published in the </w:t>
      </w:r>
      <w:r>
        <w:rPr>
          <w:rFonts w:ascii="Times New Roman" w:cs="Times New Roman" w:eastAsia="Times New Roman" w:hAnsi="Times New Roman"/>
          <w:sz w:val="18"/>
          <w:szCs w:val="18"/>
          <w:i w:val="1"/>
          <w:iCs w:val="1"/>
          <w:color w:val="231F20"/>
        </w:rPr>
        <w:t>Journal of Vascular Surgery – Vascular Science</w:t>
      </w:r>
      <w:r>
        <w:rPr>
          <w:rFonts w:ascii="Times New Roman" w:cs="Times New Roman" w:eastAsia="Times New Roman" w:hAnsi="Times New Roman"/>
          <w:sz w:val="18"/>
          <w:szCs w:val="18"/>
          <w:color w:val="231F20"/>
        </w:rPr>
        <w:t>. This work compared the infection resistance of the ATEV to ePTFE grafts, which are made of plastic. The laboratory results suggest that the bioengineered human tissue of the ATEV may have superior compatibility with the body's own neutrophils (white blood cells that combat bacterial infections) as compared to ePTFE. Histology and laboratory analyses performed in the preclinical study suggests that while human white blood cells die when they come in contact with ePTFE, the cells survive and function in contact with the ATEV, which may improve the ability of the ATEV to fight dangerous infections once implanted in the body.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Indication #1: Use of ATEV to Repair Extremity Vascular Trauma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Overview of Vascular Trauma</w:t>
      </w:r>
    </w:p>
    <w:p>
      <w:pPr>
        <w:spacing w:after="0" w:line="179"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Arterial injuries resulting from vascular trauma are common in military and civilian populations, frequently resulting in the loss of life or limb. In military populations, as the rate of battlefield fatalities has been declining due to faster evacuations and more robust protection from body armor, the rate of survivable vascular injuries has been increasing. In civilian populations, trauma injuries are primarily caused by motor vehicle, workplace and sporting accidents, gun violence, mass casualty terrorist attacks, stabbings, blunt trauma and iatrogenic injuries (injuries caused by medical treatment or examination). Consequently, we believe there is an increasingly urgent unmet need for novel materials that are immediately available for permanent vascular repair for both civilian and military vascular trauma.</w:t>
      </w:r>
    </w:p>
    <w:p>
      <w:pPr>
        <w:spacing w:after="0" w:line="14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231F20"/>
        </w:rPr>
        <w:t>Options in Surgical Treatment of Vascular Trauma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1365250</wp:posOffset>
            </wp:positionH>
            <wp:positionV relativeFrom="paragraph">
              <wp:posOffset>133350</wp:posOffset>
            </wp:positionV>
            <wp:extent cx="4622165" cy="2058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22165" cy="205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60" w:firstLine="318"/>
        <w:spacing w:after="0" w:line="249" w:lineRule="auto"/>
        <w:rPr>
          <w:sz w:val="20"/>
          <w:szCs w:val="20"/>
          <w:color w:val="auto"/>
        </w:rPr>
      </w:pPr>
      <w:r>
        <w:rPr>
          <w:rFonts w:ascii="Times New Roman" w:cs="Times New Roman" w:eastAsia="Times New Roman" w:hAnsi="Times New Roman"/>
          <w:sz w:val="18"/>
          <w:szCs w:val="18"/>
          <w:color w:val="231F20"/>
        </w:rPr>
        <w:t>Autologous vein is the preferred conduit for vascular repair. However, harvesting of autologous vein is not always feasible, due to damage to vein or lower limb, prior vein harvest, inadequate size of the vein or venous disease. Harvesting autologous vein is a serious operation that requires additional time and resources. Delaying the time from injury to operative intervention from less than one hour, to three hours or greater, more than doubles the risk of limb amputation. Limb amputation, in turn, almost triples the length of intensive care unit stay, nearly doubles the length of hospital stay, and is devastating to patient quality of life. Additionally, the morbidity associated with saphenous vein harvest includes surgical site infections, chronic pain, and limb swelling. Synthetic materials have been shown to be inferior to autologous vein in resistance to infection and durability and, therefore, are generally only used for vascular repair when autologous vein is not an option.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The ATEV as a Solution for Vascular Trauma</w:t>
      </w:r>
    </w:p>
    <w:p>
      <w:pPr>
        <w:spacing w:after="0" w:line="179"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8"/>
          <w:szCs w:val="18"/>
          <w:color w:val="231F20"/>
        </w:rPr>
        <w:t>We believe our ATEVs are a promising alternative that can address critical gaps in existing treatment options for acute vascular injuries due to trauma. We have developed our ATEVs with the goal of providing an effective solution in all time-constrained surgical environments and in resource-limited, infection prone civilian and battlefield environments. The ability to create immediately available, non-immunogenic, universally implantable material that has a low infection rate represents a clinically significant advantage over existing options.</w:t>
      </w:r>
    </w:p>
    <w:p>
      <w:pPr>
        <w:spacing w:after="0" w:line="200" w:lineRule="exact"/>
        <w:rPr>
          <w:sz w:val="20"/>
          <w:szCs w:val="20"/>
          <w:color w:val="auto"/>
        </w:rPr>
      </w:pPr>
    </w:p>
    <w:p>
      <w:pPr>
        <w:spacing w:after="0" w:line="35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231F20"/>
        </w:rPr>
        <w:t>Humacyte has a strong working relationship with the Department of Defense (“DoD”) that has led to a partnership over the last decade to support their unmet need to reconstruct and repair vascular injuries through the development of our ATEVs. As a result of this collaboration and partnership with the DoD, we anticipate Humacyte would supply ATEVs for use in military hospitals to treat injured soldiers and veterans. The DoD assigned a priority designation to the ATEV technology under Public Law 115-92. Under this law, FDA and DoD work together to expedite the development and review of critical technologies and therapies requested by DoD. Additionally, we have received an approximately $6.8 million grant from the DoD for the development of our ATEVs for vascular reconstruction and repair.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FDA Approval of ATEV for Extremity Vascular Trauma</w:t>
      </w:r>
    </w:p>
    <w:p>
      <w:pPr>
        <w:spacing w:after="0" w:line="179" w:lineRule="exact"/>
        <w:rPr>
          <w:sz w:val="20"/>
          <w:szCs w:val="20"/>
          <w:color w:val="auto"/>
        </w:rPr>
      </w:pPr>
    </w:p>
    <w:p>
      <w:pPr>
        <w:ind w:right="60" w:firstLine="318"/>
        <w:spacing w:after="0" w:line="257" w:lineRule="auto"/>
        <w:rPr>
          <w:sz w:val="20"/>
          <w:szCs w:val="20"/>
          <w:color w:val="auto"/>
        </w:rPr>
      </w:pPr>
      <w:r>
        <w:rPr>
          <w:rFonts w:ascii="Times New Roman" w:cs="Times New Roman" w:eastAsia="Times New Roman" w:hAnsi="Times New Roman"/>
          <w:sz w:val="17"/>
          <w:szCs w:val="17"/>
          <w:color w:val="auto"/>
        </w:rPr>
        <w:t xml:space="preserve">In May 2023, the FDA granted RMAT designation for use of the ATEV in urgent arterial repair following extremity vascular trauma. In December 2023, the Company filed a BLA with the FDA for urgent arterial repair following extremity vascular trauma when synthetic graft is not indicated, and autologous vein use is not feasible. The BLA submission was supported by results from the V005 Phase 2/3 clinical trial, and real-world outcomes from the treatment of wartime injuries in Ukraine, both of which are described below. In February 2024, the FDA accepted the BLA filing and granted Priority Review, setting a PDUFA date of August 10, 2024. On August 9, 2024, the FDA informed us that it required additional time to complete its review of the BLA for the vascular trauma indication. On December 19, 2024, the FDA granted full approval for </w:t>
      </w:r>
      <w:r>
        <w:rPr>
          <w:rFonts w:ascii="Times New Roman" w:cs="Times New Roman" w:eastAsia="Times New Roman" w:hAnsi="Times New Roman"/>
          <w:sz w:val="17"/>
          <w:szCs w:val="17"/>
          <w:color w:val="231F20"/>
        </w:rPr>
        <w:t>Symvess</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7"/>
          <w:szCs w:val="17"/>
          <w:color w:val="auto"/>
        </w:rPr>
        <w:t xml:space="preserve"> (acellular tissue engineered vessel-tyod) for use in adults as a vascular conduit for extremity arterial injury when urgent revascularization is needed to avoid imminent limb loss, and autologous vein graft is not feasible.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V005 Phase 2/3 Civilian Trial for Vascular Trauma</w:t>
      </w:r>
    </w:p>
    <w:p>
      <w:pPr>
        <w:spacing w:after="0" w:line="17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Our V005 civilian trial was a single-arm, multi-center, non-randomized clinical trial to evaluate the efficacy, safety and tolerability of our 6</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millimeter ATEV in replacement or reconstruction of vascular tissues in patients with life or limb-threatening vascular trauma for whom the standard of care, saphenous vein, was not feasible or available for vascular repair. As a single-arm study, the comparators for the ATEV results were derived from a systematic literature review and meta-analysis of studies evaluating synthetic grafts in vascular injury repair. A total of 72 patients were enrolled in the V005 trial, of which 51 had vascular injury of the extremities and comprised the primary evaluation group for the study. The primary efficacy endpoint was patency of the ATEV at 30 days</w:t>
      </w:r>
      <w:r>
        <w:rPr>
          <w:rFonts w:ascii="Times New Roman" w:cs="Times New Roman" w:eastAsia="Times New Roman" w:hAnsi="Times New Roman"/>
          <w:sz w:val="18"/>
          <w:szCs w:val="18"/>
          <w:color w:val="000000"/>
        </w:rPr>
        <w:t>, with 30-day rates of infection and amputation comprising the secondary endpoints.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V005 Trial Results:</w:t>
      </w:r>
    </w:p>
    <w:p>
      <w:pPr>
        <w:spacing w:after="0" w:line="192" w:lineRule="exact"/>
        <w:rPr>
          <w:sz w:val="20"/>
          <w:szCs w:val="20"/>
          <w:color w:val="auto"/>
        </w:rPr>
      </w:pPr>
    </w:p>
    <w:p>
      <w:pPr>
        <w:jc w:val="both"/>
        <w:ind w:right="80" w:firstLine="318"/>
        <w:spacing w:after="0" w:line="273" w:lineRule="auto"/>
        <w:rPr>
          <w:sz w:val="20"/>
          <w:szCs w:val="20"/>
          <w:color w:val="auto"/>
        </w:rPr>
      </w:pPr>
      <w:r>
        <w:rPr>
          <w:rFonts w:ascii="Times New Roman" w:cs="Times New Roman" w:eastAsia="Times New Roman" w:hAnsi="Times New Roman"/>
          <w:sz w:val="17"/>
          <w:szCs w:val="17"/>
          <w:color w:val="231F20"/>
        </w:rPr>
        <w:t>For the primary analysis group of 51 patients with extremity injury, the range of trauma injuries in V005 were broad, including penetrating trauma cases and blunt injury cases. Mechanisms of injury included motor vehicle accidents, gunshot wounds, industrial accidents, and falls in the V005 trial. The ATEVs were placed throughout the body, including in the lower limbs and upper limbs and were used to repair the axillary artery, femoral artery, popliteal artery and vein, and the brachial artery. Many of the injuries treated in the V005 trial were contaminated injuries that are at elevated risk of graft infection.</w:t>
      </w:r>
    </w:p>
    <w:p>
      <w:pPr>
        <w:spacing w:after="0" w:line="130"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8"/>
          <w:szCs w:val="18"/>
          <w:color w:val="231F20"/>
        </w:rPr>
        <w:t>The most common reasons reported by clinicians for using the ATEV in the V005 trial instead of the standard of care, saphenous vein, was the need to avoid the time required to harvest saphenous vein (32.3%), the quality of the patient’s vein (25.8%), and concomitant injuries to the vein (16.1%), suggesting that the ready, off-the-shelf feature of the ATEV has the potential to save valuable time for surgeons in the restoration of blood flow.</w:t>
      </w:r>
    </w:p>
    <w:p>
      <w:pPr>
        <w:spacing w:after="0" w:line="200" w:lineRule="exact"/>
        <w:rPr>
          <w:sz w:val="20"/>
          <w:szCs w:val="20"/>
          <w:color w:val="auto"/>
        </w:rPr>
      </w:pPr>
    </w:p>
    <w:p>
      <w:pPr>
        <w:spacing w:after="0" w:line="35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293"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540" w:firstLine="318"/>
        <w:spacing w:after="0" w:line="273" w:lineRule="auto"/>
        <w:rPr>
          <w:sz w:val="20"/>
          <w:szCs w:val="20"/>
          <w:color w:val="auto"/>
        </w:rPr>
      </w:pPr>
      <w:r>
        <w:rPr>
          <w:rFonts w:ascii="Times New Roman" w:cs="Times New Roman" w:eastAsia="Times New Roman" w:hAnsi="Times New Roman"/>
          <w:sz w:val="18"/>
          <w:szCs w:val="18"/>
          <w:color w:val="231F20"/>
        </w:rPr>
        <w:t xml:space="preserve">The V005 trial met its objectives. V005 results included in the BLA submission to the FDA and published in </w:t>
      </w:r>
      <w:r>
        <w:rPr>
          <w:rFonts w:ascii="Times New Roman" w:cs="Times New Roman" w:eastAsia="Times New Roman" w:hAnsi="Times New Roman"/>
          <w:sz w:val="18"/>
          <w:szCs w:val="18"/>
          <w:i w:val="1"/>
          <w:iCs w:val="1"/>
          <w:color w:val="231F20"/>
        </w:rPr>
        <w:t>JAMA Surgery</w:t>
      </w:r>
      <w:r>
        <w:rPr>
          <w:rFonts w:ascii="Times New Roman" w:cs="Times New Roman" w:eastAsia="Times New Roman" w:hAnsi="Times New Roman"/>
          <w:sz w:val="18"/>
          <w:szCs w:val="18"/>
          <w:color w:val="231F20"/>
        </w:rPr>
        <w:t>, an American Medical Association peer-reviewed journal, in November 2024, are summarized in the following table.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V005 Phase 2/3 ATEV Results in Vascular Trauma Compared to Synthetic Graft Benchmark</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V005 Trial</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30-Day Endpoint</w:t>
            </w:r>
          </w:p>
        </w:tc>
        <w:tc>
          <w:tcPr>
            <w:tcW w:w="3700" w:type="dxa"/>
            <w:vAlign w:val="bottom"/>
            <w:gridSpan w:val="2"/>
          </w:tcPr>
          <w:p>
            <w:pPr>
              <w:jc w:val="center"/>
              <w:ind w:left="132"/>
              <w:spacing w:after="0" w:line="179" w:lineRule="exact"/>
              <w:rPr>
                <w:sz w:val="20"/>
                <w:szCs w:val="20"/>
                <w:color w:val="auto"/>
              </w:rPr>
            </w:pPr>
            <w:r>
              <w:rPr>
                <w:rFonts w:ascii="Times New Roman" w:cs="Times New Roman" w:eastAsia="Times New Roman" w:hAnsi="Times New Roman"/>
                <w:sz w:val="18"/>
                <w:szCs w:val="18"/>
                <w:b w:val="1"/>
                <w:bCs w:val="1"/>
                <w:color w:val="231F20"/>
                <w:w w:val="97"/>
              </w:rPr>
              <w:t xml:space="preserve">ATEV </w:t>
            </w:r>
            <w:r>
              <w:rPr>
                <w:rFonts w:ascii="Times New Roman" w:cs="Times New Roman" w:eastAsia="Times New Roman" w:hAnsi="Times New Roman"/>
                <w:sz w:val="18"/>
                <w:szCs w:val="18"/>
                <w:b w:val="1"/>
                <w:bCs w:val="1"/>
                <w:color w:val="000000"/>
                <w:w w:val="97"/>
              </w:rPr>
              <w:t>Extremity Group (n=51)</w:t>
            </w:r>
          </w:p>
        </w:tc>
        <w:tc>
          <w:tcPr>
            <w:tcW w:w="350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Synthetic Graft Benchmark (%)</w:t>
            </w:r>
          </w:p>
        </w:tc>
        <w:tc>
          <w:tcPr>
            <w:tcW w:w="0" w:type="dxa"/>
            <w:vAlign w:val="bottom"/>
          </w:tcPr>
          <w:p>
            <w:pPr>
              <w:spacing w:after="0"/>
              <w:rPr>
                <w:sz w:val="1"/>
                <w:szCs w:val="1"/>
                <w:color w:val="auto"/>
              </w:rPr>
            </w:pPr>
          </w:p>
        </w:tc>
      </w:tr>
      <w:tr>
        <w:trPr>
          <w:trHeight w:val="225"/>
        </w:trPr>
        <w:tc>
          <w:tcPr>
            <w:tcW w:w="3700" w:type="dxa"/>
            <w:vAlign w:val="bottom"/>
            <w:gridSpan w:val="2"/>
            <w:vMerge w:val="continue"/>
          </w:tcPr>
          <w:p>
            <w:pPr>
              <w:spacing w:after="0"/>
              <w:rPr>
                <w:sz w:val="19"/>
                <w:szCs w:val="19"/>
                <w:color w:val="auto"/>
              </w:rPr>
            </w:pPr>
          </w:p>
        </w:tc>
        <w:tc>
          <w:tcPr>
            <w:tcW w:w="3600" w:type="dxa"/>
            <w:vAlign w:val="bottom"/>
          </w:tcPr>
          <w:p>
            <w:pPr>
              <w:jc w:val="right"/>
              <w:ind w:right="14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Primary Patency</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84.3%</w:t>
            </w:r>
          </w:p>
        </w:tc>
        <w:tc>
          <w:tcPr>
            <w:tcW w:w="10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78.9%</w:t>
            </w:r>
          </w:p>
        </w:tc>
        <w:tc>
          <w:tcPr>
            <w:tcW w:w="0" w:type="dxa"/>
            <w:vAlign w:val="bottom"/>
          </w:tcPr>
          <w:p>
            <w:pPr>
              <w:spacing w:after="0"/>
              <w:rPr>
                <w:sz w:val="1"/>
                <w:szCs w:val="1"/>
                <w:color w:val="auto"/>
              </w:rPr>
            </w:pPr>
          </w:p>
        </w:tc>
      </w:tr>
      <w:tr>
        <w:trPr>
          <w:trHeight w:val="225"/>
        </w:trPr>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Secondary Patency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90.2%</w:t>
            </w:r>
          </w:p>
        </w:tc>
        <w:tc>
          <w:tcPr>
            <w:tcW w:w="10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78.9%</w:t>
            </w:r>
          </w:p>
        </w:tc>
        <w:tc>
          <w:tcPr>
            <w:tcW w:w="0" w:type="dxa"/>
            <w:vAlign w:val="bottom"/>
          </w:tcPr>
          <w:p>
            <w:pPr>
              <w:spacing w:after="0"/>
              <w:rPr>
                <w:sz w:val="1"/>
                <w:szCs w:val="1"/>
                <w:color w:val="auto"/>
              </w:rPr>
            </w:pPr>
          </w:p>
        </w:tc>
      </w:tr>
      <w:tr>
        <w:trPr>
          <w:trHeight w:val="225"/>
        </w:trPr>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Conduit Infections</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2.0%</w:t>
            </w:r>
          </w:p>
        </w:tc>
        <w:tc>
          <w:tcPr>
            <w:tcW w:w="100" w:type="dxa"/>
            <w:vAlign w:val="bottom"/>
            <w:shd w:val="clear" w:color="auto" w:fill="CCEEFF"/>
          </w:tcPr>
          <w:p>
            <w:pPr>
              <w:spacing w:after="0"/>
              <w:rPr>
                <w:sz w:val="19"/>
                <w:szCs w:val="19"/>
                <w:color w:val="auto"/>
              </w:rPr>
            </w:pPr>
          </w:p>
        </w:tc>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8.4%</w:t>
            </w:r>
          </w:p>
        </w:tc>
        <w:tc>
          <w:tcPr>
            <w:tcW w:w="0" w:type="dxa"/>
            <w:vAlign w:val="bottom"/>
          </w:tcPr>
          <w:p>
            <w:pPr>
              <w:spacing w:after="0"/>
              <w:rPr>
                <w:sz w:val="1"/>
                <w:szCs w:val="1"/>
                <w:color w:val="auto"/>
              </w:rPr>
            </w:pPr>
          </w:p>
        </w:tc>
      </w:tr>
      <w:tr>
        <w:trPr>
          <w:trHeight w:val="229"/>
        </w:trPr>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Amputations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9.8%</w:t>
            </w:r>
          </w:p>
        </w:tc>
        <w:tc>
          <w:tcPr>
            <w:tcW w:w="10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20" w:firstLine="318"/>
        <w:spacing w:after="0" w:line="258" w:lineRule="auto"/>
        <w:rPr>
          <w:sz w:val="20"/>
          <w:szCs w:val="20"/>
          <w:color w:val="auto"/>
        </w:rPr>
      </w:pPr>
      <w:r>
        <w:rPr>
          <w:rFonts w:ascii="Times New Roman" w:cs="Times New Roman" w:eastAsia="Times New Roman" w:hAnsi="Times New Roman"/>
          <w:sz w:val="18"/>
          <w:szCs w:val="18"/>
          <w:color w:val="auto"/>
        </w:rPr>
        <w:t xml:space="preserve">In the package insert for </w:t>
      </w:r>
      <w:r>
        <w:rPr>
          <w:rFonts w:ascii="Times New Roman" w:cs="Times New Roman" w:eastAsia="Times New Roman" w:hAnsi="Times New Roman"/>
          <w:sz w:val="18"/>
          <w:szCs w:val="18"/>
          <w:color w:val="231F20"/>
        </w:rPr>
        <w:t>Symvess</w:t>
      </w:r>
      <w:r>
        <w:rPr>
          <w:rFonts w:ascii="Times New Roman" w:cs="Times New Roman" w:eastAsia="Times New Roman" w:hAnsi="Times New Roman"/>
          <w:sz w:val="18"/>
          <w:szCs w:val="18"/>
          <w:color w:val="auto"/>
        </w:rPr>
        <w:t xml:space="preserve">, the FDA applied a different imputing methodology for V005 </w:t>
      </w:r>
      <w:r>
        <w:rPr>
          <w:rFonts w:ascii="Times New Roman" w:cs="Times New Roman" w:eastAsia="Times New Roman" w:hAnsi="Times New Roman"/>
          <w:sz w:val="18"/>
          <w:szCs w:val="18"/>
          <w:color w:val="231F20"/>
        </w:rPr>
        <w:t>Symvess</w:t>
      </w:r>
      <w:r>
        <w:rPr>
          <w:rFonts w:ascii="Times New Roman" w:cs="Times New Roman" w:eastAsia="Times New Roman" w:hAnsi="Times New Roman"/>
          <w:sz w:val="18"/>
          <w:szCs w:val="18"/>
          <w:color w:val="auto"/>
        </w:rPr>
        <w:t xml:space="preserve"> patients who did not have a day 30 assessment. For patients who missed day 30 follow-up due to unrelated death or loss of follow-up, patients were imputed as treatment failures (i.e., loss of patency, and failure of limb salvage). The FDA also added three more patients enrolled after data cutoff.</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V005 Phase 2/3 ATEV Results in Vascular Trauma in Package Insert</w:t>
      </w:r>
    </w:p>
    <w:p>
      <w:pPr>
        <w:spacing w:after="0" w:line="208"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30-Day Endpoint</w:t>
            </w:r>
          </w:p>
        </w:tc>
        <w:tc>
          <w:tcPr>
            <w:tcW w:w="370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V005 Trial</w:t>
            </w:r>
          </w:p>
        </w:tc>
      </w:tr>
      <w:tr>
        <w:trPr>
          <w:trHeight w:val="231"/>
        </w:trPr>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231F20"/>
              </w:rPr>
              <w:t xml:space="preserve">ATEV </w:t>
            </w:r>
            <w:r>
              <w:rPr>
                <w:rFonts w:ascii="Times New Roman" w:cs="Times New Roman" w:eastAsia="Times New Roman" w:hAnsi="Times New Roman"/>
                <w:sz w:val="18"/>
                <w:szCs w:val="18"/>
                <w:b w:val="1"/>
                <w:bCs w:val="1"/>
                <w:color w:val="000000"/>
              </w:rPr>
              <w:t>Extremity Group (n=54) (%)*</w:t>
            </w:r>
          </w:p>
        </w:tc>
      </w:tr>
      <w:tr>
        <w:trPr>
          <w:trHeight w:val="27"/>
        </w:trPr>
        <w:tc>
          <w:tcPr>
            <w:tcW w:w="3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25"/>
        </w:trPr>
        <w:tc>
          <w:tcPr>
            <w:tcW w:w="3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Primary Patency</w:t>
            </w:r>
          </w:p>
        </w:tc>
        <w:tc>
          <w:tcPr>
            <w:tcW w:w="100" w:type="dxa"/>
            <w:vAlign w:val="bottom"/>
            <w:tcBorders>
              <w:bottom w:val="single" w:sz="8" w:color="CCEEFF"/>
            </w:tcBorders>
            <w:shd w:val="clear" w:color="auto" w:fill="CCEEFF"/>
          </w:tcPr>
          <w:p>
            <w:pPr>
              <w:spacing w:after="0"/>
              <w:rPr>
                <w:sz w:val="19"/>
                <w:szCs w:val="19"/>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9"/>
        </w:trPr>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Secondary Patency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72.2%</w:t>
            </w:r>
          </w:p>
        </w:tc>
        <w:tc>
          <w:tcPr>
            <w:tcW w:w="100" w:type="dxa"/>
            <w:vAlign w:val="bottom"/>
          </w:tcPr>
          <w:p>
            <w:pPr>
              <w:spacing w:after="0"/>
              <w:rPr>
                <w:sz w:val="19"/>
                <w:szCs w:val="19"/>
                <w:color w:val="auto"/>
              </w:rPr>
            </w:pPr>
          </w:p>
        </w:tc>
      </w:tr>
      <w:tr>
        <w:trPr>
          <w:trHeight w:val="22"/>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1"/>
        </w:trPr>
        <w:tc>
          <w:tcPr>
            <w:tcW w:w="3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Conduit Infections</w:t>
            </w: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Limb Salvage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75.9%</w:t>
            </w:r>
          </w:p>
        </w:tc>
        <w:tc>
          <w:tcPr>
            <w:tcW w:w="100" w:type="dxa"/>
            <w:vAlign w:val="bottom"/>
          </w:tcPr>
          <w:p>
            <w:pPr>
              <w:spacing w:after="0"/>
              <w:rPr>
                <w:sz w:val="19"/>
                <w:szCs w:val="19"/>
                <w:color w:val="auto"/>
              </w:rPr>
            </w:pPr>
          </w:p>
        </w:tc>
      </w:tr>
    </w:tbl>
    <w:p>
      <w:pPr>
        <w:spacing w:after="0" w:line="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Nine patients not available for Day 30 assessment were imputed as failures for patency and limb salvage estimation.</w:t>
      </w:r>
    </w:p>
    <w:p>
      <w:pPr>
        <w:spacing w:after="0" w:line="177" w:lineRule="exact"/>
        <w:rPr>
          <w:sz w:val="20"/>
          <w:szCs w:val="20"/>
          <w:color w:val="auto"/>
        </w:rPr>
      </w:pPr>
    </w:p>
    <w:p>
      <w:pPr>
        <w:ind w:right="380" w:firstLine="318"/>
        <w:spacing w:after="0" w:line="271" w:lineRule="auto"/>
        <w:rPr>
          <w:sz w:val="20"/>
          <w:szCs w:val="20"/>
          <w:color w:val="auto"/>
        </w:rPr>
      </w:pPr>
      <w:r>
        <w:rPr>
          <w:rFonts w:ascii="Times New Roman" w:cs="Times New Roman" w:eastAsia="Times New Roman" w:hAnsi="Times New Roman"/>
          <w:sz w:val="18"/>
          <w:szCs w:val="18"/>
          <w:color w:val="auto"/>
        </w:rPr>
        <w:t>This imputing methodology used in the package insert was different than that used in the synthetic graft benchmark publications. The FDA elected to exclude the synthetic graft comparator from the package insert.</w:t>
      </w:r>
    </w:p>
    <w:p>
      <w:pPr>
        <w:spacing w:after="0" w:line="128" w:lineRule="exact"/>
        <w:rPr>
          <w:sz w:val="20"/>
          <w:szCs w:val="20"/>
          <w:color w:val="auto"/>
        </w:rPr>
      </w:pPr>
    </w:p>
    <w:p>
      <w:pPr>
        <w:ind w:right="620" w:firstLine="318"/>
        <w:spacing w:after="0" w:line="271" w:lineRule="auto"/>
        <w:rPr>
          <w:sz w:val="20"/>
          <w:szCs w:val="20"/>
          <w:color w:val="auto"/>
        </w:rPr>
      </w:pPr>
      <w:r>
        <w:rPr>
          <w:rFonts w:ascii="Times New Roman" w:cs="Times New Roman" w:eastAsia="Times New Roman" w:hAnsi="Times New Roman"/>
          <w:sz w:val="18"/>
          <w:szCs w:val="18"/>
          <w:color w:val="231F20"/>
        </w:rPr>
        <w:t>The safety profile of the ATEV in the V005 trial was consistent with previous studies and there were no cases of clinical rejection of the ATEV. A summary of adverse events (“AEs”) for the duration of the study (mean duration of follow up is 295 days) is included in the table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220" w:type="dxa"/>
            <w:vAlign w:val="bottom"/>
            <w:gridSpan w:val="3"/>
          </w:tcPr>
          <w:p>
            <w:pPr>
              <w:jc w:val="right"/>
              <w:ind w:right="992"/>
              <w:spacing w:after="0"/>
              <w:rPr>
                <w:sz w:val="20"/>
                <w:szCs w:val="20"/>
                <w:color w:val="auto"/>
              </w:rPr>
            </w:pPr>
            <w:r>
              <w:rPr>
                <w:rFonts w:ascii="Times New Roman" w:cs="Times New Roman" w:eastAsia="Times New Roman" w:hAnsi="Times New Roman"/>
                <w:sz w:val="18"/>
                <w:szCs w:val="18"/>
                <w:i w:val="1"/>
                <w:iCs w:val="1"/>
                <w:color w:val="231F20"/>
              </w:rPr>
              <w:t>V005 Phase 2/3 ATEV Adverse Events</w:t>
            </w:r>
          </w:p>
        </w:tc>
        <w:tc>
          <w:tcPr>
            <w:tcW w:w="2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160" w:type="dxa"/>
            <w:vAlign w:val="bottom"/>
          </w:tcPr>
          <w:p>
            <w:pPr>
              <w:spacing w:after="0"/>
              <w:rPr>
                <w:sz w:val="24"/>
                <w:szCs w:val="24"/>
                <w:color w:val="auto"/>
              </w:rPr>
            </w:pPr>
          </w:p>
        </w:tc>
        <w:tc>
          <w:tcPr>
            <w:tcW w:w="3680" w:type="dxa"/>
            <w:vAlign w:val="bottom"/>
            <w:vMerge w:val="restart"/>
          </w:tcPr>
          <w:p>
            <w:pPr>
              <w:ind w:left="2140"/>
              <w:spacing w:after="0"/>
              <w:rPr>
                <w:sz w:val="20"/>
                <w:szCs w:val="20"/>
                <w:color w:val="auto"/>
              </w:rPr>
            </w:pPr>
            <w:r>
              <w:rPr>
                <w:rFonts w:ascii="Times New Roman" w:cs="Times New Roman" w:eastAsia="Times New Roman" w:hAnsi="Times New Roman"/>
                <w:sz w:val="18"/>
                <w:szCs w:val="18"/>
                <w:b w:val="1"/>
                <w:bCs w:val="1"/>
                <w:color w:val="auto"/>
              </w:rPr>
              <w:t>Adverse Event</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 xml:space="preserve">V005 Trial - </w:t>
            </w:r>
            <w:r>
              <w:rPr>
                <w:rFonts w:ascii="Times New Roman" w:cs="Times New Roman" w:eastAsia="Times New Roman" w:hAnsi="Times New Roman"/>
                <w:sz w:val="18"/>
                <w:szCs w:val="18"/>
                <w:b w:val="1"/>
                <w:bCs w:val="1"/>
                <w:color w:val="231F20"/>
                <w:w w:val="96"/>
              </w:rPr>
              <w:t>ATEV</w:t>
            </w:r>
            <w:r>
              <w:rPr>
                <w:rFonts w:ascii="Times New Roman" w:cs="Times New Roman" w:eastAsia="Times New Roman" w:hAnsi="Times New Roman"/>
                <w:sz w:val="18"/>
                <w:szCs w:val="18"/>
                <w:b w:val="1"/>
                <w:bCs w:val="1"/>
                <w:color w:val="auto"/>
                <w:w w:val="96"/>
              </w:rPr>
              <w:t xml:space="preserve"> Extremity Group (n=51)</w:t>
            </w: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368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Number of Patients (%)</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Adverse Events</w:t>
            </w:r>
          </w:p>
        </w:tc>
        <w:tc>
          <w:tcPr>
            <w:tcW w:w="1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(98.0%)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Non-Fatal Serious Adverse Events</w:t>
            </w:r>
          </w:p>
        </w:tc>
        <w:tc>
          <w:tcPr>
            <w:tcW w:w="4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6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Deaths:</w:t>
            </w:r>
          </w:p>
        </w:tc>
        <w:tc>
          <w:tcPr>
            <w:tcW w:w="4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680" w:type="dxa"/>
            <w:vAlign w:val="bottom"/>
            <w:shd w:val="clear" w:color="auto" w:fill="CCEEFF"/>
          </w:tcPr>
          <w:p>
            <w:pPr>
              <w:ind w:left="1140"/>
              <w:spacing w:after="0" w:line="172" w:lineRule="exact"/>
              <w:rPr>
                <w:sz w:val="20"/>
                <w:szCs w:val="20"/>
                <w:color w:val="auto"/>
              </w:rPr>
            </w:pPr>
            <w:r>
              <w:rPr>
                <w:rFonts w:ascii="Times New Roman" w:cs="Times New Roman" w:eastAsia="Times New Roman" w:hAnsi="Times New Roman"/>
                <w:sz w:val="18"/>
                <w:szCs w:val="18"/>
                <w:color w:val="auto"/>
              </w:rPr>
              <w:t>At Day 30</w:t>
            </w:r>
          </w:p>
        </w:tc>
        <w:tc>
          <w:tcPr>
            <w:tcW w:w="4220" w:type="dxa"/>
            <w:vAlign w:val="bottom"/>
            <w:gridSpan w:val="3"/>
            <w:vMerge w:val="continue"/>
            <w:shd w:val="clear" w:color="auto" w:fill="CCEEFF"/>
          </w:tcPr>
          <w:p>
            <w:pPr>
              <w:spacing w:after="0"/>
              <w:rPr>
                <w:sz w:val="14"/>
                <w:szCs w:val="14"/>
                <w:color w:val="auto"/>
              </w:rPr>
            </w:pPr>
          </w:p>
        </w:tc>
        <w:tc>
          <w:tcPr>
            <w:tcW w:w="2800" w:type="dxa"/>
            <w:vAlign w:val="bottom"/>
            <w:vMerge w:val="continue"/>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3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Over Duration of Study</w:t>
            </w:r>
          </w:p>
        </w:tc>
        <w:tc>
          <w:tcPr>
            <w:tcW w:w="4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231F20"/>
              </w:rPr>
              <w:t xml:space="preserve">ATEV </w:t>
            </w:r>
            <w:r>
              <w:rPr>
                <w:rFonts w:ascii="Times New Roman" w:cs="Times New Roman" w:eastAsia="Times New Roman" w:hAnsi="Times New Roman"/>
                <w:sz w:val="18"/>
                <w:szCs w:val="18"/>
                <w:color w:val="000000"/>
              </w:rPr>
              <w:t>Infections</w:t>
            </w:r>
          </w:p>
        </w:tc>
        <w:tc>
          <w:tcPr>
            <w:tcW w:w="4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 xml:space="preserve">ATEV </w:t>
            </w:r>
            <w:r>
              <w:rPr>
                <w:rFonts w:ascii="Times New Roman" w:cs="Times New Roman" w:eastAsia="Times New Roman" w:hAnsi="Times New Roman"/>
                <w:sz w:val="18"/>
                <w:szCs w:val="18"/>
                <w:color w:val="000000"/>
              </w:rPr>
              <w:t>Rupture</w:t>
            </w:r>
          </w:p>
        </w:tc>
        <w:tc>
          <w:tcPr>
            <w:tcW w:w="4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231F20"/>
              </w:rPr>
              <w:t xml:space="preserve">ATEV </w:t>
            </w:r>
            <w:r>
              <w:rPr>
                <w:rFonts w:ascii="Times New Roman" w:cs="Times New Roman" w:eastAsia="Times New Roman" w:hAnsi="Times New Roman"/>
                <w:sz w:val="18"/>
                <w:szCs w:val="18"/>
                <w:color w:val="000000"/>
              </w:rPr>
              <w:t>Occlusion/Thrombosis</w:t>
            </w:r>
          </w:p>
        </w:tc>
        <w:tc>
          <w:tcPr>
            <w:tcW w:w="4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Pseudoaneurysm</w:t>
            </w:r>
          </w:p>
        </w:tc>
        <w:tc>
          <w:tcPr>
            <w:tcW w:w="4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Aneurysm</w:t>
            </w:r>
          </w:p>
        </w:tc>
        <w:tc>
          <w:tcPr>
            <w:tcW w:w="4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6"/>
        </w:trPr>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220" w:type="dxa"/>
            <w:vAlign w:val="bottom"/>
            <w:gridSpan w:val="3"/>
          </w:tcPr>
          <w:p>
            <w:pPr>
              <w:jc w:val="right"/>
              <w:ind w:right="2092"/>
              <w:spacing w:after="0"/>
              <w:rPr>
                <w:sz w:val="20"/>
                <w:szCs w:val="20"/>
                <w:color w:val="auto"/>
              </w:rPr>
            </w:pPr>
            <w:r>
              <w:rPr>
                <w:rFonts w:ascii="Times New Roman" w:cs="Times New Roman" w:eastAsia="Times New Roman" w:hAnsi="Times New Roman"/>
                <w:sz w:val="18"/>
                <w:szCs w:val="18"/>
                <w:color w:val="auto"/>
              </w:rPr>
              <w:t>16</w:t>
            </w:r>
          </w:p>
        </w:tc>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60" w:firstLine="318"/>
        <w:spacing w:after="0" w:line="254" w:lineRule="auto"/>
        <w:rPr>
          <w:sz w:val="20"/>
          <w:szCs w:val="20"/>
          <w:color w:val="auto"/>
        </w:rPr>
      </w:pPr>
      <w:r>
        <w:rPr>
          <w:rFonts w:ascii="Times New Roman" w:cs="Times New Roman" w:eastAsia="Times New Roman" w:hAnsi="Times New Roman"/>
          <w:sz w:val="18"/>
          <w:szCs w:val="18"/>
          <w:color w:val="231F20"/>
        </w:rPr>
        <w:t>There were no unexpected safety signals for the ATEV in the V005 trial. The most common AEs were thrombosis, anemia, pyrexia, thrombocytopenia, constipation, nausea, peripheral edema, and tachycardia. The most common non-fatal Serious Adverse Events (“SAEs”) were thrombosis, anastomotic stenosis, wound infection, muscle necrosis, wound infection, hemorrhage shock, and cardiac arrest. Deaths occurring prior to day 30 were adjudicated as not casually related to the ATEV by an Independent Adjudication Committee.</w:t>
      </w:r>
    </w:p>
    <w:p>
      <w:pPr>
        <w:spacing w:after="0" w:line="143"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231F20"/>
        </w:rPr>
        <w:t>We believe the V005 trial results indicate that for patients in need of extremity arterial repair, when use of autologous vein was not suitable, and who were at high-risk level for wound infection, the ATEV may offer an effective option for revascularization. A case study from the trial is shown in the figure below, a photograph of an ATEV that was used to repair both an artery and a vein in the knee of a patient who suffered a gunshot wound. This patient was doing well at the 30-day follow-up visit with both repairs remaining patent and functional.</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Intra-operative photograph of ATEV repair of popliteal artery (left) and vein (right) in V005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133350</wp:posOffset>
            </wp:positionV>
            <wp:extent cx="3168015" cy="2016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68015" cy="201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Ukraine Humanitarian Program, - V017 Trial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V017 Background and Results:</w:t>
      </w:r>
    </w:p>
    <w:p>
      <w:pPr>
        <w:spacing w:after="0" w:line="171"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9"/>
          <w:szCs w:val="19"/>
          <w:color w:val="0A0A0A"/>
        </w:rPr>
        <w:t>I</w:t>
      </w:r>
      <w:r>
        <w:rPr>
          <w:rFonts w:ascii="Times New Roman" w:cs="Times New Roman" w:eastAsia="Times New Roman" w:hAnsi="Times New Roman"/>
          <w:sz w:val="17"/>
          <w:szCs w:val="17"/>
          <w:color w:val="0A0A0A"/>
        </w:rPr>
        <w:t>n the second quarter of 2022, Humacyte launched a humanitarian initiative to provide its</w:t>
      </w:r>
      <w:r>
        <w:rPr>
          <w:rFonts w:ascii="Times New Roman" w:cs="Times New Roman" w:eastAsia="Times New Roman" w:hAnsi="Times New Roman"/>
          <w:sz w:val="19"/>
          <w:szCs w:val="19"/>
          <w:color w:val="0A0A0A"/>
        </w:rPr>
        <w:t xml:space="preserve"> </w:t>
      </w:r>
      <w:r>
        <w:rPr>
          <w:rFonts w:ascii="Times New Roman" w:cs="Times New Roman" w:eastAsia="Times New Roman" w:hAnsi="Times New Roman"/>
          <w:sz w:val="17"/>
          <w:szCs w:val="17"/>
          <w:color w:val="231F20"/>
        </w:rPr>
        <w:t>ATEV</w:t>
      </w:r>
      <w:r>
        <w:rPr>
          <w:rFonts w:ascii="Times New Roman" w:cs="Times New Roman" w:eastAsia="Times New Roman" w:hAnsi="Times New Roman"/>
          <w:sz w:val="17"/>
          <w:szCs w:val="17"/>
          <w:color w:val="0A0A0A"/>
        </w:rPr>
        <w:t>s to hospitals in Ukraine for the treatment of wounded</w:t>
      </w:r>
      <w:r>
        <w:rPr>
          <w:rFonts w:ascii="Times New Roman" w:cs="Times New Roman" w:eastAsia="Times New Roman" w:hAnsi="Times New Roman"/>
          <w:sz w:val="19"/>
          <w:szCs w:val="19"/>
          <w:color w:val="0A0A0A"/>
        </w:rPr>
        <w:t xml:space="preserve"> </w:t>
      </w:r>
      <w:r>
        <w:rPr>
          <w:rFonts w:ascii="Times New Roman" w:cs="Times New Roman" w:eastAsia="Times New Roman" w:hAnsi="Times New Roman"/>
          <w:sz w:val="17"/>
          <w:szCs w:val="17"/>
          <w:color w:val="0A0A0A"/>
        </w:rPr>
        <w:t xml:space="preserve">civilians and soldiers with vascular trauma injuries. Ukrainian surgeons presented patient outcomes from the use of the </w:t>
      </w:r>
      <w:r>
        <w:rPr>
          <w:rFonts w:ascii="Times New Roman" w:cs="Times New Roman" w:eastAsia="Times New Roman" w:hAnsi="Times New Roman"/>
          <w:sz w:val="17"/>
          <w:szCs w:val="17"/>
          <w:color w:val="231F20"/>
        </w:rPr>
        <w:t>ATEV</w:t>
      </w:r>
      <w:r>
        <w:rPr>
          <w:rFonts w:ascii="Times New Roman" w:cs="Times New Roman" w:eastAsia="Times New Roman" w:hAnsi="Times New Roman"/>
          <w:sz w:val="17"/>
          <w:szCs w:val="17"/>
          <w:color w:val="0A0A0A"/>
        </w:rPr>
        <w:t xml:space="preserve"> to treat wartime vascular trauma at two vascular conferences in December 2022, the VI Congress of Vascular Surgeons, Phlebologists, and Angiologists of Ukraine in Kyiv, Ukraine, and the 11th Munich Vascular Conference (MAC) 2022. The surgeons described long-standing limitations in vascular tissue repair and replacement as well as the injuries that they have observed during the Russian-Ukrainian conflict. Surgeons utilized the </w:t>
      </w:r>
      <w:r>
        <w:rPr>
          <w:rFonts w:ascii="Times New Roman" w:cs="Times New Roman" w:eastAsia="Times New Roman" w:hAnsi="Times New Roman"/>
          <w:sz w:val="17"/>
          <w:szCs w:val="17"/>
          <w:color w:val="231F20"/>
        </w:rPr>
        <w:t>ATEV</w:t>
      </w:r>
      <w:r>
        <w:rPr>
          <w:rFonts w:ascii="Times New Roman" w:cs="Times New Roman" w:eastAsia="Times New Roman" w:hAnsi="Times New Roman"/>
          <w:sz w:val="17"/>
          <w:szCs w:val="17"/>
          <w:color w:val="0A0A0A"/>
        </w:rPr>
        <w:t xml:space="preserve"> to treat patients with wartime injuries including blast trauma, shrapnel injuries, and gunshot wounds. The surgeons observed that access to the </w:t>
      </w:r>
      <w:r>
        <w:rPr>
          <w:rFonts w:ascii="Times New Roman" w:cs="Times New Roman" w:eastAsia="Times New Roman" w:hAnsi="Times New Roman"/>
          <w:sz w:val="17"/>
          <w:szCs w:val="17"/>
          <w:color w:val="231F20"/>
        </w:rPr>
        <w:t>ATEV</w:t>
      </w:r>
      <w:r>
        <w:rPr>
          <w:rFonts w:ascii="Times New Roman" w:cs="Times New Roman" w:eastAsia="Times New Roman" w:hAnsi="Times New Roman"/>
          <w:sz w:val="17"/>
          <w:szCs w:val="17"/>
          <w:color w:val="0A0A0A"/>
        </w:rPr>
        <w:t xml:space="preserve">, a biologic conduit, has improved their ability to perform vascular reconstructions by eliminating the need to harvest a venous conduit. A total of 19 vascular patients were treated under this humanitarian program, and results from 16 of these patients were published in </w:t>
      </w:r>
      <w:r>
        <w:rPr>
          <w:rFonts w:ascii="Times New Roman" w:cs="Times New Roman" w:eastAsia="Times New Roman" w:hAnsi="Times New Roman"/>
          <w:sz w:val="17"/>
          <w:szCs w:val="17"/>
          <w:i w:val="1"/>
          <w:iCs w:val="1"/>
          <w:color w:val="0A0A0A"/>
        </w:rPr>
        <w:t>JAMA Surgery</w:t>
      </w:r>
      <w:r>
        <w:rPr>
          <w:rFonts w:ascii="Times New Roman" w:cs="Times New Roman" w:eastAsia="Times New Roman" w:hAnsi="Times New Roman"/>
          <w:sz w:val="17"/>
          <w:szCs w:val="17"/>
          <w:color w:val="0A0A0A"/>
        </w:rPr>
        <w:t xml:space="preserve"> in November 2024, along with results from the V005 trial.</w:t>
      </w:r>
    </w:p>
    <w:p>
      <w:pPr>
        <w:spacing w:after="0" w:line="135" w:lineRule="exact"/>
        <w:rPr>
          <w:sz w:val="20"/>
          <w:szCs w:val="20"/>
          <w:color w:val="auto"/>
        </w:rPr>
      </w:pPr>
    </w:p>
    <w:p>
      <w:pPr>
        <w:ind w:right="80" w:firstLine="318"/>
        <w:spacing w:after="0" w:line="280" w:lineRule="auto"/>
        <w:rPr>
          <w:sz w:val="20"/>
          <w:szCs w:val="20"/>
          <w:color w:val="auto"/>
        </w:rPr>
      </w:pPr>
      <w:r>
        <w:rPr>
          <w:rFonts w:ascii="Times New Roman" w:cs="Times New Roman" w:eastAsia="Times New Roman" w:hAnsi="Times New Roman"/>
          <w:sz w:val="17"/>
          <w:szCs w:val="17"/>
          <w:color w:val="0A0A0A"/>
        </w:rPr>
        <w:t>The FDA advised Humacyte to include in the BLA submission patient outcomes from the Ukraine humanitarian program. We refer to the results for the 16 patients from Ukraine with extremity vascular trauma who provided consent for use of their results in the BLA filing as the V017 trial. A high success rate for the 16 extremity patients in the V017 trial was observed, despite the presence of contaminated wound beds, as summarized in the table below.</w:t>
      </w:r>
    </w:p>
    <w:p>
      <w:pPr>
        <w:spacing w:after="0" w:line="200" w:lineRule="exact"/>
        <w:rPr>
          <w:sz w:val="20"/>
          <w:szCs w:val="20"/>
          <w:color w:val="auto"/>
        </w:rPr>
      </w:pPr>
    </w:p>
    <w:p>
      <w:pPr>
        <w:spacing w:after="0" w:line="33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231F20"/>
        </w:rPr>
        <w:t>V017 Ukraine Humanitarian ATEV Results in Vascular Trauma</w:t>
      </w:r>
    </w:p>
    <w:p>
      <w:pPr>
        <w:spacing w:after="0" w:line="217"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V017 Trial</w:t>
            </w:r>
          </w:p>
        </w:tc>
      </w:tr>
      <w:tr>
        <w:trPr>
          <w:trHeight w:val="231"/>
        </w:trPr>
        <w:tc>
          <w:tcPr>
            <w:tcW w:w="5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30-Day Endpoint</w:t>
            </w:r>
          </w:p>
        </w:tc>
        <w:tc>
          <w:tcPr>
            <w:tcW w:w="520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231F20"/>
              </w:rPr>
              <w:t xml:space="preserve">ATEV </w:t>
            </w:r>
            <w:r>
              <w:rPr>
                <w:rFonts w:ascii="Times New Roman" w:cs="Times New Roman" w:eastAsia="Times New Roman" w:hAnsi="Times New Roman"/>
                <w:sz w:val="18"/>
                <w:szCs w:val="18"/>
                <w:b w:val="1"/>
                <w:bCs w:val="1"/>
                <w:color w:val="000000"/>
              </w:rPr>
              <w:t>Extremity Group (%)</w:t>
            </w:r>
          </w:p>
        </w:tc>
      </w:tr>
      <w:tr>
        <w:trPr>
          <w:trHeight w:val="27"/>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18"/>
        </w:trPr>
        <w:tc>
          <w:tcPr>
            <w:tcW w:w="5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Primary Patency</w:t>
            </w:r>
          </w:p>
        </w:tc>
        <w:tc>
          <w:tcPr>
            <w:tcW w:w="100" w:type="dxa"/>
            <w:vAlign w:val="bottom"/>
            <w:shd w:val="clear" w:color="auto" w:fill="CCEEFF"/>
          </w:tcPr>
          <w:p>
            <w:pPr>
              <w:spacing w:after="0"/>
              <w:rPr>
                <w:sz w:val="18"/>
                <w:szCs w:val="18"/>
                <w:color w:val="auto"/>
              </w:rPr>
            </w:pPr>
          </w:p>
        </w:tc>
        <w:tc>
          <w:tcPr>
            <w:tcW w:w="5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93.8%</w:t>
            </w:r>
          </w:p>
        </w:tc>
      </w:tr>
      <w:tr>
        <w:trPr>
          <w:trHeight w:val="225"/>
        </w:trPr>
        <w:tc>
          <w:tcPr>
            <w:tcW w:w="5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Secondary Patency</w:t>
            </w: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93.8%</w:t>
            </w:r>
          </w:p>
        </w:tc>
      </w:tr>
      <w:tr>
        <w:trPr>
          <w:trHeight w:val="225"/>
        </w:trPr>
        <w:tc>
          <w:tcPr>
            <w:tcW w:w="5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Conduit Infections</w:t>
            </w:r>
          </w:p>
        </w:tc>
        <w:tc>
          <w:tcPr>
            <w:tcW w:w="5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5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Amputations</w:t>
            </w: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r>
    </w:tbl>
    <w:p>
      <w:pPr>
        <w:spacing w:after="0" w:line="242" w:lineRule="exact"/>
        <w:rPr>
          <w:sz w:val="20"/>
          <w:szCs w:val="20"/>
          <w:color w:val="auto"/>
        </w:rPr>
      </w:pPr>
    </w:p>
    <w:p>
      <w:pPr>
        <w:ind w:right="560" w:firstLine="318"/>
        <w:spacing w:after="0" w:line="271" w:lineRule="auto"/>
        <w:rPr>
          <w:sz w:val="20"/>
          <w:szCs w:val="20"/>
          <w:color w:val="auto"/>
        </w:rPr>
      </w:pPr>
      <w:r>
        <w:rPr>
          <w:rFonts w:ascii="Times New Roman" w:cs="Times New Roman" w:eastAsia="Times New Roman" w:hAnsi="Times New Roman"/>
          <w:sz w:val="18"/>
          <w:szCs w:val="18"/>
          <w:color w:val="231F20"/>
        </w:rPr>
        <w:t>The safety profile of the ATEV in the V017 trial was consistent with previous studies and there were no cases of clinical rejection of the ATEV. A summary of AEs for the duration of the study (mean duration of follow up is 139 days) is included in the table below.</w:t>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231"/>
        </w:trPr>
        <w:tc>
          <w:tcPr>
            <w:tcW w:w="3440" w:type="dxa"/>
            <w:vAlign w:val="bottom"/>
          </w:tcPr>
          <w:p>
            <w:pPr>
              <w:spacing w:after="0"/>
              <w:rPr>
                <w:sz w:val="20"/>
                <w:szCs w:val="20"/>
                <w:color w:val="auto"/>
              </w:rPr>
            </w:pPr>
          </w:p>
        </w:tc>
        <w:tc>
          <w:tcPr>
            <w:tcW w:w="7260" w:type="dxa"/>
            <w:vAlign w:val="bottom"/>
            <w:gridSpan w:val="3"/>
          </w:tcPr>
          <w:p>
            <w:pPr>
              <w:ind w:left="220"/>
              <w:spacing w:after="0"/>
              <w:rPr>
                <w:sz w:val="20"/>
                <w:szCs w:val="20"/>
                <w:color w:val="auto"/>
              </w:rPr>
            </w:pPr>
            <w:r>
              <w:rPr>
                <w:rFonts w:ascii="Times New Roman" w:cs="Times New Roman" w:eastAsia="Times New Roman" w:hAnsi="Times New Roman"/>
                <w:sz w:val="18"/>
                <w:szCs w:val="18"/>
                <w:i w:val="1"/>
                <w:iCs w:val="1"/>
                <w:color w:val="231F20"/>
              </w:rPr>
              <w:t>V017 Ukraine Humanitarian ATEV Adverse Events</w:t>
            </w:r>
          </w:p>
        </w:tc>
        <w:tc>
          <w:tcPr>
            <w:tcW w:w="0" w:type="dxa"/>
            <w:vAlign w:val="bottom"/>
          </w:tcPr>
          <w:p>
            <w:pPr>
              <w:spacing w:after="0"/>
              <w:rPr>
                <w:sz w:val="1"/>
                <w:szCs w:val="1"/>
                <w:color w:val="auto"/>
              </w:rPr>
            </w:pPr>
          </w:p>
        </w:tc>
      </w:tr>
      <w:tr>
        <w:trPr>
          <w:trHeight w:val="385"/>
        </w:trPr>
        <w:tc>
          <w:tcPr>
            <w:tcW w:w="3440" w:type="dxa"/>
            <w:vAlign w:val="bottom"/>
            <w:vMerge w:val="restart"/>
          </w:tcPr>
          <w:p>
            <w:pPr>
              <w:ind w:left="2140"/>
              <w:spacing w:after="0"/>
              <w:rPr>
                <w:sz w:val="20"/>
                <w:szCs w:val="20"/>
                <w:color w:val="auto"/>
              </w:rPr>
            </w:pPr>
            <w:r>
              <w:rPr>
                <w:rFonts w:ascii="Times New Roman" w:cs="Times New Roman" w:eastAsia="Times New Roman" w:hAnsi="Times New Roman"/>
                <w:sz w:val="18"/>
                <w:szCs w:val="18"/>
                <w:b w:val="1"/>
                <w:bCs w:val="1"/>
                <w:color w:val="auto"/>
              </w:rPr>
              <w:t>Adverse Event</w:t>
            </w: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V017 Trial - </w:t>
            </w:r>
            <w:r>
              <w:rPr>
                <w:rFonts w:ascii="Times New Roman" w:cs="Times New Roman" w:eastAsia="Times New Roman" w:hAnsi="Times New Roman"/>
                <w:sz w:val="18"/>
                <w:szCs w:val="18"/>
                <w:b w:val="1"/>
                <w:bCs w:val="1"/>
                <w:color w:val="231F20"/>
                <w:w w:val="96"/>
              </w:rPr>
              <w:t>ATEV</w:t>
            </w:r>
            <w:r>
              <w:rPr>
                <w:rFonts w:ascii="Times New Roman" w:cs="Times New Roman" w:eastAsia="Times New Roman" w:hAnsi="Times New Roman"/>
                <w:sz w:val="18"/>
                <w:szCs w:val="18"/>
                <w:b w:val="1"/>
                <w:bCs w:val="1"/>
                <w:color w:val="auto"/>
                <w:w w:val="96"/>
              </w:rPr>
              <w:t xml:space="preserve"> Extremity Group (n=16)</w:t>
            </w:r>
          </w:p>
        </w:tc>
        <w:tc>
          <w:tcPr>
            <w:tcW w:w="0" w:type="dxa"/>
            <w:vAlign w:val="bottom"/>
          </w:tcPr>
          <w:p>
            <w:pPr>
              <w:spacing w:after="0"/>
              <w:rPr>
                <w:sz w:val="1"/>
                <w:szCs w:val="1"/>
                <w:color w:val="auto"/>
              </w:rPr>
            </w:pPr>
          </w:p>
        </w:tc>
      </w:tr>
      <w:tr>
        <w:trPr>
          <w:trHeight w:val="235"/>
        </w:trPr>
        <w:tc>
          <w:tcPr>
            <w:tcW w:w="3440" w:type="dxa"/>
            <w:vAlign w:val="bottom"/>
            <w:tcBorders>
              <w:bottom w:val="single" w:sz="8" w:color="auto"/>
            </w:tcBorders>
            <w:vMerge w:val="continue"/>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Patients (%)</w:t>
            </w:r>
          </w:p>
        </w:tc>
        <w:tc>
          <w:tcPr>
            <w:tcW w:w="0" w:type="dxa"/>
            <w:vAlign w:val="bottom"/>
          </w:tcPr>
          <w:p>
            <w:pPr>
              <w:spacing w:after="0"/>
              <w:rPr>
                <w:sz w:val="1"/>
                <w:szCs w:val="1"/>
                <w:color w:val="auto"/>
              </w:rPr>
            </w:pPr>
          </w:p>
        </w:tc>
      </w:tr>
      <w:tr>
        <w:trPr>
          <w:trHeight w:val="222"/>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Adverse Events</w:t>
            </w: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 (25.0%)</w:t>
            </w:r>
          </w:p>
        </w:tc>
        <w:tc>
          <w:tcPr>
            <w:tcW w:w="0" w:type="dxa"/>
            <w:vAlign w:val="bottom"/>
          </w:tcPr>
          <w:p>
            <w:pPr>
              <w:spacing w:after="0"/>
              <w:rPr>
                <w:sz w:val="1"/>
                <w:szCs w:val="1"/>
                <w:color w:val="auto"/>
              </w:rPr>
            </w:pPr>
          </w:p>
        </w:tc>
      </w:tr>
      <w:tr>
        <w:trPr>
          <w:trHeight w:val="225"/>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Non-Fatal Serious Adverse Events</w:t>
            </w:r>
          </w:p>
        </w:tc>
        <w:tc>
          <w:tcPr>
            <w:tcW w:w="7260" w:type="dxa"/>
            <w:vAlign w:val="bottom"/>
            <w:gridSpan w:val="3"/>
          </w:tcPr>
          <w:p>
            <w:pPr>
              <w:jc w:val="center"/>
              <w:ind w:left="1952"/>
              <w:spacing w:after="0"/>
              <w:rPr>
                <w:sz w:val="20"/>
                <w:szCs w:val="20"/>
                <w:color w:val="auto"/>
              </w:rPr>
            </w:pPr>
            <w:r>
              <w:rPr>
                <w:rFonts w:ascii="Times New Roman" w:cs="Times New Roman" w:eastAsia="Times New Roman" w:hAnsi="Times New Roman"/>
                <w:sz w:val="18"/>
                <w:szCs w:val="18"/>
                <w:color w:val="auto"/>
                <w:w w:val="98"/>
              </w:rPr>
              <w:t>1 (6.3%)</w:t>
            </w:r>
          </w:p>
        </w:tc>
        <w:tc>
          <w:tcPr>
            <w:tcW w:w="0" w:type="dxa"/>
            <w:vAlign w:val="bottom"/>
          </w:tcPr>
          <w:p>
            <w:pPr>
              <w:spacing w:after="0"/>
              <w:rPr>
                <w:sz w:val="1"/>
                <w:szCs w:val="1"/>
                <w:color w:val="auto"/>
              </w:rPr>
            </w:pPr>
          </w:p>
        </w:tc>
      </w:tr>
      <w:tr>
        <w:trPr>
          <w:trHeight w:val="172"/>
        </w:trPr>
        <w:tc>
          <w:tcPr>
            <w:tcW w:w="34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Deaths:</w:t>
            </w:r>
          </w:p>
        </w:tc>
        <w:tc>
          <w:tcPr>
            <w:tcW w:w="7260" w:type="dxa"/>
            <w:vAlign w:val="bottom"/>
            <w:gridSpan w:val="3"/>
            <w:vMerge w:val="restart"/>
            <w:shd w:val="clear" w:color="auto" w:fill="CCEEFF"/>
          </w:tcPr>
          <w:p>
            <w:pPr>
              <w:jc w:val="center"/>
              <w:ind w:left="1952"/>
              <w:spacing w:after="0"/>
              <w:rPr>
                <w:sz w:val="20"/>
                <w:szCs w:val="20"/>
                <w:color w:val="auto"/>
              </w:rPr>
            </w:pPr>
            <w:r>
              <w:rPr>
                <w:rFonts w:ascii="Times New Roman" w:cs="Times New Roman" w:eastAsia="Times New Roman" w:hAnsi="Times New Roman"/>
                <w:sz w:val="18"/>
                <w:szCs w:val="18"/>
                <w:color w:val="auto"/>
                <w:w w:val="98"/>
              </w:rPr>
              <w:t>0 (0.0%)</w:t>
            </w:r>
          </w:p>
        </w:tc>
        <w:tc>
          <w:tcPr>
            <w:tcW w:w="0" w:type="dxa"/>
            <w:vAlign w:val="bottom"/>
          </w:tcPr>
          <w:p>
            <w:pPr>
              <w:spacing w:after="0"/>
              <w:rPr>
                <w:sz w:val="1"/>
                <w:szCs w:val="1"/>
                <w:color w:val="auto"/>
              </w:rPr>
            </w:pPr>
          </w:p>
        </w:tc>
      </w:tr>
      <w:tr>
        <w:trPr>
          <w:trHeight w:val="172"/>
        </w:trPr>
        <w:tc>
          <w:tcPr>
            <w:tcW w:w="3440" w:type="dxa"/>
            <w:vAlign w:val="bottom"/>
            <w:shd w:val="clear" w:color="auto" w:fill="CCEEFF"/>
          </w:tcPr>
          <w:p>
            <w:pPr>
              <w:ind w:left="1140"/>
              <w:spacing w:after="0" w:line="172" w:lineRule="exact"/>
              <w:rPr>
                <w:sz w:val="20"/>
                <w:szCs w:val="20"/>
                <w:color w:val="auto"/>
              </w:rPr>
            </w:pPr>
            <w:r>
              <w:rPr>
                <w:rFonts w:ascii="Times New Roman" w:cs="Times New Roman" w:eastAsia="Times New Roman" w:hAnsi="Times New Roman"/>
                <w:sz w:val="18"/>
                <w:szCs w:val="18"/>
                <w:color w:val="auto"/>
              </w:rPr>
              <w:t>At Day 30</w:t>
            </w:r>
          </w:p>
        </w:tc>
        <w:tc>
          <w:tcPr>
            <w:tcW w:w="72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Over Duration of Study</w:t>
            </w:r>
          </w:p>
        </w:tc>
        <w:tc>
          <w:tcPr>
            <w:tcW w:w="7260" w:type="dxa"/>
            <w:vAlign w:val="bottom"/>
            <w:gridSpan w:val="3"/>
            <w:shd w:val="clear" w:color="auto" w:fill="CCEEFF"/>
          </w:tcPr>
          <w:p>
            <w:pPr>
              <w:jc w:val="center"/>
              <w:ind w:left="1952"/>
              <w:spacing w:after="0"/>
              <w:rPr>
                <w:sz w:val="20"/>
                <w:szCs w:val="20"/>
                <w:color w:val="auto"/>
              </w:rPr>
            </w:pPr>
            <w:r>
              <w:rPr>
                <w:rFonts w:ascii="Times New Roman" w:cs="Times New Roman" w:eastAsia="Times New Roman" w:hAnsi="Times New Roman"/>
                <w:sz w:val="18"/>
                <w:szCs w:val="18"/>
                <w:color w:val="auto"/>
                <w:w w:val="98"/>
              </w:rPr>
              <w:t>0 (0.0%)</w:t>
            </w:r>
          </w:p>
        </w:tc>
        <w:tc>
          <w:tcPr>
            <w:tcW w:w="0" w:type="dxa"/>
            <w:vAlign w:val="bottom"/>
          </w:tcPr>
          <w:p>
            <w:pPr>
              <w:spacing w:after="0"/>
              <w:rPr>
                <w:sz w:val="1"/>
                <w:szCs w:val="1"/>
                <w:color w:val="auto"/>
              </w:rPr>
            </w:pPr>
          </w:p>
        </w:tc>
      </w:tr>
      <w:tr>
        <w:trPr>
          <w:trHeight w:val="229"/>
        </w:trPr>
        <w:tc>
          <w:tcPr>
            <w:tcW w:w="34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231F20"/>
              </w:rPr>
              <w:t xml:space="preserve">ATEV </w:t>
            </w:r>
            <w:r>
              <w:rPr>
                <w:rFonts w:ascii="Times New Roman" w:cs="Times New Roman" w:eastAsia="Times New Roman" w:hAnsi="Times New Roman"/>
                <w:sz w:val="18"/>
                <w:szCs w:val="18"/>
                <w:color w:val="000000"/>
              </w:rPr>
              <w:t>Infections</w:t>
            </w:r>
          </w:p>
        </w:tc>
        <w:tc>
          <w:tcPr>
            <w:tcW w:w="7260" w:type="dxa"/>
            <w:vAlign w:val="bottom"/>
            <w:gridSpan w:val="3"/>
          </w:tcPr>
          <w:p>
            <w:pPr>
              <w:jc w:val="center"/>
              <w:ind w:left="1952"/>
              <w:spacing w:after="0"/>
              <w:rPr>
                <w:sz w:val="20"/>
                <w:szCs w:val="20"/>
                <w:color w:val="auto"/>
              </w:rPr>
            </w:pPr>
            <w:r>
              <w:rPr>
                <w:rFonts w:ascii="Times New Roman" w:cs="Times New Roman" w:eastAsia="Times New Roman" w:hAnsi="Times New Roman"/>
                <w:sz w:val="18"/>
                <w:szCs w:val="18"/>
                <w:color w:val="auto"/>
                <w:w w:val="98"/>
              </w:rPr>
              <w:t>0 (0.0%)</w:t>
            </w:r>
          </w:p>
        </w:tc>
        <w:tc>
          <w:tcPr>
            <w:tcW w:w="0" w:type="dxa"/>
            <w:vAlign w:val="bottom"/>
          </w:tcPr>
          <w:p>
            <w:pPr>
              <w:spacing w:after="0"/>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231F20"/>
              </w:rPr>
              <w:t xml:space="preserve">ATEV </w:t>
            </w:r>
            <w:r>
              <w:rPr>
                <w:rFonts w:ascii="Times New Roman" w:cs="Times New Roman" w:eastAsia="Times New Roman" w:hAnsi="Times New Roman"/>
                <w:sz w:val="18"/>
                <w:szCs w:val="18"/>
                <w:color w:val="000000"/>
              </w:rPr>
              <w:t>Rupture*</w:t>
            </w:r>
          </w:p>
        </w:tc>
        <w:tc>
          <w:tcPr>
            <w:tcW w:w="7260" w:type="dxa"/>
            <w:vAlign w:val="bottom"/>
            <w:gridSpan w:val="3"/>
            <w:shd w:val="clear" w:color="auto" w:fill="CCEEFF"/>
          </w:tcPr>
          <w:p>
            <w:pPr>
              <w:jc w:val="center"/>
              <w:ind w:left="1952"/>
              <w:spacing w:after="0"/>
              <w:rPr>
                <w:sz w:val="20"/>
                <w:szCs w:val="20"/>
                <w:color w:val="auto"/>
              </w:rPr>
            </w:pPr>
            <w:r>
              <w:rPr>
                <w:rFonts w:ascii="Times New Roman" w:cs="Times New Roman" w:eastAsia="Times New Roman" w:hAnsi="Times New Roman"/>
                <w:sz w:val="18"/>
                <w:szCs w:val="18"/>
                <w:color w:val="auto"/>
                <w:w w:val="98"/>
              </w:rPr>
              <w:t>1 (6.3%)</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CCEEFF"/>
            </w:tcBorders>
            <w:vMerge w:val="continue"/>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231F20"/>
              </w:rPr>
              <w:t xml:space="preserve">ATEV </w:t>
            </w:r>
            <w:r>
              <w:rPr>
                <w:rFonts w:ascii="Times New Roman" w:cs="Times New Roman" w:eastAsia="Times New Roman" w:hAnsi="Times New Roman"/>
                <w:sz w:val="18"/>
                <w:szCs w:val="18"/>
                <w:color w:val="000000"/>
              </w:rPr>
              <w:t>Occlusion/Thrombosis</w:t>
            </w:r>
          </w:p>
        </w:tc>
        <w:tc>
          <w:tcPr>
            <w:tcW w:w="7260" w:type="dxa"/>
            <w:vAlign w:val="bottom"/>
            <w:gridSpan w:val="3"/>
          </w:tcPr>
          <w:p>
            <w:pPr>
              <w:jc w:val="center"/>
              <w:ind w:left="1952"/>
              <w:spacing w:after="0"/>
              <w:rPr>
                <w:sz w:val="20"/>
                <w:szCs w:val="20"/>
                <w:color w:val="auto"/>
              </w:rPr>
            </w:pPr>
            <w:r>
              <w:rPr>
                <w:rFonts w:ascii="Times New Roman" w:cs="Times New Roman" w:eastAsia="Times New Roman" w:hAnsi="Times New Roman"/>
                <w:sz w:val="18"/>
                <w:szCs w:val="18"/>
                <w:color w:val="auto"/>
                <w:w w:val="98"/>
              </w:rPr>
              <w:t>1 (6.3%)</w:t>
            </w:r>
          </w:p>
        </w:tc>
        <w:tc>
          <w:tcPr>
            <w:tcW w:w="0" w:type="dxa"/>
            <w:vAlign w:val="bottom"/>
          </w:tcPr>
          <w:p>
            <w:pPr>
              <w:spacing w:after="0"/>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Pseudoaneurysm</w:t>
            </w:r>
          </w:p>
        </w:tc>
        <w:tc>
          <w:tcPr>
            <w:tcW w:w="7260" w:type="dxa"/>
            <w:vAlign w:val="bottom"/>
            <w:gridSpan w:val="3"/>
            <w:shd w:val="clear" w:color="auto" w:fill="CCEEFF"/>
          </w:tcPr>
          <w:p>
            <w:pPr>
              <w:jc w:val="center"/>
              <w:ind w:left="1952"/>
              <w:spacing w:after="0"/>
              <w:rPr>
                <w:sz w:val="20"/>
                <w:szCs w:val="20"/>
                <w:color w:val="auto"/>
              </w:rPr>
            </w:pPr>
            <w:r>
              <w:rPr>
                <w:rFonts w:ascii="Times New Roman" w:cs="Times New Roman" w:eastAsia="Times New Roman" w:hAnsi="Times New Roman"/>
                <w:sz w:val="18"/>
                <w:szCs w:val="18"/>
                <w:color w:val="auto"/>
                <w:w w:val="98"/>
              </w:rPr>
              <w:t>0 (0.0%)</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Aneurysm</w:t>
            </w:r>
          </w:p>
        </w:tc>
        <w:tc>
          <w:tcPr>
            <w:tcW w:w="7260" w:type="dxa"/>
            <w:vAlign w:val="bottom"/>
            <w:gridSpan w:val="3"/>
          </w:tcPr>
          <w:p>
            <w:pPr>
              <w:jc w:val="center"/>
              <w:ind w:left="1952"/>
              <w:spacing w:after="0"/>
              <w:rPr>
                <w:sz w:val="20"/>
                <w:szCs w:val="20"/>
                <w:color w:val="auto"/>
              </w:rPr>
            </w:pPr>
            <w:r>
              <w:rPr>
                <w:rFonts w:ascii="Times New Roman" w:cs="Times New Roman" w:eastAsia="Times New Roman" w:hAnsi="Times New Roman"/>
                <w:sz w:val="18"/>
                <w:szCs w:val="18"/>
                <w:color w:val="auto"/>
                <w:w w:val="98"/>
              </w:rPr>
              <w:t>0 (0.0%)</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0A0A0A"/>
        </w:rPr>
        <w:t xml:space="preserve">*One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0A0A0A"/>
        </w:rPr>
        <w:t xml:space="preserve"> rupture associated with extensive shrapnel remnants in the wound that caused bleeding.</w:t>
      </w:r>
    </w:p>
    <w:p>
      <w:pPr>
        <w:spacing w:after="0" w:line="190" w:lineRule="exact"/>
        <w:rPr>
          <w:sz w:val="20"/>
          <w:szCs w:val="20"/>
          <w:color w:val="auto"/>
        </w:rPr>
      </w:pPr>
    </w:p>
    <w:p>
      <w:pPr>
        <w:ind w:firstLine="318"/>
        <w:spacing w:after="0" w:line="273" w:lineRule="auto"/>
        <w:rPr>
          <w:sz w:val="20"/>
          <w:szCs w:val="20"/>
          <w:color w:val="auto"/>
        </w:rPr>
      </w:pPr>
      <w:r>
        <w:rPr>
          <w:rFonts w:ascii="Times New Roman" w:cs="Times New Roman" w:eastAsia="Times New Roman" w:hAnsi="Times New Roman"/>
          <w:sz w:val="17"/>
          <w:szCs w:val="17"/>
          <w:color w:val="0A0A0A"/>
        </w:rPr>
        <w:t xml:space="preserve">In the figure below, photographs are shown of the first patient treated under the humanitarian program in Ukraine. The patient was a 42-year-old male who suffered a gunshot wound in the leg which damaged his femoral artery. The patient was initially treated using synthetic graft which became infected, and the patient experienced critical right lower extremity ischemia. The </w:t>
      </w:r>
      <w:r>
        <w:rPr>
          <w:rFonts w:ascii="Times New Roman" w:cs="Times New Roman" w:eastAsia="Times New Roman" w:hAnsi="Times New Roman"/>
          <w:sz w:val="17"/>
          <w:szCs w:val="17"/>
          <w:color w:val="231F20"/>
        </w:rPr>
        <w:t>ATEV</w:t>
      </w:r>
      <w:r>
        <w:rPr>
          <w:rFonts w:ascii="Times New Roman" w:cs="Times New Roman" w:eastAsia="Times New Roman" w:hAnsi="Times New Roman"/>
          <w:sz w:val="17"/>
          <w:szCs w:val="17"/>
          <w:color w:val="0A0A0A"/>
        </w:rPr>
        <w:t xml:space="preserve"> was implanted as a right superficial femoral artery reconstruction to achieve wound healing and limb salvage. After three months, the </w:t>
      </w:r>
      <w:r>
        <w:rPr>
          <w:rFonts w:ascii="Times New Roman" w:cs="Times New Roman" w:eastAsia="Times New Roman" w:hAnsi="Times New Roman"/>
          <w:sz w:val="17"/>
          <w:szCs w:val="17"/>
          <w:color w:val="231F20"/>
        </w:rPr>
        <w:t>ATEV</w:t>
      </w:r>
      <w:r>
        <w:rPr>
          <w:rFonts w:ascii="Times New Roman" w:cs="Times New Roman" w:eastAsia="Times New Roman" w:hAnsi="Times New Roman"/>
          <w:sz w:val="17"/>
          <w:szCs w:val="17"/>
          <w:color w:val="0A0A0A"/>
        </w:rPr>
        <w:t xml:space="preserve"> was reported to have retained primary patency with no evidence of </w:t>
      </w:r>
      <w:r>
        <w:rPr>
          <w:rFonts w:ascii="Times New Roman" w:cs="Times New Roman" w:eastAsia="Times New Roman" w:hAnsi="Times New Roman"/>
          <w:sz w:val="17"/>
          <w:szCs w:val="17"/>
          <w:color w:val="231F20"/>
        </w:rPr>
        <w:t>ATEV</w:t>
      </w:r>
      <w:r>
        <w:rPr>
          <w:rFonts w:ascii="Times New Roman" w:cs="Times New Roman" w:eastAsia="Times New Roman" w:hAnsi="Times New Roman"/>
          <w:sz w:val="17"/>
          <w:szCs w:val="17"/>
          <w:color w:val="0A0A0A"/>
        </w:rPr>
        <w:t xml:space="preserve"> infection.</w:t>
      </w:r>
    </w:p>
    <w:p>
      <w:pPr>
        <w:spacing w:after="0" w:line="128" w:lineRule="exact"/>
        <w:rPr>
          <w:sz w:val="20"/>
          <w:szCs w:val="20"/>
          <w:color w:val="auto"/>
        </w:rPr>
      </w:pPr>
    </w:p>
    <w:p>
      <w:pPr>
        <w:jc w:val="center"/>
        <w:ind w:left="400" w:right="180"/>
        <w:spacing w:after="0" w:line="273" w:lineRule="auto"/>
        <w:rPr>
          <w:sz w:val="20"/>
          <w:szCs w:val="20"/>
          <w:color w:val="auto"/>
        </w:rPr>
      </w:pPr>
      <w:r>
        <w:rPr>
          <w:rFonts w:ascii="Times New Roman" w:cs="Times New Roman" w:eastAsia="Times New Roman" w:hAnsi="Times New Roman"/>
          <w:sz w:val="18"/>
          <w:szCs w:val="18"/>
          <w:i w:val="1"/>
          <w:iCs w:val="1"/>
          <w:color w:val="231F20"/>
        </w:rPr>
        <w:t>Intra-operative photographs of attempted synthetic graft repair of femoral artery (left) and subsequent repair with ATEV (right) in patient from Ukraine humanitarian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92075</wp:posOffset>
            </wp:positionV>
            <wp:extent cx="5344795" cy="1487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4795" cy="148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293"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Combined V005 and V017 Results of ATEV for Vascular Trauma</w:t>
      </w:r>
    </w:p>
    <w:p>
      <w:pPr>
        <w:spacing w:after="0" w:line="179" w:lineRule="exact"/>
        <w:rPr>
          <w:sz w:val="20"/>
          <w:szCs w:val="20"/>
          <w:color w:val="auto"/>
        </w:rPr>
      </w:pPr>
    </w:p>
    <w:p>
      <w:pPr>
        <w:ind w:right="180" w:firstLine="318"/>
        <w:spacing w:after="0" w:line="280" w:lineRule="auto"/>
        <w:rPr>
          <w:sz w:val="20"/>
          <w:szCs w:val="20"/>
          <w:color w:val="auto"/>
        </w:rPr>
      </w:pPr>
      <w:r>
        <w:rPr>
          <w:rFonts w:ascii="Times New Roman" w:cs="Times New Roman" w:eastAsia="Times New Roman" w:hAnsi="Times New Roman"/>
          <w:sz w:val="17"/>
          <w:szCs w:val="17"/>
          <w:color w:val="auto"/>
        </w:rPr>
        <w:t xml:space="preserve">The BLA submission was supported by the combined results from the V005 (civilian) Phase 2/3 clinical trial and real-world outcomes from the treatment of wartime injuries in Ukraine in the V017 (military) trial. </w:t>
      </w:r>
      <w:r>
        <w:rPr>
          <w:rFonts w:ascii="Times New Roman" w:cs="Times New Roman" w:eastAsia="Times New Roman" w:hAnsi="Times New Roman"/>
          <w:sz w:val="17"/>
          <w:szCs w:val="17"/>
          <w:color w:val="231F20"/>
        </w:rPr>
        <w:t>Combined results included in the BLA submission to the FDA and published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231F20"/>
        </w:rPr>
        <w:t>JAMA Surgery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November 2024 are summarized in the following table. The Synthetic Graft Benchmark publications included a combination of civilian and military injuries.</w:t>
      </w:r>
    </w:p>
    <w:p>
      <w:pPr>
        <w:spacing w:after="0" w:line="12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i w:val="1"/>
          <w:iCs w:val="1"/>
          <w:color w:val="231F20"/>
        </w:rPr>
        <w:t>Combined V005 Phase 2/3 ATEV and V017 Ukraine Real-World Results in Vascular Trauma</w:t>
      </w:r>
    </w:p>
    <w:p>
      <w:pPr>
        <w:spacing w:after="0" w:line="2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i w:val="1"/>
          <w:iCs w:val="1"/>
          <w:color w:val="231F20"/>
        </w:rPr>
        <w:t>Compared to Synthetic Graft Benchmark</w:t>
      </w:r>
    </w:p>
    <w:p>
      <w:pPr>
        <w:spacing w:after="0" w:line="255"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ATEV V005</w:t>
            </w:r>
          </w:p>
        </w:tc>
        <w:tc>
          <w:tcPr>
            <w:tcW w:w="22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ATEV V017</w:t>
            </w:r>
          </w:p>
        </w:tc>
        <w:tc>
          <w:tcPr>
            <w:tcW w:w="2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Combined ATEV (n=67)</w:t>
            </w:r>
          </w:p>
        </w:tc>
        <w:tc>
          <w:tcPr>
            <w:tcW w:w="1920" w:type="dxa"/>
            <w:vAlign w:val="bottom"/>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8"/>
              </w:rPr>
              <w:t>Synthetic Graft</w:t>
            </w:r>
          </w:p>
        </w:tc>
      </w:tr>
      <w:tr>
        <w:trPr>
          <w:trHeight w:val="231"/>
        </w:trPr>
        <w:tc>
          <w:tcPr>
            <w:tcW w:w="24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Outcome Day 30</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(n=51)</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(n=16)</w:t>
            </w: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7"/>
              </w:rPr>
              <w:t>Benchmark</w:t>
            </w:r>
          </w:p>
        </w:tc>
      </w:tr>
      <w:tr>
        <w:trPr>
          <w:trHeight w:val="27"/>
        </w:trPr>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5"/>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 Patency</w:t>
            </w:r>
          </w:p>
        </w:tc>
        <w:tc>
          <w:tcPr>
            <w:tcW w:w="10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84.3%</w:t>
            </w:r>
          </w:p>
        </w:tc>
        <w:tc>
          <w:tcPr>
            <w:tcW w:w="10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93.8%</w:t>
            </w:r>
          </w:p>
        </w:tc>
        <w:tc>
          <w:tcPr>
            <w:tcW w:w="8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87.1%</w:t>
            </w:r>
          </w:p>
        </w:tc>
        <w:tc>
          <w:tcPr>
            <w:tcW w:w="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8"/>
              </w:rPr>
              <w:t>78.9%</w:t>
            </w:r>
          </w:p>
        </w:tc>
      </w:tr>
      <w:tr>
        <w:trPr>
          <w:trHeight w:val="229"/>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Secondary Patency</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90.2%</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93.8%</w:t>
            </w:r>
          </w:p>
        </w:tc>
        <w:tc>
          <w:tcPr>
            <w:tcW w:w="8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w:t>
            </w:r>
          </w:p>
        </w:tc>
        <w:tc>
          <w:tcPr>
            <w:tcW w:w="80" w:type="dxa"/>
            <w:vAlign w:val="bottom"/>
          </w:tcPr>
          <w:p>
            <w:pPr>
              <w:spacing w:after="0"/>
              <w:rPr>
                <w:sz w:val="19"/>
                <w:szCs w:val="19"/>
                <w:color w:val="auto"/>
              </w:rPr>
            </w:pPr>
          </w:p>
        </w:tc>
        <w:tc>
          <w:tcPr>
            <w:tcW w:w="192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8"/>
              </w:rPr>
              <w:t>78.9%</w:t>
            </w:r>
          </w:p>
        </w:tc>
      </w:tr>
      <w:tr>
        <w:trPr>
          <w:trHeight w:val="22"/>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1"/>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Conduit Infection Rate</w:t>
            </w:r>
          </w:p>
        </w:tc>
        <w:tc>
          <w:tcPr>
            <w:tcW w:w="2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5"/>
              </w:rPr>
              <w:t>8.4%</w:t>
            </w:r>
          </w:p>
        </w:tc>
      </w:tr>
      <w:tr>
        <w:trPr>
          <w:trHeight w:val="229"/>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Amputation Rate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9.8%</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92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8"/>
              </w:rPr>
              <w:t>24.3%</w:t>
            </w:r>
          </w:p>
        </w:tc>
      </w:tr>
      <w:tr>
        <w:trPr>
          <w:trHeight w:val="22"/>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Death Rate (all causes)</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5.9%</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5"/>
              </w:rPr>
              <w:t>3.4%</w:t>
            </w:r>
          </w:p>
        </w:tc>
      </w:tr>
      <w:tr>
        <w:trPr>
          <w:trHeight w:val="22"/>
        </w:trPr>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The ATEV demonstrated a higher 30-day secondary patency rate, and patients treated with the ATEV were only 40% as likely to lose blood flow through</w:t>
      </w:r>
    </w:p>
    <w:p>
      <w:pPr>
        <w:spacing w:after="0" w:line="56" w:lineRule="exact"/>
        <w:rPr>
          <w:sz w:val="20"/>
          <w:szCs w:val="20"/>
          <w:color w:val="auto"/>
        </w:rPr>
      </w:pPr>
    </w:p>
    <w:p>
      <w:pPr>
        <w:ind w:right="360"/>
        <w:spacing w:after="0" w:line="234" w:lineRule="auto"/>
        <w:rPr>
          <w:sz w:val="20"/>
          <w:szCs w:val="20"/>
          <w:color w:val="auto"/>
        </w:rPr>
      </w:pPr>
      <w:r>
        <w:rPr>
          <w:rFonts w:ascii="Times New Roman" w:cs="Times New Roman" w:eastAsia="Times New Roman" w:hAnsi="Times New Roman"/>
          <w:sz w:val="18"/>
          <w:szCs w:val="18"/>
          <w:color w:val="231F20"/>
        </w:rPr>
        <w:t>their conduit after one month compared to the rate historically reported for synthetic grafts, which is a key period for recovery after traumatic injury. In addition, patients treated with the ATEV had approximately 1/5</w:t>
      </w:r>
      <w:r>
        <w:rPr>
          <w:rFonts w:ascii="Times New Roman" w:cs="Times New Roman" w:eastAsia="Times New Roman" w:hAnsi="Times New Roman"/>
          <w:sz w:val="22"/>
          <w:szCs w:val="22"/>
          <w:color w:val="231F20"/>
          <w:vertAlign w:val="superscript"/>
        </w:rPr>
        <w:t>th</w:t>
      </w:r>
      <w:r>
        <w:rPr>
          <w:rFonts w:ascii="Times New Roman" w:cs="Times New Roman" w:eastAsia="Times New Roman" w:hAnsi="Times New Roman"/>
          <w:sz w:val="18"/>
          <w:szCs w:val="18"/>
          <w:color w:val="231F20"/>
        </w:rPr>
        <w:t xml:space="preserve"> the amputation rate, and approximately 1/9</w:t>
      </w:r>
      <w:r>
        <w:rPr>
          <w:rFonts w:ascii="Times New Roman" w:cs="Times New Roman" w:eastAsia="Times New Roman" w:hAnsi="Times New Roman"/>
          <w:sz w:val="22"/>
          <w:szCs w:val="22"/>
          <w:color w:val="231F20"/>
          <w:vertAlign w:val="superscript"/>
        </w:rPr>
        <w:t>th</w:t>
      </w:r>
      <w:r>
        <w:rPr>
          <w:rFonts w:ascii="Times New Roman" w:cs="Times New Roman" w:eastAsia="Times New Roman" w:hAnsi="Times New Roman"/>
          <w:sz w:val="18"/>
          <w:szCs w:val="18"/>
          <w:color w:val="231F20"/>
        </w:rPr>
        <w:t xml:space="preserve"> rate of infection compared to that historically reported for synthetic grafts.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BLA Approval and Indication</w:t>
      </w:r>
    </w:p>
    <w:p>
      <w:pPr>
        <w:spacing w:after="0" w:line="192" w:lineRule="exact"/>
        <w:rPr>
          <w:sz w:val="20"/>
          <w:szCs w:val="20"/>
          <w:color w:val="auto"/>
        </w:rPr>
      </w:pPr>
    </w:p>
    <w:p>
      <w:pPr>
        <w:ind w:right="320" w:firstLine="318"/>
        <w:spacing w:after="0" w:line="251" w:lineRule="auto"/>
        <w:rPr>
          <w:sz w:val="20"/>
          <w:szCs w:val="20"/>
          <w:color w:val="auto"/>
        </w:rPr>
      </w:pPr>
      <w:r>
        <w:rPr>
          <w:rFonts w:ascii="Times New Roman" w:cs="Times New Roman" w:eastAsia="Times New Roman" w:hAnsi="Times New Roman"/>
          <w:sz w:val="18"/>
          <w:szCs w:val="18"/>
          <w:color w:val="231F20"/>
        </w:rPr>
        <w:t>On December 19, 2024, the FDA granted full approval for the ATEV for use in adults with extremity vascular trauma. The granted indication language was: “</w:t>
      </w:r>
      <w:r>
        <w:rPr>
          <w:rFonts w:ascii="Times New Roman" w:cs="Times New Roman" w:eastAsia="Times New Roman" w:hAnsi="Times New Roman"/>
          <w:sz w:val="18"/>
          <w:szCs w:val="18"/>
          <w:color w:val="000000"/>
        </w:rPr>
        <w:t>for use in adults as a vascular conduit for extremity arterial injury when urgent revascularization is needed to avoid imminent limb loss, and when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autologous vein graft is not feasible.” Although Humacyte had originally filed for an indication of use that included when “autologous vein was not feasible and synthetic graft was not indicated,” the FDA granted an indication for when “autologous vein is not feasible,” a broader indication of use without the restriction of “when synthetic graft was not indicated.”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Budget Impact Model</w:t>
      </w:r>
    </w:p>
    <w:p>
      <w:pPr>
        <w:spacing w:after="0" w:line="177" w:lineRule="exact"/>
        <w:rPr>
          <w:sz w:val="20"/>
          <w:szCs w:val="20"/>
          <w:color w:val="auto"/>
        </w:rPr>
      </w:pPr>
    </w:p>
    <w:p>
      <w:pPr>
        <w:ind w:right="200" w:firstLine="318"/>
        <w:spacing w:after="0" w:line="249" w:lineRule="auto"/>
        <w:rPr>
          <w:sz w:val="20"/>
          <w:szCs w:val="20"/>
          <w:color w:val="auto"/>
        </w:rPr>
      </w:pPr>
      <w:r>
        <w:rPr>
          <w:rFonts w:ascii="Times New Roman" w:cs="Times New Roman" w:eastAsia="Times New Roman" w:hAnsi="Times New Roman"/>
          <w:sz w:val="18"/>
          <w:szCs w:val="18"/>
          <w:color w:val="auto"/>
        </w:rPr>
        <w:t xml:space="preserve">In March 2025, the Budget Impact Model for Symvess was published in the </w:t>
      </w:r>
      <w:r>
        <w:rPr>
          <w:rFonts w:ascii="Times New Roman" w:cs="Times New Roman" w:eastAsia="Times New Roman" w:hAnsi="Times New Roman"/>
          <w:sz w:val="18"/>
          <w:szCs w:val="18"/>
          <w:i w:val="1"/>
          <w:iCs w:val="1"/>
          <w:color w:val="auto"/>
        </w:rPr>
        <w:t>Journal of Medical Economics</w:t>
      </w:r>
      <w:r>
        <w:rPr>
          <w:rFonts w:ascii="Times New Roman" w:cs="Times New Roman" w:eastAsia="Times New Roman" w:hAnsi="Times New Roman"/>
          <w:sz w:val="18"/>
          <w:szCs w:val="18"/>
          <w:color w:val="auto"/>
        </w:rPr>
        <w:t>. The publication reported that Symvess was projected to be cost saving for both trauma centers and third-party payers, primarily due to reductions in the costs related to amputations and conduit infections. This publication used inputs from the PROOVIT vascular trauma registry, databases of hospital charges and insurance claims, published literature, and expert opinion to evaluate the economic impact from the perspective of Level I trauma centers and third-party commercial, Medicare and Medicaid payors. The publication was developed in collaboration with health economists and vascular surgeons to ensure that current practices in extremity arterial trauma practices were reflected, and that current health economic modeling standards were followed. Based on the model, the per-patient cost for trauma centers of treating patients with Symvess is estimated to be less than the cost of treating trauma patients with synthetic and other non-autologous grafts as shown in the graph below.</w:t>
      </w:r>
    </w:p>
    <w:p>
      <w:pPr>
        <w:spacing w:after="0" w:line="200" w:lineRule="exact"/>
        <w:rPr>
          <w:sz w:val="20"/>
          <w:szCs w:val="20"/>
          <w:color w:val="auto"/>
        </w:rPr>
      </w:pPr>
    </w:p>
    <w:p>
      <w:pPr>
        <w:spacing w:after="0" w:line="3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293"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231F20"/>
        </w:rPr>
        <w:t>Symvess (ATEV) Budget Impact Model</w:t>
      </w:r>
    </w:p>
    <w:p>
      <w:pPr>
        <w:spacing w:after="0" w:line="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i w:val="1"/>
          <w:iCs w:val="1"/>
          <w:color w:val="231F20"/>
        </w:rPr>
        <w:t>Estimated Per-Patient Cost for Trauma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5445760" cy="16554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45760"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00" w:firstLine="318"/>
        <w:spacing w:after="0" w:line="271" w:lineRule="auto"/>
        <w:rPr>
          <w:sz w:val="20"/>
          <w:szCs w:val="20"/>
          <w:color w:val="auto"/>
        </w:rPr>
      </w:pPr>
      <w:r>
        <w:rPr>
          <w:rFonts w:ascii="Times New Roman" w:cs="Times New Roman" w:eastAsia="Times New Roman" w:hAnsi="Times New Roman"/>
          <w:sz w:val="18"/>
          <w:szCs w:val="18"/>
          <w:color w:val="auto"/>
        </w:rPr>
        <w:t>The model also showed greater savings for third-party payors (compared to trauma centers) due to the avoidance of late complications occurring after patients’ release from the hospital as shown in the graph below.</w:t>
      </w:r>
    </w:p>
    <w:p>
      <w:pPr>
        <w:spacing w:after="0" w:line="12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231F20"/>
        </w:rPr>
        <w:t>Symvess (ATEV) Budget Impact Model</w:t>
      </w:r>
    </w:p>
    <w:p>
      <w:pPr>
        <w:spacing w:after="0" w:line="2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i w:val="1"/>
          <w:iCs w:val="1"/>
          <w:color w:val="231F20"/>
        </w:rPr>
        <w:t>Estimated Per-Patient Cost for Third-Party Payors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121285</wp:posOffset>
            </wp:positionV>
            <wp:extent cx="5445760" cy="16554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45760"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firstLine="318"/>
        <w:spacing w:after="0" w:line="271" w:lineRule="auto"/>
        <w:rPr>
          <w:sz w:val="20"/>
          <w:szCs w:val="20"/>
          <w:color w:val="auto"/>
        </w:rPr>
      </w:pPr>
      <w:r>
        <w:rPr>
          <w:rFonts w:ascii="Times New Roman" w:cs="Times New Roman" w:eastAsia="Times New Roman" w:hAnsi="Times New Roman"/>
          <w:sz w:val="18"/>
          <w:szCs w:val="18"/>
          <w:color w:val="0A0A0A"/>
        </w:rPr>
        <w:t>The major drivers of cost savings in the Budget Impact Model associated with Symvess across all stakeholders were attributed to reductions in the rate of vascular conduit infection and amputation.</w:t>
      </w:r>
    </w:p>
    <w:p>
      <w:pPr>
        <w:spacing w:after="0" w:line="124" w:lineRule="exact"/>
        <w:rPr>
          <w:sz w:val="20"/>
          <w:szCs w:val="20"/>
          <w:color w:val="auto"/>
        </w:rPr>
      </w:pPr>
    </w:p>
    <w:p>
      <w:pPr>
        <w:ind w:right="5520"/>
        <w:spacing w:after="0" w:line="481"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Proposed Indication #2: Use of the ATEV for AV Access for Hemodialysis </w:t>
      </w:r>
      <w:r>
        <w:rPr>
          <w:rFonts w:ascii="Times New Roman" w:cs="Times New Roman" w:eastAsia="Times New Roman" w:hAnsi="Times New Roman"/>
          <w:sz w:val="17"/>
          <w:szCs w:val="17"/>
          <w:i w:val="1"/>
          <w:iCs w:val="1"/>
          <w:color w:val="231F20"/>
        </w:rPr>
        <w:t>Overview of Hemodialysis and Existing Methods of AV Access for Hemodialysis</w:t>
      </w:r>
    </w:p>
    <w:p>
      <w:pPr>
        <w:spacing w:after="0" w:line="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231F20"/>
        </w:rPr>
        <w:t>End-stage renal disease (“ESRD”) develops when chronic kidney disease progresses to a point where either dialysis or a kidney transplant is required for the patient to survive. For hemodialysis to be conducted, a point of vascular access to the patient’s circulatory system must be created, termed vascular access, so that blood can be transported from the body to the dialyzer and then back to the body. The demand for vascular access conduits includes the need for both new hemodialysis patients who have progressed to ESRD requiring an initial access, and existing patients that require the replacement of their existing access. There are currently three traditional methods for obtaining vascular access for hemodialysis: an AV fistula, a synthetic graft, and a catheter. Each of these vascular access methods has substantial limitations, as outlined below:</w:t>
      </w:r>
    </w:p>
    <w:p>
      <w:pPr>
        <w:spacing w:after="0" w:line="200" w:lineRule="exact"/>
        <w:rPr>
          <w:sz w:val="20"/>
          <w:szCs w:val="20"/>
          <w:color w:val="auto"/>
        </w:rPr>
      </w:pPr>
    </w:p>
    <w:p>
      <w:pPr>
        <w:spacing w:after="0" w:line="35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293"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Three Traditional Methods for Obtaining Vascular Access for Hemodialysis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125095</wp:posOffset>
            </wp:positionV>
            <wp:extent cx="5344795" cy="1605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4795" cy="160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u w:val="single" w:color="auto"/>
          <w:color w:val="231F20"/>
        </w:rPr>
        <w:t>Fistula</w:t>
      </w:r>
      <w:r>
        <w:rPr>
          <w:rFonts w:ascii="Times New Roman" w:cs="Times New Roman" w:eastAsia="Times New Roman" w:hAnsi="Times New Roman"/>
          <w:sz w:val="18"/>
          <w:szCs w:val="18"/>
          <w:color w:val="231F20"/>
        </w:rPr>
        <w:t>. An AV fistula is created by surgically connecting a vein to an artery, typically in the patient’s arm. Fistulae are often considered the preferred means of access for hemodialysis due to lower infection rates of approximately 0.5% – 1.5% per patient-year as well as long-term durability. However, many patients are not suitable candidates for fistula placement, including women and patients with small vessel anatomy, advanced age, obesity, diabetes or other comorbidities. Approximately 40% of patients who undergo surgery for fistula creation will not gain any benefit from the surgery because the fistula lacks sufficient vein enlargement and increased blood flow, a process called fistula maturation, that is necessary for hemodialysis. Additionally, during the period in which the fistula is maturing, catheters are generally used to provide the patient access for dialysis. There is a high risk of infection and morbidity, and health care cost, associated with prolonged catheter dependence while waiting for the fistula to mature.</w:t>
      </w:r>
    </w:p>
    <w:p>
      <w:pPr>
        <w:spacing w:after="0" w:line="151" w:lineRule="exact"/>
        <w:rPr>
          <w:sz w:val="20"/>
          <w:szCs w:val="20"/>
          <w:color w:val="auto"/>
        </w:rPr>
      </w:pPr>
    </w:p>
    <w:p>
      <w:pPr>
        <w:ind w:right="140" w:firstLine="318"/>
        <w:spacing w:after="0" w:line="280" w:lineRule="auto"/>
        <w:rPr>
          <w:sz w:val="20"/>
          <w:szCs w:val="20"/>
          <w:color w:val="auto"/>
        </w:rPr>
      </w:pPr>
      <w:r>
        <w:rPr>
          <w:rFonts w:ascii="Times New Roman" w:cs="Times New Roman" w:eastAsia="Times New Roman" w:hAnsi="Times New Roman"/>
          <w:sz w:val="17"/>
          <w:szCs w:val="17"/>
          <w:u w:val="single" w:color="auto"/>
          <w:color w:val="231F20"/>
        </w:rPr>
        <w:t>Catheters</w:t>
      </w:r>
      <w:r>
        <w:rPr>
          <w:rFonts w:ascii="Times New Roman" w:cs="Times New Roman" w:eastAsia="Times New Roman" w:hAnsi="Times New Roman"/>
          <w:sz w:val="17"/>
          <w:szCs w:val="17"/>
          <w:color w:val="231F20"/>
        </w:rPr>
        <w:t>. A catheter, which is tunneled underneath the skin and placed directly into a large vein in the patient, is generally the least desirable access solution. Given the time necessary for fistulae to mature, the vast majority of patients in the United States begin hemodialysis using a catheter while awaiting fistula maturation. Catheters have rates of blood stream infections as high as 200% per patient-year, with high associated morbidity and health care costs.</w:t>
      </w:r>
    </w:p>
    <w:p>
      <w:pPr>
        <w:spacing w:after="0" w:line="136" w:lineRule="exact"/>
        <w:rPr>
          <w:sz w:val="20"/>
          <w:szCs w:val="20"/>
          <w:color w:val="auto"/>
        </w:rPr>
      </w:pPr>
    </w:p>
    <w:p>
      <w:pPr>
        <w:ind w:right="100" w:firstLine="318"/>
        <w:spacing w:after="0" w:line="254" w:lineRule="auto"/>
        <w:rPr>
          <w:sz w:val="20"/>
          <w:szCs w:val="20"/>
          <w:color w:val="auto"/>
        </w:rPr>
      </w:pPr>
      <w:r>
        <w:rPr>
          <w:rFonts w:ascii="Times New Roman" w:cs="Times New Roman" w:eastAsia="Times New Roman" w:hAnsi="Times New Roman"/>
          <w:sz w:val="18"/>
          <w:szCs w:val="18"/>
          <w:u w:val="single" w:color="auto"/>
          <w:color w:val="231F20"/>
        </w:rPr>
        <w:t>Synthetic graft</w:t>
      </w:r>
      <w:r>
        <w:rPr>
          <w:rFonts w:ascii="Times New Roman" w:cs="Times New Roman" w:eastAsia="Times New Roman" w:hAnsi="Times New Roman"/>
          <w:sz w:val="18"/>
          <w:szCs w:val="18"/>
          <w:color w:val="231F20"/>
        </w:rPr>
        <w:t>. A synthetic graft, typically made from ePTFE and sewn between an artery and vein in the patient’s arm, is generally used in patients who are not candidates for fistulae. The drawbacks of synthetic grafts include higher infection rates, which can be as high as 10% – 15% per patient-year, and gradual degradation of the non-healing ePTFE graft material caused by persistent needle punctures. A recent systematic meta-analysis measuring the functional patency of ePTFE grafts shows that, on average, only 70% of ePTFE dialysis access grafts remain functional one year after implantation.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Distribution of Hemodialysis Access Modes in Use in the United States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Access Type</w:t>
            </w: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Fistulae</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Catheters</w:t>
            </w:r>
          </w:p>
        </w:tc>
        <w:tc>
          <w:tcPr>
            <w:tcW w:w="146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Synthetic Grafts</w:t>
            </w:r>
          </w:p>
        </w:tc>
      </w:tr>
      <w:tr>
        <w:trPr>
          <w:trHeight w:val="24"/>
        </w:trPr>
        <w:tc>
          <w:tcPr>
            <w:tcW w:w="45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Incident Patients: At Initiation of Hemodialysis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Prevalent Patients: For Ongoing Hemodialysis</w:t>
            </w:r>
          </w:p>
        </w:tc>
        <w:tc>
          <w:tcPr>
            <w:tcW w:w="3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882"/>
        </w:trPr>
        <w:tc>
          <w:tcPr>
            <w:tcW w:w="4540" w:type="dxa"/>
            <w:vAlign w:val="bottom"/>
          </w:tcPr>
          <w:p>
            <w:pPr>
              <w:spacing w:after="0"/>
              <w:rPr>
                <w:sz w:val="24"/>
                <w:szCs w:val="24"/>
                <w:color w:val="auto"/>
              </w:rPr>
            </w:pPr>
          </w:p>
        </w:tc>
        <w:tc>
          <w:tcPr>
            <w:tcW w:w="204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3"/>
        </w:trPr>
        <w:tc>
          <w:tcPr>
            <w:tcW w:w="454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0" w:firstLine="318"/>
        <w:spacing w:after="0" w:line="254" w:lineRule="auto"/>
        <w:rPr>
          <w:sz w:val="20"/>
          <w:szCs w:val="20"/>
          <w:color w:val="auto"/>
        </w:rPr>
      </w:pPr>
      <w:r>
        <w:rPr>
          <w:rFonts w:ascii="Times New Roman" w:cs="Times New Roman" w:eastAsia="Times New Roman" w:hAnsi="Times New Roman"/>
          <w:sz w:val="18"/>
          <w:szCs w:val="18"/>
          <w:b w:val="1"/>
          <w:bCs w:val="1"/>
          <w:color w:val="231F20"/>
        </w:rPr>
        <w:t xml:space="preserve">Overview of ATEV Experience in Hemodialysis Access: </w:t>
      </w:r>
      <w:r>
        <w:rPr>
          <w:rFonts w:ascii="Times New Roman" w:cs="Times New Roman" w:eastAsia="Times New Roman" w:hAnsi="Times New Roman"/>
          <w:sz w:val="18"/>
          <w:szCs w:val="18"/>
          <w:color w:val="231F20"/>
        </w:rPr>
        <w:t>A table listing our clinical trials of the ATEV in hemodialysis access is included below. We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have implanted the ATEV into approximately 418 total patients for hemodialysis access, for a total of more than 993 patient-years of exposure, as of December 31, 2024. Throughout these trials, we have observed consistent and sustained high primary and secondary patency rates. We have observed zero instances of clinical rejection of any ATEV in any hemodialysis access trial.</w:t>
      </w:r>
    </w:p>
    <w:p>
      <w:pPr>
        <w:spacing w:after="0" w:line="14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i w:val="1"/>
          <w:iCs w:val="1"/>
          <w:color w:val="231F20"/>
        </w:rPr>
        <w:t>Implantation of ATEV for Hemodialysis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125095</wp:posOffset>
            </wp:positionV>
            <wp:extent cx="3403600" cy="11258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3600" cy="112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We have also observed in multiple clinical trials that our ATEVs had a low infection susceptibility during use for hemodialysis, with a rate lower than 1% per patient-year across all studies. The low infection susceptibility we observed in our trials of our ATEVs may be a result of the ATEV’s potential to become a living tissue as it becomes populated by cells from the patient’s body. Since living tissues are known to have resisted infection due to interactions with host white blood cells and immunological defense systems, it is possible that the repopulated ATEV resists infection for the same reasons that native arteries and veins resist infections, as is observed with autogenous fistulas.</w:t>
      </w:r>
    </w:p>
    <w:p>
      <w:pPr>
        <w:spacing w:after="0" w:line="162"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8"/>
          <w:szCs w:val="18"/>
          <w:color w:val="231F20"/>
        </w:rPr>
        <w:t>We have also observed early evidence of potential healing from the cells that repopulate the ATEV after needle puncture for hemodialysis. In examining ATEV explanted segments we have observed healed needle cannulation tracts with cells expressing smooth muscle markers. This self-healing indicates that the ATEV may have repaired itself while being used as a hemodialysis access, which we believe is a distinct feature not present in synthetic materials, and, to our knowledge, has not been observed before for any other regenerative medicine product.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Our Current Phase 2 and Phase 3 Trials of the ATEV in Hemodialysis Access</w:t>
      </w:r>
    </w:p>
    <w:p>
      <w:pPr>
        <w:sectPr>
          <w:pgSz w:w="11900" w:h="16838" w:orient="portrait"/>
          <w:cols w:equalWidth="0" w:num="1">
            <w:col w:w="11160"/>
          </w:cols>
          <w:pgMar w:left="320" w:top="293" w:right="419" w:bottom="1440" w:gutter="0" w:footer="0" w:header="0"/>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Clinical Trial</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Begin Enrollment</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Design/Phase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91"/>
        </w:trPr>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4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Subjects</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V001</w:t>
            </w:r>
          </w:p>
        </w:tc>
        <w:tc>
          <w:tcPr>
            <w:tcW w:w="10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Dialysis Access</w:t>
            </w:r>
          </w:p>
        </w:tc>
        <w:tc>
          <w:tcPr>
            <w:tcW w:w="10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10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Phase 2 Single-arm</w:t>
            </w:r>
          </w:p>
        </w:tc>
        <w:tc>
          <w:tcPr>
            <w:tcW w:w="10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10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Completed</w:t>
            </w:r>
          </w:p>
        </w:tc>
        <w:tc>
          <w:tcPr>
            <w:tcW w:w="0" w:type="dxa"/>
            <w:vAlign w:val="bottom"/>
          </w:tcPr>
          <w:p>
            <w:pPr>
              <w:spacing w:after="0"/>
              <w:rPr>
                <w:sz w:val="1"/>
                <w:szCs w:val="1"/>
                <w:color w:val="auto"/>
              </w:rPr>
            </w:pPr>
          </w:p>
        </w:tc>
      </w:tr>
      <w:tr>
        <w:trPr>
          <w:trHeight w:val="1063"/>
        </w:trPr>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V003</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10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Phase 2 Single-arm</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Completed</w:t>
            </w:r>
          </w:p>
        </w:tc>
        <w:tc>
          <w:tcPr>
            <w:tcW w:w="0" w:type="dxa"/>
            <w:vAlign w:val="bottom"/>
          </w:tcPr>
          <w:p>
            <w:pPr>
              <w:spacing w:after="0"/>
              <w:rPr>
                <w:sz w:val="1"/>
                <w:szCs w:val="1"/>
                <w:color w:val="auto"/>
              </w:rPr>
            </w:pPr>
          </w:p>
        </w:tc>
      </w:tr>
      <w:tr>
        <w:trPr>
          <w:trHeight w:val="871"/>
        </w:trPr>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V006</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10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Phase 3 Prospective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355 total; 177 received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Completed</w:t>
            </w:r>
          </w:p>
        </w:tc>
        <w:tc>
          <w:tcPr>
            <w:tcW w:w="0" w:type="dxa"/>
            <w:vAlign w:val="bottom"/>
          </w:tcPr>
          <w:p>
            <w:pPr>
              <w:spacing w:after="0"/>
              <w:rPr>
                <w:sz w:val="1"/>
                <w:szCs w:val="1"/>
                <w:color w:val="auto"/>
              </w:rPr>
            </w:pPr>
          </w:p>
        </w:tc>
      </w:tr>
      <w:tr>
        <w:trPr>
          <w:trHeight w:val="172"/>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Randomized Blinded</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231F20"/>
                <w:w w:val="99"/>
              </w:rPr>
              <w:t xml:space="preserve">ATEV </w:t>
            </w:r>
            <w:r>
              <w:rPr>
                <w:rFonts w:ascii="Times New Roman" w:cs="Times New Roman" w:eastAsia="Times New Roman" w:hAnsi="Times New Roman"/>
                <w:sz w:val="14"/>
                <w:szCs w:val="14"/>
                <w:color w:val="000000"/>
                <w:w w:val="99"/>
              </w:rPr>
              <w:t>178 received</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ePTFE</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7"/>
        </w:trPr>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V007</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10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Phase 3 Prospective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242 total; 123 received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Topline results</w:t>
            </w:r>
          </w:p>
        </w:tc>
        <w:tc>
          <w:tcPr>
            <w:tcW w:w="0" w:type="dxa"/>
            <w:vAlign w:val="bottom"/>
          </w:tcPr>
          <w:p>
            <w:pPr>
              <w:spacing w:after="0"/>
              <w:rPr>
                <w:sz w:val="1"/>
                <w:szCs w:val="1"/>
                <w:color w:val="auto"/>
              </w:rPr>
            </w:pPr>
          </w:p>
        </w:tc>
      </w:tr>
      <w:tr>
        <w:trPr>
          <w:trHeight w:val="172"/>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Randomized Blinded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ATEV, 119 received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reported August 2024,</w:t>
            </w:r>
          </w:p>
        </w:tc>
        <w:tc>
          <w:tcPr>
            <w:tcW w:w="0" w:type="dxa"/>
            <w:vAlign w:val="bottom"/>
          </w:tcPr>
          <w:p>
            <w:pPr>
              <w:spacing w:after="0"/>
              <w:rPr>
                <w:sz w:val="1"/>
                <w:szCs w:val="1"/>
                <w:color w:val="auto"/>
              </w:rPr>
            </w:pPr>
          </w:p>
        </w:tc>
      </w:tr>
      <w:tr>
        <w:trPr>
          <w:trHeight w:val="172"/>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2"/>
              </w:rPr>
              <w:t>AVF</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two-year follow-up in</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process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-1337310</wp:posOffset>
            </wp:positionV>
            <wp:extent cx="7134860" cy="890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90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-2597785</wp:posOffset>
            </wp:positionV>
            <wp:extent cx="7134860" cy="688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6889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Outcomes**</w:t>
      </w:r>
    </w:p>
    <w:p>
      <w:pPr>
        <w:spacing w:after="0" w:line="35"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PP: 95%</w:t>
      </w:r>
    </w:p>
    <w:p>
      <w:pPr>
        <w:spacing w:after="0" w:line="53"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100%</w:t>
      </w:r>
    </w:p>
    <w:p>
      <w:pPr>
        <w:spacing w:after="0" w:line="1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97%</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60-month SP: 58%</w:t>
      </w:r>
    </w:p>
    <w:p>
      <w:pPr>
        <w:spacing w:after="0"/>
        <w:rPr>
          <w:sz w:val="20"/>
          <w:szCs w:val="20"/>
          <w:color w:val="auto"/>
        </w:rPr>
      </w:pPr>
      <w:r>
        <w:rPr>
          <w:rFonts w:ascii="Times New Roman" w:cs="Times New Roman" w:eastAsia="Times New Roman" w:hAnsi="Times New Roman"/>
          <w:sz w:val="14"/>
          <w:szCs w:val="14"/>
          <w:color w:val="auto"/>
        </w:rPr>
        <w:t>Infection Rate/yr: 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Rejections: 0</w:t>
      </w:r>
    </w:p>
    <w:p>
      <w:pPr>
        <w:spacing w:after="0" w:line="2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PP: 95%</w:t>
      </w:r>
    </w:p>
    <w:p>
      <w:pPr>
        <w:spacing w:after="0" w:line="53"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89%</w:t>
      </w:r>
    </w:p>
    <w:p>
      <w:pPr>
        <w:spacing w:after="0" w:line="1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81%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Infection Rate/yr: 4% (1 event)</w:t>
      </w:r>
    </w:p>
    <w:p>
      <w:pPr>
        <w:spacing w:after="0"/>
        <w:rPr>
          <w:sz w:val="20"/>
          <w:szCs w:val="20"/>
          <w:color w:val="auto"/>
        </w:rPr>
      </w:pPr>
      <w:r>
        <w:rPr>
          <w:rFonts w:ascii="Times New Roman" w:cs="Times New Roman" w:eastAsia="Times New Roman" w:hAnsi="Times New Roman"/>
          <w:sz w:val="14"/>
          <w:szCs w:val="14"/>
          <w:color w:val="auto"/>
        </w:rPr>
        <w:t>Number of Rejections: 0</w:t>
      </w:r>
    </w:p>
    <w:p>
      <w:pPr>
        <w:spacing w:after="0" w:line="17"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day PP </w:t>
      </w:r>
      <w:r>
        <w:rPr>
          <w:rFonts w:ascii="Times New Roman" w:cs="Times New Roman" w:eastAsia="Times New Roman" w:hAnsi="Times New Roman"/>
          <w:sz w:val="14"/>
          <w:szCs w:val="14"/>
          <w:color w:val="231F20"/>
        </w:rPr>
        <w:t>ATEV</w:t>
      </w:r>
      <w:r>
        <w:rPr>
          <w:rFonts w:ascii="Times New Roman" w:cs="Times New Roman" w:eastAsia="Times New Roman" w:hAnsi="Times New Roman"/>
          <w:sz w:val="14"/>
          <w:szCs w:val="14"/>
          <w:color w:val="auto"/>
        </w:rPr>
        <w:t>: 93%</w:t>
      </w:r>
    </w:p>
    <w:p>
      <w:pPr>
        <w:spacing w:after="0" w:line="53"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month SP </w:t>
      </w:r>
      <w:r>
        <w:rPr>
          <w:rFonts w:ascii="Times New Roman" w:cs="Times New Roman" w:eastAsia="Times New Roman" w:hAnsi="Times New Roman"/>
          <w:sz w:val="14"/>
          <w:szCs w:val="14"/>
          <w:color w:val="231F20"/>
        </w:rPr>
        <w:t>ATEV</w:t>
      </w:r>
      <w:r>
        <w:rPr>
          <w:rFonts w:ascii="Times New Roman" w:cs="Times New Roman" w:eastAsia="Times New Roman" w:hAnsi="Times New Roman"/>
          <w:sz w:val="14"/>
          <w:szCs w:val="14"/>
          <w:color w:val="auto"/>
        </w:rPr>
        <w:t>: 82%</w:t>
      </w:r>
    </w:p>
    <w:p>
      <w:pPr>
        <w:spacing w:after="0" w:line="1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24</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month SP </w:t>
      </w:r>
      <w:r>
        <w:rPr>
          <w:rFonts w:ascii="Times New Roman" w:cs="Times New Roman" w:eastAsia="Times New Roman" w:hAnsi="Times New Roman"/>
          <w:sz w:val="14"/>
          <w:szCs w:val="14"/>
          <w:color w:val="231F20"/>
        </w:rPr>
        <w:t>ATEV</w:t>
      </w:r>
      <w:r>
        <w:rPr>
          <w:rFonts w:ascii="Times New Roman" w:cs="Times New Roman" w:eastAsia="Times New Roman" w:hAnsi="Times New Roman"/>
          <w:sz w:val="14"/>
          <w:szCs w:val="14"/>
          <w:color w:val="auto"/>
        </w:rPr>
        <w:t>: 67%</w:t>
      </w:r>
    </w:p>
    <w:p>
      <w:pPr>
        <w:spacing w:after="0" w:line="9"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ePTFE: 80%</w:t>
      </w:r>
    </w:p>
    <w:p>
      <w:pPr>
        <w:spacing w:after="0" w:line="161" w:lineRule="exact"/>
        <w:rPr>
          <w:sz w:val="20"/>
          <w:szCs w:val="20"/>
          <w:color w:val="auto"/>
        </w:rPr>
      </w:pPr>
      <w:r>
        <w:rPr>
          <w:rFonts w:ascii="Times New Roman" w:cs="Times New Roman" w:eastAsia="Times New Roman" w:hAnsi="Times New Roman"/>
          <w:sz w:val="14"/>
          <w:szCs w:val="14"/>
          <w:color w:val="auto"/>
        </w:rPr>
        <w:t>24</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ePTFE: 74%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Infection Rate </w:t>
      </w:r>
      <w:r>
        <w:rPr>
          <w:rFonts w:ascii="Times New Roman" w:cs="Times New Roman" w:eastAsia="Times New Roman" w:hAnsi="Times New Roman"/>
          <w:sz w:val="14"/>
          <w:szCs w:val="14"/>
          <w:color w:val="231F20"/>
        </w:rPr>
        <w:t>ATEV</w:t>
      </w:r>
      <w:r>
        <w:rPr>
          <w:rFonts w:ascii="Times New Roman" w:cs="Times New Roman" w:eastAsia="Times New Roman" w:hAnsi="Times New Roman"/>
          <w:sz w:val="14"/>
          <w:szCs w:val="14"/>
          <w:color w:val="auto"/>
        </w:rPr>
        <w:t>/yr: 0.93%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Infection Rate ePTFE/yr: 4.5%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Number of </w:t>
      </w:r>
      <w:r>
        <w:rPr>
          <w:rFonts w:ascii="Times New Roman" w:cs="Times New Roman" w:eastAsia="Times New Roman" w:hAnsi="Times New Roman"/>
          <w:sz w:val="14"/>
          <w:szCs w:val="14"/>
          <w:color w:val="231F20"/>
        </w:rPr>
        <w:t>ATEV</w:t>
      </w:r>
      <w:r>
        <w:rPr>
          <w:rFonts w:ascii="Times New Roman" w:cs="Times New Roman" w:eastAsia="Times New Roman" w:hAnsi="Times New Roman"/>
          <w:sz w:val="14"/>
          <w:szCs w:val="14"/>
          <w:color w:val="auto"/>
        </w:rPr>
        <w:t xml:space="preserve"> Rejections: 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6-month SP ATEV: 81%</w:t>
      </w:r>
    </w:p>
    <w:p>
      <w:pPr>
        <w:spacing w:after="0" w:line="217" w:lineRule="auto"/>
        <w:rPr>
          <w:sz w:val="20"/>
          <w:szCs w:val="20"/>
          <w:color w:val="auto"/>
        </w:rPr>
      </w:pPr>
      <w:r>
        <w:rPr>
          <w:rFonts w:ascii="Times New Roman" w:cs="Times New Roman" w:eastAsia="Times New Roman" w:hAnsi="Times New Roman"/>
          <w:sz w:val="14"/>
          <w:szCs w:val="14"/>
          <w:color w:val="auto"/>
        </w:rPr>
        <w:t>12-month SP ATEV: 68%</w:t>
      </w:r>
    </w:p>
    <w:p>
      <w:pPr>
        <w:spacing w:after="0" w:line="198" w:lineRule="auto"/>
        <w:rPr>
          <w:sz w:val="20"/>
          <w:szCs w:val="20"/>
          <w:color w:val="auto"/>
        </w:rPr>
      </w:pPr>
      <w:r>
        <w:rPr>
          <w:rFonts w:ascii="Times New Roman" w:cs="Times New Roman" w:eastAsia="Times New Roman" w:hAnsi="Times New Roman"/>
          <w:sz w:val="14"/>
          <w:szCs w:val="14"/>
          <w:color w:val="auto"/>
        </w:rPr>
        <w:t>6-month SP AVF: 66%</w:t>
      </w:r>
    </w:p>
    <w:p>
      <w:pPr>
        <w:spacing w:after="0"/>
        <w:rPr>
          <w:sz w:val="20"/>
          <w:szCs w:val="20"/>
          <w:color w:val="auto"/>
        </w:rPr>
      </w:pPr>
      <w:r>
        <w:rPr>
          <w:rFonts w:ascii="Times New Roman" w:cs="Times New Roman" w:eastAsia="Times New Roman" w:hAnsi="Times New Roman"/>
          <w:sz w:val="14"/>
          <w:szCs w:val="14"/>
          <w:color w:val="auto"/>
        </w:rPr>
        <w:t>12-month SP AVF: 62%</w:t>
      </w:r>
    </w:p>
    <w:p>
      <w:pPr>
        <w:spacing w:after="0" w:line="312" w:lineRule="exact"/>
        <w:rPr>
          <w:sz w:val="20"/>
          <w:szCs w:val="20"/>
          <w:color w:val="auto"/>
        </w:rPr>
      </w:pPr>
    </w:p>
    <w:p>
      <w:pPr>
        <w:sectPr>
          <w:pgSz w:w="11900" w:h="16838" w:orient="portrait"/>
          <w:cols w:equalWidth="0" w:num="2">
            <w:col w:w="8520" w:space="120"/>
            <w:col w:w="2520"/>
          </w:cols>
          <w:pgMar w:left="320" w:top="293" w:right="41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293" w:right="4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Clinical Trial</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00" w:type="dxa"/>
            <w:vAlign w:val="bottom"/>
            <w:vMerge w:val="restart"/>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Begin Enrollment</w:t>
            </w:r>
          </w:p>
        </w:tc>
        <w:tc>
          <w:tcPr>
            <w:tcW w:w="100" w:type="dxa"/>
            <w:vAlign w:val="bottom"/>
            <w:vMerge w:val="restart"/>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Design/Phase</w:t>
            </w:r>
          </w:p>
        </w:tc>
        <w:tc>
          <w:tcPr>
            <w:tcW w:w="100" w:type="dxa"/>
            <w:vAlign w:val="bottom"/>
            <w:vMerge w:val="restart"/>
          </w:tcPr>
          <w:p>
            <w:pPr>
              <w:spacing w:after="0"/>
              <w:rPr>
                <w:sz w:val="13"/>
                <w:szCs w:val="13"/>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vMerge w:val="restart"/>
          </w:tcPr>
          <w:p>
            <w:pPr>
              <w:spacing w:after="0"/>
              <w:rPr>
                <w:sz w:val="13"/>
                <w:szCs w:val="13"/>
                <w:color w:val="auto"/>
              </w:rPr>
            </w:pPr>
          </w:p>
        </w:tc>
        <w:tc>
          <w:tcPr>
            <w:tcW w:w="262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Outcomes**</w:t>
            </w:r>
          </w:p>
        </w:tc>
        <w:tc>
          <w:tcPr>
            <w:tcW w:w="0" w:type="dxa"/>
            <w:vAlign w:val="bottom"/>
          </w:tcPr>
          <w:p>
            <w:pPr>
              <w:spacing w:after="0"/>
              <w:rPr>
                <w:sz w:val="1"/>
                <w:szCs w:val="1"/>
                <w:color w:val="auto"/>
              </w:rPr>
            </w:pPr>
          </w:p>
        </w:tc>
      </w:tr>
      <w:tr>
        <w:trPr>
          <w:trHeight w:val="192"/>
        </w:trPr>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Subjects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3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6"/>
              </w:rPr>
              <w:t>V011</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Dialysis Access</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Phase 2 (LUNA200</w:t>
            </w:r>
          </w:p>
        </w:tc>
        <w:tc>
          <w:tcPr>
            <w:tcW w:w="13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30</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Completed</w:t>
            </w: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PP: 97%</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Manufacturing System</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SP: 100%</w:t>
            </w:r>
          </w:p>
        </w:tc>
        <w:tc>
          <w:tcPr>
            <w:tcW w:w="0" w:type="dxa"/>
            <w:vAlign w:val="bottom"/>
          </w:tcPr>
          <w:p>
            <w:pPr>
              <w:spacing w:after="0"/>
              <w:rPr>
                <w:sz w:val="1"/>
                <w:szCs w:val="1"/>
                <w:color w:val="auto"/>
              </w:rPr>
            </w:pPr>
          </w:p>
        </w:tc>
      </w:tr>
      <w:tr>
        <w:trPr>
          <w:trHeight w:val="172"/>
        </w:trPr>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Bridging Study)</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12-month SP: 83%</w:t>
            </w:r>
          </w:p>
        </w:tc>
        <w:tc>
          <w:tcPr>
            <w:tcW w:w="0" w:type="dxa"/>
            <w:vAlign w:val="bottom"/>
          </w:tcPr>
          <w:p>
            <w:pPr>
              <w:spacing w:after="0"/>
              <w:rPr>
                <w:sz w:val="1"/>
                <w:szCs w:val="1"/>
                <w:color w:val="auto"/>
              </w:rPr>
            </w:pPr>
          </w:p>
        </w:tc>
      </w:tr>
      <w:tr>
        <w:trPr>
          <w:trHeight w:val="172"/>
        </w:trPr>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Infection Rate </w:t>
            </w:r>
            <w:r>
              <w:rPr>
                <w:rFonts w:ascii="Times New Roman" w:cs="Times New Roman" w:eastAsia="Times New Roman" w:hAnsi="Times New Roman"/>
                <w:sz w:val="14"/>
                <w:szCs w:val="14"/>
                <w:color w:val="231F20"/>
              </w:rPr>
              <w:t>ATEV</w:t>
            </w:r>
            <w:r>
              <w:rPr>
                <w:rFonts w:ascii="Times New Roman" w:cs="Times New Roman" w:eastAsia="Times New Roman" w:hAnsi="Times New Roman"/>
                <w:sz w:val="14"/>
                <w:szCs w:val="14"/>
                <w:color w:val="auto"/>
              </w:rPr>
              <w:t>/yr: 0%</w:t>
            </w:r>
          </w:p>
        </w:tc>
        <w:tc>
          <w:tcPr>
            <w:tcW w:w="0" w:type="dxa"/>
            <w:vAlign w:val="bottom"/>
          </w:tcPr>
          <w:p>
            <w:pPr>
              <w:spacing w:after="0"/>
              <w:rPr>
                <w:sz w:val="1"/>
                <w:szCs w:val="1"/>
                <w:color w:val="auto"/>
              </w:rPr>
            </w:pPr>
          </w:p>
        </w:tc>
      </w:tr>
      <w:tr>
        <w:trPr>
          <w:trHeight w:val="201"/>
        </w:trPr>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Number of </w:t>
            </w:r>
            <w:r>
              <w:rPr>
                <w:rFonts w:ascii="Times New Roman" w:cs="Times New Roman" w:eastAsia="Times New Roman" w:hAnsi="Times New Roman"/>
                <w:sz w:val="14"/>
                <w:szCs w:val="14"/>
                <w:color w:val="231F20"/>
              </w:rPr>
              <w:t>ATEV</w:t>
            </w:r>
            <w:r>
              <w:rPr>
                <w:rFonts w:ascii="Times New Roman" w:cs="Times New Roman" w:eastAsia="Times New Roman" w:hAnsi="Times New Roman"/>
                <w:sz w:val="14"/>
                <w:szCs w:val="14"/>
                <w:color w:val="auto"/>
              </w:rPr>
              <w:t xml:space="preserve"> Rejections: 0</w:t>
            </w:r>
          </w:p>
        </w:tc>
        <w:tc>
          <w:tcPr>
            <w:tcW w:w="0" w:type="dxa"/>
            <w:vAlign w:val="bottom"/>
          </w:tcPr>
          <w:p>
            <w:pPr>
              <w:spacing w:after="0"/>
              <w:rPr>
                <w:sz w:val="1"/>
                <w:szCs w:val="1"/>
                <w:color w:val="auto"/>
              </w:rPr>
            </w:pPr>
          </w:p>
        </w:tc>
      </w:tr>
      <w:tr>
        <w:trPr>
          <w:trHeight w:val="146"/>
        </w:trPr>
        <w:tc>
          <w:tcPr>
            <w:tcW w:w="14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color w:val="auto"/>
                <w:w w:val="96"/>
              </w:rPr>
              <w:t>V012</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color w:val="auto"/>
              </w:rPr>
              <w:t>Dialysis Access</w:t>
            </w:r>
          </w:p>
        </w:tc>
        <w:tc>
          <w:tcPr>
            <w:tcW w:w="13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color w:val="auto"/>
              </w:rPr>
              <w:t>Phase 3 Prospective</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color w:val="auto"/>
              </w:rPr>
              <w:t>Target 150 women</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color w:val="auto"/>
              </w:rPr>
              <w:t>Enrollment ongoing</w:t>
            </w:r>
          </w:p>
        </w:tc>
        <w:tc>
          <w:tcPr>
            <w:tcW w:w="262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color w:val="auto"/>
              </w:rPr>
              <w:t>Trial is currently enrolling, interim analysis</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color w:val="auto"/>
                <w:w w:val="99"/>
              </w:rPr>
              <w:t>Randomized Blinded</w:t>
            </w:r>
          </w:p>
        </w:tc>
        <w:tc>
          <w:tcPr>
            <w:tcW w:w="14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4"/>
                <w:szCs w:val="14"/>
                <w:color w:val="231F20"/>
              </w:rPr>
              <w:t>76</w:t>
            </w:r>
            <w:r>
              <w:rPr>
                <w:rFonts w:ascii="Times New Roman" w:cs="Times New Roman" w:eastAsia="Times New Roman" w:hAnsi="Times New Roman"/>
                <w:sz w:val="14"/>
                <w:szCs w:val="14"/>
                <w:color w:val="auto"/>
              </w:rPr>
              <w:t xml:space="preserve"> currently</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planned on first 80 patients after one-year of</w:t>
            </w:r>
          </w:p>
        </w:tc>
        <w:tc>
          <w:tcPr>
            <w:tcW w:w="0" w:type="dxa"/>
            <w:vAlign w:val="bottom"/>
          </w:tcPr>
          <w:p>
            <w:pPr>
              <w:spacing w:after="0"/>
              <w:rPr>
                <w:sz w:val="1"/>
                <w:szCs w:val="1"/>
                <w:color w:val="auto"/>
              </w:rPr>
            </w:pPr>
          </w:p>
        </w:tc>
      </w:tr>
      <w:tr>
        <w:trPr>
          <w:trHeight w:val="172"/>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enrolled</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follow up</w:t>
            </w:r>
          </w:p>
        </w:tc>
        <w:tc>
          <w:tcPr>
            <w:tcW w:w="0" w:type="dxa"/>
            <w:vAlign w:val="bottom"/>
          </w:tcPr>
          <w:p>
            <w:pPr>
              <w:spacing w:after="0"/>
              <w:rPr>
                <w:sz w:val="1"/>
                <w:szCs w:val="1"/>
                <w:color w:val="auto"/>
              </w:rPr>
            </w:pPr>
          </w:p>
        </w:tc>
      </w:tr>
      <w:tr>
        <w:trPr>
          <w:trHeight w:val="42"/>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97" w:lineRule="exact"/>
        <w:rPr>
          <w:sz w:val="20"/>
          <w:szCs w:val="20"/>
          <w:color w:val="auto"/>
        </w:rPr>
      </w:pPr>
    </w:p>
    <w:p>
      <w:pPr>
        <w:ind w:left="320" w:right="720" w:hanging="314"/>
        <w:spacing w:after="0" w:line="271" w:lineRule="auto"/>
        <w:tabs>
          <w:tab w:leader="none" w:pos="35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PP: Primary Patency, which is the interval of time of access placement until any intervention designed to maintain or reestablish patency, access thrombosis, or the time of measurement of patency, i.e. patent without interventions.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SP: Secondary Patency, which is the interval from the time of access placement until abandonment, i.e. patent with or without interventions.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31F20"/>
        </w:rPr>
        <w:t>Long-Term Data from Early Phase 2 Trials in Hemodialysis: V001 and V003</w:t>
      </w:r>
    </w:p>
    <w:p>
      <w:pPr>
        <w:spacing w:after="0" w:line="177" w:lineRule="exact"/>
        <w:rPr>
          <w:sz w:val="20"/>
          <w:szCs w:val="20"/>
          <w:color w:val="auto"/>
        </w:rPr>
      </w:pPr>
    </w:p>
    <w:p>
      <w:pPr>
        <w:ind w:right="100" w:firstLine="318"/>
        <w:spacing w:after="0" w:line="266" w:lineRule="auto"/>
        <w:rPr>
          <w:sz w:val="20"/>
          <w:szCs w:val="20"/>
          <w:color w:val="auto"/>
        </w:rPr>
      </w:pPr>
      <w:r>
        <w:rPr>
          <w:rFonts w:ascii="Times New Roman" w:cs="Times New Roman" w:eastAsia="Times New Roman" w:hAnsi="Times New Roman"/>
          <w:sz w:val="17"/>
          <w:szCs w:val="17"/>
          <w:b w:val="1"/>
          <w:bCs w:val="1"/>
          <w:color w:val="231F20"/>
        </w:rPr>
        <w:t xml:space="preserve">Phase 2 Trial Design and Current Outcomes: </w:t>
      </w:r>
      <w:r>
        <w:rPr>
          <w:rFonts w:ascii="Times New Roman" w:cs="Times New Roman" w:eastAsia="Times New Roman" w:hAnsi="Times New Roman"/>
          <w:sz w:val="17"/>
          <w:szCs w:val="17"/>
          <w:color w:val="231F20"/>
        </w:rPr>
        <w:t>We have completed or are in long-term follow-up on two open-label Phase 2 trials in 60 hemodialysis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 xml:space="preserve">patients in the United States and Poland from December 2012 through May 2014, which we refer to as our V003 trial and V001 trial, respectively. Both the V001 and V003 studies were designed as single-arm trials to assess the safety and efficacy of the ATEV for hemodialysis access, with assessments of patency at 6, 12, 18 and 24 months. In the 60 patients enrolled in these two studies, blood flow through all ATEVs was appropriate for hemodialysis, averaging over 1,200 mL/minute. Secondary patency for the two combined trials was 97% at six months, 89% at 12-months, and 81% at 18-months. These results compare favorably to published reports of secondary patency for fistula of 51% – 61% at six months and 75% at 12 months. Long-term results from the V001 trial showing five-year secondary patency of 58% were published in the </w:t>
      </w:r>
      <w:r>
        <w:rPr>
          <w:rFonts w:ascii="Times New Roman" w:cs="Times New Roman" w:eastAsia="Times New Roman" w:hAnsi="Times New Roman"/>
          <w:sz w:val="17"/>
          <w:szCs w:val="17"/>
          <w:i w:val="1"/>
          <w:iCs w:val="1"/>
          <w:color w:val="231F20"/>
        </w:rPr>
        <w:t>European Journal of Vascular and Endovascular Surgery</w:t>
      </w:r>
      <w:r>
        <w:rPr>
          <w:rFonts w:ascii="Times New Roman" w:cs="Times New Roman" w:eastAsia="Times New Roman" w:hAnsi="Times New Roman"/>
          <w:sz w:val="17"/>
          <w:szCs w:val="17"/>
          <w:color w:val="231F20"/>
        </w:rPr>
        <w:t xml:space="preserve"> companion journal </w:t>
      </w:r>
      <w:r>
        <w:rPr>
          <w:rFonts w:ascii="Times New Roman" w:cs="Times New Roman" w:eastAsia="Times New Roman" w:hAnsi="Times New Roman"/>
          <w:sz w:val="17"/>
          <w:szCs w:val="17"/>
          <w:i w:val="1"/>
          <w:iCs w:val="1"/>
          <w:color w:val="231F20"/>
        </w:rPr>
        <w:t>EJVES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 xml:space="preserve">Vascular Forum </w:t>
      </w:r>
      <w:r>
        <w:rPr>
          <w:rFonts w:ascii="Times New Roman" w:cs="Times New Roman" w:eastAsia="Times New Roman" w:hAnsi="Times New Roman"/>
          <w:sz w:val="17"/>
          <w:szCs w:val="17"/>
          <w:color w:val="231F20"/>
        </w:rPr>
        <w:t>in February 2022, and patients from the V001 trial are currently in a 10-year follow-up period.</w:t>
      </w:r>
    </w:p>
    <w:p>
      <w:pPr>
        <w:spacing w:after="0" w:line="13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i w:val="1"/>
          <w:iCs w:val="1"/>
          <w:color w:val="231F20"/>
        </w:rPr>
        <w:t>Images and long-term results from Phase 2 V001 trial of ATEV in AV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1365250</wp:posOffset>
            </wp:positionH>
            <wp:positionV relativeFrom="paragraph">
              <wp:posOffset>133350</wp:posOffset>
            </wp:positionV>
            <wp:extent cx="4622165" cy="16389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22165" cy="163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653415</wp:posOffset>
            </wp:positionV>
            <wp:extent cx="3227070" cy="2327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27070" cy="232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231F20"/>
        </w:rPr>
        <w:t>Phase 3 V006 AV Access Study</w:t>
      </w:r>
    </w:p>
    <w:p>
      <w:pPr>
        <w:spacing w:after="0" w:line="177"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Our V006 HUMANITY study was a prospective, multi-center, multinational, open-label, randomized, two-arm, comparative study. Eligible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study subjects were randomized to receive either a ATEV or a commercially available ePTFE graft and followed to 24 months post-implantation by routine study visits. After 24 months, subjects with a patent conduit are followed to five years post-implantation using a questionnaire at six-month intervals to ascertain patient and conduit status. The primary endpoint for the V006 HUMANITY trial was a non-inferiority analysis of secondary patency compared to ePTFE, to be assessed when all subjects are at least 18 months post-implantation. There were a total of 37 sites that participated in the study, enrolling a combined total of 355 subjects.</w:t>
      </w:r>
    </w:p>
    <w:p>
      <w:pPr>
        <w:spacing w:after="0" w:line="144" w:lineRule="exact"/>
        <w:rPr>
          <w:sz w:val="20"/>
          <w:szCs w:val="20"/>
          <w:color w:val="auto"/>
        </w:rPr>
      </w:pPr>
    </w:p>
    <w:p>
      <w:pPr>
        <w:ind w:right="620" w:firstLine="318"/>
        <w:spacing w:after="0" w:line="273" w:lineRule="auto"/>
        <w:rPr>
          <w:sz w:val="20"/>
          <w:szCs w:val="20"/>
          <w:color w:val="auto"/>
        </w:rPr>
      </w:pPr>
      <w:r>
        <w:rPr>
          <w:rFonts w:ascii="Times New Roman" w:cs="Times New Roman" w:eastAsia="Times New Roman" w:hAnsi="Times New Roman"/>
          <w:sz w:val="18"/>
          <w:szCs w:val="18"/>
          <w:b w:val="1"/>
          <w:bCs w:val="1"/>
          <w:color w:val="231F20"/>
        </w:rPr>
        <w:t xml:space="preserve">24-Month Results: </w:t>
      </w:r>
      <w:r>
        <w:rPr>
          <w:rFonts w:ascii="Times New Roman" w:cs="Times New Roman" w:eastAsia="Times New Roman" w:hAnsi="Times New Roman"/>
          <w:sz w:val="18"/>
          <w:szCs w:val="18"/>
          <w:color w:val="231F20"/>
        </w:rPr>
        <w:t>The V006 study enrolled 355 subjects who were roughly equally matched in terms of demographics and co-morbidities. ATEV</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subjects trended older (p=0.06) and had more prior strokes (p=0.02) than did ePTFE subjects.</w:t>
      </w:r>
    </w:p>
    <w:p>
      <w:pPr>
        <w:spacing w:after="0" w:line="13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231F20"/>
        </w:rPr>
        <w:t>Phase 3 V006 HUMANITY trial subject 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402590</wp:posOffset>
            </wp:positionV>
            <wp:extent cx="6995160" cy="22777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227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3620" w:type="dxa"/>
            <w:vAlign w:val="bottom"/>
            <w:shd w:val="clear" w:color="auto" w:fill="818286"/>
          </w:tcPr>
          <w:p>
            <w:pPr>
              <w:ind w:left="40"/>
              <w:spacing w:after="0"/>
              <w:rPr>
                <w:sz w:val="20"/>
                <w:szCs w:val="20"/>
                <w:color w:val="auto"/>
              </w:rPr>
            </w:pPr>
            <w:r>
              <w:rPr>
                <w:rFonts w:ascii="Arial" w:cs="Arial" w:eastAsia="Arial" w:hAnsi="Arial"/>
                <w:sz w:val="18"/>
                <w:szCs w:val="18"/>
                <w:b w:val="1"/>
                <w:bCs w:val="1"/>
                <w:color w:val="FFFFFF"/>
              </w:rPr>
              <w:t>V006 Demographics</w:t>
            </w:r>
          </w:p>
        </w:tc>
        <w:tc>
          <w:tcPr>
            <w:tcW w:w="3260" w:type="dxa"/>
            <w:vAlign w:val="bottom"/>
            <w:shd w:val="clear" w:color="auto" w:fill="818286"/>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shd w:val="clear" w:color="auto" w:fill="818286"/>
          </w:tcPr>
          <w:p>
            <w:pPr>
              <w:ind w:left="420"/>
              <w:spacing w:after="0"/>
              <w:rPr>
                <w:sz w:val="20"/>
                <w:szCs w:val="20"/>
                <w:color w:val="auto"/>
              </w:rPr>
            </w:pPr>
            <w:r>
              <w:rPr>
                <w:rFonts w:ascii="Arial" w:cs="Arial" w:eastAsia="Arial" w:hAnsi="Arial"/>
                <w:sz w:val="18"/>
                <w:szCs w:val="18"/>
                <w:b w:val="1"/>
                <w:bCs w:val="1"/>
                <w:color w:val="FFFFFF"/>
              </w:rPr>
              <w:t>ePTFE</w:t>
            </w:r>
          </w:p>
        </w:tc>
        <w:tc>
          <w:tcPr>
            <w:tcW w:w="100" w:type="dxa"/>
            <w:vAlign w:val="bottom"/>
          </w:tcPr>
          <w:p>
            <w:pPr>
              <w:spacing w:after="0"/>
              <w:rPr>
                <w:sz w:val="18"/>
                <w:szCs w:val="18"/>
                <w:color w:val="auto"/>
              </w:rPr>
            </w:pPr>
          </w:p>
        </w:tc>
        <w:tc>
          <w:tcPr>
            <w:tcW w:w="1360" w:type="dxa"/>
            <w:vAlign w:val="bottom"/>
            <w:shd w:val="clear" w:color="auto" w:fill="24428B"/>
          </w:tcPr>
          <w:p>
            <w:pPr>
              <w:ind w:left="460"/>
              <w:spacing w:after="0"/>
              <w:rPr>
                <w:sz w:val="20"/>
                <w:szCs w:val="20"/>
                <w:color w:val="auto"/>
              </w:rPr>
            </w:pPr>
            <w:r>
              <w:rPr>
                <w:rFonts w:ascii="Arial" w:cs="Arial" w:eastAsia="Arial" w:hAnsi="Arial"/>
                <w:sz w:val="18"/>
                <w:szCs w:val="18"/>
                <w:color w:val="FFFFFF"/>
              </w:rPr>
              <w:t>ATEV</w:t>
            </w:r>
          </w:p>
        </w:tc>
        <w:tc>
          <w:tcPr>
            <w:tcW w:w="100" w:type="dxa"/>
            <w:vAlign w:val="bottom"/>
          </w:tcPr>
          <w:p>
            <w:pPr>
              <w:spacing w:after="0"/>
              <w:rPr>
                <w:sz w:val="18"/>
                <w:szCs w:val="18"/>
                <w:color w:val="auto"/>
              </w:rPr>
            </w:pPr>
          </w:p>
        </w:tc>
        <w:tc>
          <w:tcPr>
            <w:tcW w:w="1040" w:type="dxa"/>
            <w:vAlign w:val="bottom"/>
            <w:vMerge w:val="restart"/>
            <w:shd w:val="clear" w:color="auto" w:fill="818286"/>
          </w:tcPr>
          <w:p>
            <w:pPr>
              <w:jc w:val="center"/>
              <w:ind w:left="252"/>
              <w:spacing w:after="0"/>
              <w:rPr>
                <w:sz w:val="20"/>
                <w:szCs w:val="20"/>
                <w:color w:val="auto"/>
              </w:rPr>
            </w:pPr>
            <w:r>
              <w:rPr>
                <w:rFonts w:ascii="Arial" w:cs="Arial" w:eastAsia="Arial" w:hAnsi="Arial"/>
                <w:sz w:val="18"/>
                <w:szCs w:val="18"/>
                <w:color w:val="FFFFFF"/>
                <w:w w:val="98"/>
              </w:rPr>
              <w:t>p-value</w:t>
            </w:r>
          </w:p>
        </w:tc>
        <w:tc>
          <w:tcPr>
            <w:tcW w:w="100" w:type="dxa"/>
            <w:vAlign w:val="bottom"/>
            <w:shd w:val="clear" w:color="auto" w:fill="818286"/>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3620" w:type="dxa"/>
            <w:vAlign w:val="bottom"/>
            <w:vMerge w:val="restart"/>
            <w:shd w:val="clear" w:color="auto" w:fill="818286"/>
          </w:tcPr>
          <w:p>
            <w:pPr>
              <w:ind w:left="40"/>
              <w:spacing w:after="0"/>
              <w:rPr>
                <w:sz w:val="20"/>
                <w:szCs w:val="20"/>
                <w:color w:val="auto"/>
              </w:rPr>
            </w:pPr>
            <w:r>
              <w:rPr>
                <w:rFonts w:ascii="Arial" w:cs="Arial" w:eastAsia="Arial" w:hAnsi="Arial"/>
                <w:sz w:val="18"/>
                <w:szCs w:val="18"/>
                <w:color w:val="FFFFFF"/>
              </w:rPr>
              <w:t>(N=355)</w:t>
            </w:r>
          </w:p>
        </w:tc>
        <w:tc>
          <w:tcPr>
            <w:tcW w:w="3260" w:type="dxa"/>
            <w:vAlign w:val="bottom"/>
            <w:shd w:val="clear" w:color="auto" w:fill="818286"/>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vMerge w:val="restart"/>
            <w:shd w:val="clear" w:color="auto" w:fill="818286"/>
          </w:tcPr>
          <w:p>
            <w:pPr>
              <w:jc w:val="center"/>
              <w:spacing w:after="0"/>
              <w:rPr>
                <w:sz w:val="20"/>
                <w:szCs w:val="20"/>
                <w:color w:val="auto"/>
              </w:rPr>
            </w:pPr>
            <w:r>
              <w:rPr>
                <w:rFonts w:ascii="Arial" w:cs="Arial" w:eastAsia="Arial" w:hAnsi="Arial"/>
                <w:sz w:val="18"/>
                <w:szCs w:val="18"/>
                <w:color w:val="FFFFFF"/>
                <w:w w:val="99"/>
              </w:rPr>
              <w:t>(n=178)</w:t>
            </w:r>
          </w:p>
        </w:tc>
        <w:tc>
          <w:tcPr>
            <w:tcW w:w="100" w:type="dxa"/>
            <w:vAlign w:val="bottom"/>
          </w:tcPr>
          <w:p>
            <w:pPr>
              <w:spacing w:after="0"/>
              <w:rPr>
                <w:sz w:val="12"/>
                <w:szCs w:val="12"/>
                <w:color w:val="auto"/>
              </w:rPr>
            </w:pPr>
          </w:p>
        </w:tc>
        <w:tc>
          <w:tcPr>
            <w:tcW w:w="1360" w:type="dxa"/>
            <w:vAlign w:val="bottom"/>
            <w:vMerge w:val="restart"/>
            <w:shd w:val="clear" w:color="auto" w:fill="24428B"/>
          </w:tcPr>
          <w:p>
            <w:pPr>
              <w:jc w:val="center"/>
              <w:spacing w:after="0"/>
              <w:rPr>
                <w:sz w:val="20"/>
                <w:szCs w:val="20"/>
                <w:color w:val="auto"/>
              </w:rPr>
            </w:pPr>
            <w:r>
              <w:rPr>
                <w:rFonts w:ascii="Arial" w:cs="Arial" w:eastAsia="Arial" w:hAnsi="Arial"/>
                <w:sz w:val="18"/>
                <w:szCs w:val="18"/>
                <w:color w:val="FFFFFF"/>
                <w:w w:val="99"/>
              </w:rPr>
              <w:t>(n=177)</w:t>
            </w:r>
          </w:p>
        </w:tc>
        <w:tc>
          <w:tcPr>
            <w:tcW w:w="100" w:type="dxa"/>
            <w:vAlign w:val="bottom"/>
          </w:tcPr>
          <w:p>
            <w:pPr>
              <w:spacing w:after="0"/>
              <w:rPr>
                <w:sz w:val="12"/>
                <w:szCs w:val="12"/>
                <w:color w:val="auto"/>
              </w:rPr>
            </w:pPr>
          </w:p>
        </w:tc>
        <w:tc>
          <w:tcPr>
            <w:tcW w:w="1040" w:type="dxa"/>
            <w:vAlign w:val="bottom"/>
            <w:vMerge w:val="continue"/>
            <w:shd w:val="clear" w:color="auto" w:fill="818286"/>
          </w:tcPr>
          <w:p>
            <w:pPr>
              <w:spacing w:after="0"/>
              <w:rPr>
                <w:sz w:val="12"/>
                <w:szCs w:val="12"/>
                <w:color w:val="auto"/>
              </w:rPr>
            </w:pPr>
          </w:p>
        </w:tc>
        <w:tc>
          <w:tcPr>
            <w:tcW w:w="100" w:type="dxa"/>
            <w:vAlign w:val="bottom"/>
            <w:shd w:val="clear" w:color="auto" w:fill="818286"/>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20" w:type="dxa"/>
            <w:vAlign w:val="bottom"/>
          </w:tcPr>
          <w:p>
            <w:pPr>
              <w:spacing w:after="0"/>
              <w:rPr>
                <w:sz w:val="7"/>
                <w:szCs w:val="7"/>
                <w:color w:val="auto"/>
              </w:rPr>
            </w:pPr>
          </w:p>
        </w:tc>
        <w:tc>
          <w:tcPr>
            <w:tcW w:w="3620" w:type="dxa"/>
            <w:vAlign w:val="bottom"/>
            <w:vMerge w:val="continue"/>
            <w:shd w:val="clear" w:color="auto" w:fill="818286"/>
          </w:tcPr>
          <w:p>
            <w:pPr>
              <w:spacing w:after="0"/>
              <w:rPr>
                <w:sz w:val="7"/>
                <w:szCs w:val="7"/>
                <w:color w:val="auto"/>
              </w:rPr>
            </w:pPr>
          </w:p>
        </w:tc>
        <w:tc>
          <w:tcPr>
            <w:tcW w:w="3260" w:type="dxa"/>
            <w:vAlign w:val="bottom"/>
            <w:shd w:val="clear" w:color="auto" w:fill="818286"/>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vMerge w:val="continue"/>
            <w:shd w:val="clear" w:color="auto" w:fill="818286"/>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vMerge w:val="continue"/>
            <w:shd w:val="clear" w:color="auto" w:fill="24428B"/>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shd w:val="clear" w:color="auto" w:fill="818286"/>
          </w:tcPr>
          <w:p>
            <w:pPr>
              <w:spacing w:after="0"/>
              <w:rPr>
                <w:sz w:val="7"/>
                <w:szCs w:val="7"/>
                <w:color w:val="auto"/>
              </w:rPr>
            </w:pPr>
          </w:p>
        </w:tc>
        <w:tc>
          <w:tcPr>
            <w:tcW w:w="100" w:type="dxa"/>
            <w:vAlign w:val="bottom"/>
            <w:shd w:val="clear" w:color="auto" w:fill="818286"/>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320" w:type="dxa"/>
            <w:vAlign w:val="bottom"/>
          </w:tcPr>
          <w:p>
            <w:pPr>
              <w:spacing w:after="0"/>
              <w:rPr>
                <w:sz w:val="21"/>
                <w:szCs w:val="21"/>
                <w:color w:val="auto"/>
              </w:rPr>
            </w:pPr>
          </w:p>
        </w:tc>
        <w:tc>
          <w:tcPr>
            <w:tcW w:w="3620" w:type="dxa"/>
            <w:vAlign w:val="bottom"/>
            <w:shd w:val="clear" w:color="auto" w:fill="F1F3F2"/>
          </w:tcPr>
          <w:p>
            <w:pPr>
              <w:ind w:left="40"/>
              <w:spacing w:after="0"/>
              <w:rPr>
                <w:sz w:val="20"/>
                <w:szCs w:val="20"/>
                <w:color w:val="auto"/>
              </w:rPr>
            </w:pPr>
            <w:r>
              <w:rPr>
                <w:rFonts w:ascii="Arial" w:cs="Arial" w:eastAsia="Arial" w:hAnsi="Arial"/>
                <w:sz w:val="18"/>
                <w:szCs w:val="18"/>
                <w:color w:val="auto"/>
              </w:rPr>
              <w:t>Age(years)</w:t>
            </w:r>
          </w:p>
        </w:tc>
        <w:tc>
          <w:tcPr>
            <w:tcW w:w="3260" w:type="dxa"/>
            <w:vAlign w:val="bottom"/>
            <w:shd w:val="clear" w:color="auto" w:fill="F1F3F2"/>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6"/>
              </w:rPr>
              <w:t>59.9</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6"/>
              </w:rPr>
              <w:t>62.6</w:t>
            </w:r>
          </w:p>
        </w:tc>
        <w:tc>
          <w:tcPr>
            <w:tcW w:w="100" w:type="dxa"/>
            <w:vAlign w:val="bottom"/>
          </w:tcPr>
          <w:p>
            <w:pPr>
              <w:spacing w:after="0"/>
              <w:rPr>
                <w:sz w:val="21"/>
                <w:szCs w:val="21"/>
                <w:color w:val="auto"/>
              </w:rPr>
            </w:pPr>
          </w:p>
        </w:tc>
        <w:tc>
          <w:tcPr>
            <w:tcW w:w="1040" w:type="dxa"/>
            <w:vAlign w:val="bottom"/>
            <w:shd w:val="clear" w:color="auto" w:fill="F1F3F2"/>
          </w:tcPr>
          <w:p>
            <w:pPr>
              <w:jc w:val="center"/>
              <w:ind w:left="252"/>
              <w:spacing w:after="0"/>
              <w:rPr>
                <w:sz w:val="20"/>
                <w:szCs w:val="20"/>
                <w:color w:val="auto"/>
              </w:rPr>
            </w:pPr>
            <w:r>
              <w:rPr>
                <w:rFonts w:ascii="Arial" w:cs="Arial" w:eastAsia="Arial" w:hAnsi="Arial"/>
                <w:sz w:val="18"/>
                <w:szCs w:val="18"/>
                <w:color w:val="auto"/>
                <w:w w:val="96"/>
              </w:rPr>
              <w:t>0.06</w:t>
            </w:r>
          </w:p>
        </w:tc>
        <w:tc>
          <w:tcPr>
            <w:tcW w:w="100" w:type="dxa"/>
            <w:vAlign w:val="bottom"/>
            <w:shd w:val="clear" w:color="auto" w:fill="F1F3F2"/>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620" w:type="dxa"/>
            <w:vAlign w:val="bottom"/>
            <w:shd w:val="clear" w:color="auto" w:fill="F1F3F2"/>
          </w:tcPr>
          <w:p>
            <w:pPr>
              <w:ind w:left="40"/>
              <w:spacing w:after="0"/>
              <w:rPr>
                <w:sz w:val="20"/>
                <w:szCs w:val="20"/>
                <w:color w:val="auto"/>
              </w:rPr>
            </w:pPr>
            <w:r>
              <w:rPr>
                <w:rFonts w:ascii="Arial" w:cs="Arial" w:eastAsia="Arial" w:hAnsi="Arial"/>
                <w:sz w:val="18"/>
                <w:szCs w:val="18"/>
                <w:color w:val="auto"/>
              </w:rPr>
              <w:t>Male (%)</w:t>
            </w:r>
          </w:p>
        </w:tc>
        <w:tc>
          <w:tcPr>
            <w:tcW w:w="3260" w:type="dxa"/>
            <w:vAlign w:val="bottom"/>
            <w:shd w:val="clear" w:color="auto" w:fill="F1F3F2"/>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49.4%</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49.7%</w:t>
            </w:r>
          </w:p>
        </w:tc>
        <w:tc>
          <w:tcPr>
            <w:tcW w:w="100" w:type="dxa"/>
            <w:vAlign w:val="bottom"/>
          </w:tcPr>
          <w:p>
            <w:pPr>
              <w:spacing w:after="0"/>
              <w:rPr>
                <w:sz w:val="20"/>
                <w:szCs w:val="20"/>
                <w:color w:val="auto"/>
              </w:rPr>
            </w:pPr>
          </w:p>
        </w:tc>
        <w:tc>
          <w:tcPr>
            <w:tcW w:w="1040" w:type="dxa"/>
            <w:vAlign w:val="bottom"/>
            <w:shd w:val="clear" w:color="auto" w:fill="F1F3F2"/>
          </w:tcPr>
          <w:p>
            <w:pPr>
              <w:jc w:val="center"/>
              <w:ind w:left="232"/>
              <w:spacing w:after="0"/>
              <w:rPr>
                <w:sz w:val="20"/>
                <w:szCs w:val="20"/>
                <w:color w:val="auto"/>
              </w:rPr>
            </w:pPr>
            <w:r>
              <w:rPr>
                <w:rFonts w:ascii="Arial" w:cs="Arial" w:eastAsia="Arial" w:hAnsi="Arial"/>
                <w:sz w:val="18"/>
                <w:szCs w:val="18"/>
                <w:color w:val="auto"/>
                <w:w w:val="95"/>
              </w:rPr>
              <w:t>NS</w:t>
            </w:r>
          </w:p>
        </w:tc>
        <w:tc>
          <w:tcPr>
            <w:tcW w:w="100" w:type="dxa"/>
            <w:vAlign w:val="bottom"/>
            <w:shd w:val="clear" w:color="auto" w:fill="F1F3F2"/>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2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4700" w:type="dxa"/>
            <w:vAlign w:val="bottom"/>
            <w:gridSpan w:val="3"/>
          </w:tcPr>
          <w:p>
            <w:pPr>
              <w:spacing w:after="0"/>
              <w:rPr>
                <w:sz w:val="23"/>
                <w:szCs w:val="23"/>
                <w:color w:val="auto"/>
              </w:rPr>
            </w:pPr>
          </w:p>
        </w:tc>
        <w:tc>
          <w:tcPr>
            <w:tcW w:w="14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320" w:type="dxa"/>
            <w:vAlign w:val="bottom"/>
          </w:tcPr>
          <w:p>
            <w:pPr>
              <w:spacing w:after="0"/>
              <w:rPr>
                <w:sz w:val="21"/>
                <w:szCs w:val="21"/>
                <w:color w:val="auto"/>
              </w:rPr>
            </w:pPr>
          </w:p>
        </w:tc>
        <w:tc>
          <w:tcPr>
            <w:tcW w:w="3620" w:type="dxa"/>
            <w:vAlign w:val="bottom"/>
            <w:shd w:val="clear" w:color="auto" w:fill="F1F3F2"/>
          </w:tcPr>
          <w:p>
            <w:pPr>
              <w:ind w:left="40"/>
              <w:spacing w:after="0"/>
              <w:rPr>
                <w:sz w:val="20"/>
                <w:szCs w:val="20"/>
                <w:color w:val="auto"/>
              </w:rPr>
            </w:pPr>
            <w:r>
              <w:rPr>
                <w:rFonts w:ascii="Arial" w:cs="Arial" w:eastAsia="Arial" w:hAnsi="Arial"/>
                <w:sz w:val="18"/>
                <w:szCs w:val="18"/>
                <w:color w:val="auto"/>
              </w:rPr>
              <w:t>Caucasian (%)</w:t>
            </w:r>
          </w:p>
        </w:tc>
        <w:tc>
          <w:tcPr>
            <w:tcW w:w="3260" w:type="dxa"/>
            <w:vAlign w:val="bottom"/>
            <w:shd w:val="clear" w:color="auto" w:fill="F1F3F2"/>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65.2%</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69.5%</w:t>
            </w:r>
          </w:p>
        </w:tc>
        <w:tc>
          <w:tcPr>
            <w:tcW w:w="100" w:type="dxa"/>
            <w:vAlign w:val="bottom"/>
          </w:tcPr>
          <w:p>
            <w:pPr>
              <w:spacing w:after="0"/>
              <w:rPr>
                <w:sz w:val="21"/>
                <w:szCs w:val="21"/>
                <w:color w:val="auto"/>
              </w:rPr>
            </w:pPr>
          </w:p>
        </w:tc>
        <w:tc>
          <w:tcPr>
            <w:tcW w:w="1040" w:type="dxa"/>
            <w:vAlign w:val="bottom"/>
            <w:shd w:val="clear" w:color="auto" w:fill="F1F3F2"/>
          </w:tcPr>
          <w:p>
            <w:pPr>
              <w:jc w:val="center"/>
              <w:ind w:left="232"/>
              <w:spacing w:after="0"/>
              <w:rPr>
                <w:sz w:val="20"/>
                <w:szCs w:val="20"/>
                <w:color w:val="auto"/>
              </w:rPr>
            </w:pPr>
            <w:r>
              <w:rPr>
                <w:rFonts w:ascii="Arial" w:cs="Arial" w:eastAsia="Arial" w:hAnsi="Arial"/>
                <w:sz w:val="18"/>
                <w:szCs w:val="18"/>
                <w:color w:val="auto"/>
                <w:w w:val="95"/>
              </w:rPr>
              <w:t>NS</w:t>
            </w:r>
          </w:p>
        </w:tc>
        <w:tc>
          <w:tcPr>
            <w:tcW w:w="100" w:type="dxa"/>
            <w:vAlign w:val="bottom"/>
            <w:shd w:val="clear" w:color="auto" w:fill="F1F3F2"/>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3620" w:type="dxa"/>
            <w:vAlign w:val="bottom"/>
            <w:shd w:val="clear" w:color="auto" w:fill="F1F3F2"/>
          </w:tcPr>
          <w:p>
            <w:pPr>
              <w:ind w:left="40"/>
              <w:spacing w:after="0"/>
              <w:rPr>
                <w:sz w:val="20"/>
                <w:szCs w:val="20"/>
                <w:color w:val="auto"/>
              </w:rPr>
            </w:pPr>
            <w:r>
              <w:rPr>
                <w:rFonts w:ascii="Arial" w:cs="Arial" w:eastAsia="Arial" w:hAnsi="Arial"/>
                <w:sz w:val="18"/>
                <w:szCs w:val="18"/>
                <w:color w:val="auto"/>
              </w:rPr>
              <w:t>Black (%)</w:t>
            </w:r>
          </w:p>
        </w:tc>
        <w:tc>
          <w:tcPr>
            <w:tcW w:w="3260" w:type="dxa"/>
            <w:vAlign w:val="bottom"/>
            <w:shd w:val="clear" w:color="auto" w:fill="F1F3F2"/>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27.5%</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24.9%</w:t>
            </w:r>
          </w:p>
        </w:tc>
        <w:tc>
          <w:tcPr>
            <w:tcW w:w="100" w:type="dxa"/>
            <w:vAlign w:val="bottom"/>
          </w:tcPr>
          <w:p>
            <w:pPr>
              <w:spacing w:after="0"/>
              <w:rPr>
                <w:sz w:val="20"/>
                <w:szCs w:val="20"/>
                <w:color w:val="auto"/>
              </w:rPr>
            </w:pPr>
          </w:p>
        </w:tc>
        <w:tc>
          <w:tcPr>
            <w:tcW w:w="1040" w:type="dxa"/>
            <w:vAlign w:val="bottom"/>
            <w:shd w:val="clear" w:color="auto" w:fill="F1F3F2"/>
          </w:tcPr>
          <w:p>
            <w:pPr>
              <w:jc w:val="center"/>
              <w:ind w:left="232"/>
              <w:spacing w:after="0"/>
              <w:rPr>
                <w:sz w:val="20"/>
                <w:szCs w:val="20"/>
                <w:color w:val="auto"/>
              </w:rPr>
            </w:pPr>
            <w:r>
              <w:rPr>
                <w:rFonts w:ascii="Arial" w:cs="Arial" w:eastAsia="Arial" w:hAnsi="Arial"/>
                <w:sz w:val="18"/>
                <w:szCs w:val="18"/>
                <w:color w:val="auto"/>
                <w:w w:val="95"/>
              </w:rPr>
              <w:t>NS</w:t>
            </w:r>
          </w:p>
        </w:tc>
        <w:tc>
          <w:tcPr>
            <w:tcW w:w="100" w:type="dxa"/>
            <w:vAlign w:val="bottom"/>
            <w:shd w:val="clear" w:color="auto" w:fill="F1F3F2"/>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3620" w:type="dxa"/>
            <w:vAlign w:val="bottom"/>
            <w:shd w:val="clear" w:color="auto" w:fill="F1F3F2"/>
          </w:tcPr>
          <w:p>
            <w:pPr>
              <w:ind w:left="40"/>
              <w:spacing w:after="0"/>
              <w:rPr>
                <w:sz w:val="20"/>
                <w:szCs w:val="20"/>
                <w:color w:val="auto"/>
              </w:rPr>
            </w:pPr>
            <w:r>
              <w:rPr>
                <w:rFonts w:ascii="Arial" w:cs="Arial" w:eastAsia="Arial" w:hAnsi="Arial"/>
                <w:sz w:val="18"/>
                <w:szCs w:val="18"/>
                <w:color w:val="auto"/>
              </w:rPr>
              <w:t>Hispanic (%)</w:t>
            </w:r>
          </w:p>
        </w:tc>
        <w:tc>
          <w:tcPr>
            <w:tcW w:w="3260" w:type="dxa"/>
            <w:vAlign w:val="bottom"/>
            <w:shd w:val="clear" w:color="auto" w:fill="F1F3F2"/>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11.2%</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14.7%</w:t>
            </w:r>
          </w:p>
        </w:tc>
        <w:tc>
          <w:tcPr>
            <w:tcW w:w="100" w:type="dxa"/>
            <w:vAlign w:val="bottom"/>
          </w:tcPr>
          <w:p>
            <w:pPr>
              <w:spacing w:after="0"/>
              <w:rPr>
                <w:sz w:val="20"/>
                <w:szCs w:val="20"/>
                <w:color w:val="auto"/>
              </w:rPr>
            </w:pPr>
          </w:p>
        </w:tc>
        <w:tc>
          <w:tcPr>
            <w:tcW w:w="1040" w:type="dxa"/>
            <w:vAlign w:val="bottom"/>
            <w:shd w:val="clear" w:color="auto" w:fill="F1F3F2"/>
          </w:tcPr>
          <w:p>
            <w:pPr>
              <w:jc w:val="center"/>
              <w:ind w:left="232"/>
              <w:spacing w:after="0"/>
              <w:rPr>
                <w:sz w:val="20"/>
                <w:szCs w:val="20"/>
                <w:color w:val="auto"/>
              </w:rPr>
            </w:pPr>
            <w:r>
              <w:rPr>
                <w:rFonts w:ascii="Arial" w:cs="Arial" w:eastAsia="Arial" w:hAnsi="Arial"/>
                <w:sz w:val="18"/>
                <w:szCs w:val="18"/>
                <w:color w:val="auto"/>
                <w:w w:val="95"/>
              </w:rPr>
              <w:t>NS</w:t>
            </w:r>
          </w:p>
        </w:tc>
        <w:tc>
          <w:tcPr>
            <w:tcW w:w="100" w:type="dxa"/>
            <w:vAlign w:val="bottom"/>
            <w:shd w:val="clear" w:color="auto" w:fill="F1F3F2"/>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620" w:type="dxa"/>
            <w:vAlign w:val="bottom"/>
            <w:shd w:val="clear" w:color="auto" w:fill="F1F3F2"/>
          </w:tcPr>
          <w:p>
            <w:pPr>
              <w:ind w:left="40"/>
              <w:spacing w:after="0"/>
              <w:rPr>
                <w:sz w:val="20"/>
                <w:szCs w:val="20"/>
                <w:color w:val="auto"/>
              </w:rPr>
            </w:pPr>
            <w:r>
              <w:rPr>
                <w:rFonts w:ascii="Arial" w:cs="Arial" w:eastAsia="Arial" w:hAnsi="Arial"/>
                <w:sz w:val="18"/>
                <w:szCs w:val="18"/>
                <w:color w:val="auto"/>
              </w:rPr>
              <w:t>Asian / Other (%)</w:t>
            </w:r>
          </w:p>
        </w:tc>
        <w:tc>
          <w:tcPr>
            <w:tcW w:w="3260" w:type="dxa"/>
            <w:vAlign w:val="bottom"/>
            <w:shd w:val="clear" w:color="auto" w:fill="F1F3F2"/>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3.4%</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rPr>
              <w:t>2.3%</w:t>
            </w:r>
          </w:p>
        </w:tc>
        <w:tc>
          <w:tcPr>
            <w:tcW w:w="100" w:type="dxa"/>
            <w:vAlign w:val="bottom"/>
          </w:tcPr>
          <w:p>
            <w:pPr>
              <w:spacing w:after="0"/>
              <w:rPr>
                <w:sz w:val="20"/>
                <w:szCs w:val="20"/>
                <w:color w:val="auto"/>
              </w:rPr>
            </w:pPr>
          </w:p>
        </w:tc>
        <w:tc>
          <w:tcPr>
            <w:tcW w:w="1040" w:type="dxa"/>
            <w:vAlign w:val="bottom"/>
            <w:shd w:val="clear" w:color="auto" w:fill="F1F3F2"/>
          </w:tcPr>
          <w:p>
            <w:pPr>
              <w:jc w:val="center"/>
              <w:ind w:left="232"/>
              <w:spacing w:after="0"/>
              <w:rPr>
                <w:sz w:val="20"/>
                <w:szCs w:val="20"/>
                <w:color w:val="auto"/>
              </w:rPr>
            </w:pPr>
            <w:r>
              <w:rPr>
                <w:rFonts w:ascii="Arial" w:cs="Arial" w:eastAsia="Arial" w:hAnsi="Arial"/>
                <w:sz w:val="18"/>
                <w:szCs w:val="18"/>
                <w:color w:val="auto"/>
                <w:w w:val="95"/>
              </w:rPr>
              <w:t>NS</w:t>
            </w:r>
          </w:p>
        </w:tc>
        <w:tc>
          <w:tcPr>
            <w:tcW w:w="100" w:type="dxa"/>
            <w:vAlign w:val="bottom"/>
            <w:shd w:val="clear" w:color="auto" w:fill="F1F3F2"/>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2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4700" w:type="dxa"/>
            <w:vAlign w:val="bottom"/>
            <w:gridSpan w:val="3"/>
          </w:tcPr>
          <w:p>
            <w:pPr>
              <w:spacing w:after="0"/>
              <w:rPr>
                <w:sz w:val="23"/>
                <w:szCs w:val="23"/>
                <w:color w:val="auto"/>
              </w:rPr>
            </w:pPr>
          </w:p>
        </w:tc>
        <w:tc>
          <w:tcPr>
            <w:tcW w:w="14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320" w:type="dxa"/>
            <w:vAlign w:val="bottom"/>
          </w:tcPr>
          <w:p>
            <w:pPr>
              <w:spacing w:after="0"/>
              <w:rPr>
                <w:sz w:val="21"/>
                <w:szCs w:val="21"/>
                <w:color w:val="auto"/>
              </w:rPr>
            </w:pPr>
          </w:p>
        </w:tc>
        <w:tc>
          <w:tcPr>
            <w:tcW w:w="3620" w:type="dxa"/>
            <w:vAlign w:val="bottom"/>
            <w:shd w:val="clear" w:color="auto" w:fill="F1F3F2"/>
          </w:tcPr>
          <w:p>
            <w:pPr>
              <w:ind w:left="40"/>
              <w:spacing w:after="0"/>
              <w:rPr>
                <w:sz w:val="20"/>
                <w:szCs w:val="20"/>
                <w:color w:val="auto"/>
              </w:rPr>
            </w:pPr>
            <w:r>
              <w:rPr>
                <w:rFonts w:ascii="Arial" w:cs="Arial" w:eastAsia="Arial" w:hAnsi="Arial"/>
                <w:sz w:val="18"/>
                <w:szCs w:val="18"/>
                <w:color w:val="auto"/>
              </w:rPr>
              <w:t>Body Mass Index (BMI)</w:t>
            </w:r>
          </w:p>
        </w:tc>
        <w:tc>
          <w:tcPr>
            <w:tcW w:w="3260" w:type="dxa"/>
            <w:vAlign w:val="bottom"/>
            <w:shd w:val="clear" w:color="auto" w:fill="F1F3F2"/>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6"/>
              </w:rPr>
              <w:t>29.2</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6"/>
              </w:rPr>
              <w:t>28.9</w:t>
            </w:r>
          </w:p>
        </w:tc>
        <w:tc>
          <w:tcPr>
            <w:tcW w:w="100" w:type="dxa"/>
            <w:vAlign w:val="bottom"/>
          </w:tcPr>
          <w:p>
            <w:pPr>
              <w:spacing w:after="0"/>
              <w:rPr>
                <w:sz w:val="21"/>
                <w:szCs w:val="21"/>
                <w:color w:val="auto"/>
              </w:rPr>
            </w:pPr>
          </w:p>
        </w:tc>
        <w:tc>
          <w:tcPr>
            <w:tcW w:w="1040" w:type="dxa"/>
            <w:vAlign w:val="bottom"/>
            <w:shd w:val="clear" w:color="auto" w:fill="F1F3F2"/>
          </w:tcPr>
          <w:p>
            <w:pPr>
              <w:jc w:val="center"/>
              <w:ind w:left="232"/>
              <w:spacing w:after="0"/>
              <w:rPr>
                <w:sz w:val="20"/>
                <w:szCs w:val="20"/>
                <w:color w:val="auto"/>
              </w:rPr>
            </w:pPr>
            <w:r>
              <w:rPr>
                <w:rFonts w:ascii="Arial" w:cs="Arial" w:eastAsia="Arial" w:hAnsi="Arial"/>
                <w:sz w:val="18"/>
                <w:szCs w:val="18"/>
                <w:color w:val="auto"/>
                <w:w w:val="95"/>
              </w:rPr>
              <w:t>NS</w:t>
            </w:r>
          </w:p>
        </w:tc>
        <w:tc>
          <w:tcPr>
            <w:tcW w:w="100" w:type="dxa"/>
            <w:vAlign w:val="bottom"/>
            <w:shd w:val="clear" w:color="auto" w:fill="F1F3F2"/>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3620" w:type="dxa"/>
            <w:vAlign w:val="bottom"/>
            <w:shd w:val="clear" w:color="auto" w:fill="F1F3F2"/>
          </w:tcPr>
          <w:p>
            <w:pPr>
              <w:ind w:left="40"/>
              <w:spacing w:after="0"/>
              <w:rPr>
                <w:sz w:val="20"/>
                <w:szCs w:val="20"/>
                <w:color w:val="auto"/>
              </w:rPr>
            </w:pPr>
            <w:r>
              <w:rPr>
                <w:rFonts w:ascii="Arial" w:cs="Arial" w:eastAsia="Arial" w:hAnsi="Arial"/>
                <w:sz w:val="18"/>
                <w:szCs w:val="18"/>
                <w:color w:val="auto"/>
              </w:rPr>
              <w:t>Hypertension (%)</w:t>
            </w:r>
          </w:p>
        </w:tc>
        <w:tc>
          <w:tcPr>
            <w:tcW w:w="3260" w:type="dxa"/>
            <w:vAlign w:val="bottom"/>
            <w:shd w:val="clear" w:color="auto" w:fill="F1F3F2"/>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79.8%</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79.7%</w:t>
            </w:r>
          </w:p>
        </w:tc>
        <w:tc>
          <w:tcPr>
            <w:tcW w:w="100" w:type="dxa"/>
            <w:vAlign w:val="bottom"/>
          </w:tcPr>
          <w:p>
            <w:pPr>
              <w:spacing w:after="0"/>
              <w:rPr>
                <w:sz w:val="20"/>
                <w:szCs w:val="20"/>
                <w:color w:val="auto"/>
              </w:rPr>
            </w:pPr>
          </w:p>
        </w:tc>
        <w:tc>
          <w:tcPr>
            <w:tcW w:w="1040" w:type="dxa"/>
            <w:vAlign w:val="bottom"/>
            <w:shd w:val="clear" w:color="auto" w:fill="F1F3F2"/>
          </w:tcPr>
          <w:p>
            <w:pPr>
              <w:jc w:val="center"/>
              <w:ind w:left="232"/>
              <w:spacing w:after="0"/>
              <w:rPr>
                <w:sz w:val="20"/>
                <w:szCs w:val="20"/>
                <w:color w:val="auto"/>
              </w:rPr>
            </w:pPr>
            <w:r>
              <w:rPr>
                <w:rFonts w:ascii="Arial" w:cs="Arial" w:eastAsia="Arial" w:hAnsi="Arial"/>
                <w:sz w:val="18"/>
                <w:szCs w:val="18"/>
                <w:color w:val="auto"/>
                <w:w w:val="95"/>
              </w:rPr>
              <w:t>NS</w:t>
            </w:r>
          </w:p>
        </w:tc>
        <w:tc>
          <w:tcPr>
            <w:tcW w:w="100" w:type="dxa"/>
            <w:vAlign w:val="bottom"/>
            <w:shd w:val="clear" w:color="auto" w:fill="F1F3F2"/>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3620" w:type="dxa"/>
            <w:vAlign w:val="bottom"/>
            <w:shd w:val="clear" w:color="auto" w:fill="F1F3F2"/>
          </w:tcPr>
          <w:p>
            <w:pPr>
              <w:ind w:left="40"/>
              <w:spacing w:after="0"/>
              <w:rPr>
                <w:sz w:val="20"/>
                <w:szCs w:val="20"/>
                <w:color w:val="auto"/>
              </w:rPr>
            </w:pPr>
            <w:r>
              <w:rPr>
                <w:rFonts w:ascii="Arial" w:cs="Arial" w:eastAsia="Arial" w:hAnsi="Arial"/>
                <w:sz w:val="18"/>
                <w:szCs w:val="18"/>
                <w:color w:val="auto"/>
              </w:rPr>
              <w:t>Cardiac Disease (%)</w:t>
            </w:r>
          </w:p>
        </w:tc>
        <w:tc>
          <w:tcPr>
            <w:tcW w:w="3260" w:type="dxa"/>
            <w:vAlign w:val="bottom"/>
            <w:shd w:val="clear" w:color="auto" w:fill="F1F3F2"/>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50.6%</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57.1%</w:t>
            </w:r>
          </w:p>
        </w:tc>
        <w:tc>
          <w:tcPr>
            <w:tcW w:w="100" w:type="dxa"/>
            <w:vAlign w:val="bottom"/>
          </w:tcPr>
          <w:p>
            <w:pPr>
              <w:spacing w:after="0"/>
              <w:rPr>
                <w:sz w:val="20"/>
                <w:szCs w:val="20"/>
                <w:color w:val="auto"/>
              </w:rPr>
            </w:pPr>
          </w:p>
        </w:tc>
        <w:tc>
          <w:tcPr>
            <w:tcW w:w="1040" w:type="dxa"/>
            <w:vAlign w:val="bottom"/>
            <w:shd w:val="clear" w:color="auto" w:fill="F1F3F2"/>
          </w:tcPr>
          <w:p>
            <w:pPr>
              <w:jc w:val="center"/>
              <w:ind w:left="232"/>
              <w:spacing w:after="0"/>
              <w:rPr>
                <w:sz w:val="20"/>
                <w:szCs w:val="20"/>
                <w:color w:val="auto"/>
              </w:rPr>
            </w:pPr>
            <w:r>
              <w:rPr>
                <w:rFonts w:ascii="Arial" w:cs="Arial" w:eastAsia="Arial" w:hAnsi="Arial"/>
                <w:sz w:val="18"/>
                <w:szCs w:val="18"/>
                <w:color w:val="auto"/>
                <w:w w:val="95"/>
              </w:rPr>
              <w:t>NS</w:t>
            </w:r>
          </w:p>
        </w:tc>
        <w:tc>
          <w:tcPr>
            <w:tcW w:w="100" w:type="dxa"/>
            <w:vAlign w:val="bottom"/>
            <w:shd w:val="clear" w:color="auto" w:fill="F1F3F2"/>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3620" w:type="dxa"/>
            <w:vAlign w:val="bottom"/>
            <w:shd w:val="clear" w:color="auto" w:fill="F1F3F2"/>
          </w:tcPr>
          <w:p>
            <w:pPr>
              <w:ind w:left="40"/>
              <w:spacing w:after="0"/>
              <w:rPr>
                <w:sz w:val="20"/>
                <w:szCs w:val="20"/>
                <w:color w:val="auto"/>
              </w:rPr>
            </w:pPr>
            <w:r>
              <w:rPr>
                <w:rFonts w:ascii="Arial" w:cs="Arial" w:eastAsia="Arial" w:hAnsi="Arial"/>
                <w:sz w:val="18"/>
                <w:szCs w:val="18"/>
                <w:color w:val="auto"/>
              </w:rPr>
              <w:t>Diabetes (%)</w:t>
            </w:r>
          </w:p>
        </w:tc>
        <w:tc>
          <w:tcPr>
            <w:tcW w:w="3260" w:type="dxa"/>
            <w:vAlign w:val="bottom"/>
            <w:shd w:val="clear" w:color="auto" w:fill="F1F3F2"/>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29.2%</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32.8%</w:t>
            </w:r>
          </w:p>
        </w:tc>
        <w:tc>
          <w:tcPr>
            <w:tcW w:w="100" w:type="dxa"/>
            <w:vAlign w:val="bottom"/>
          </w:tcPr>
          <w:p>
            <w:pPr>
              <w:spacing w:after="0"/>
              <w:rPr>
                <w:sz w:val="20"/>
                <w:szCs w:val="20"/>
                <w:color w:val="auto"/>
              </w:rPr>
            </w:pPr>
          </w:p>
        </w:tc>
        <w:tc>
          <w:tcPr>
            <w:tcW w:w="1040" w:type="dxa"/>
            <w:vAlign w:val="bottom"/>
            <w:shd w:val="clear" w:color="auto" w:fill="F1F3F2"/>
          </w:tcPr>
          <w:p>
            <w:pPr>
              <w:jc w:val="center"/>
              <w:ind w:left="232"/>
              <w:spacing w:after="0"/>
              <w:rPr>
                <w:sz w:val="20"/>
                <w:szCs w:val="20"/>
                <w:color w:val="auto"/>
              </w:rPr>
            </w:pPr>
            <w:r>
              <w:rPr>
                <w:rFonts w:ascii="Arial" w:cs="Arial" w:eastAsia="Arial" w:hAnsi="Arial"/>
                <w:sz w:val="18"/>
                <w:szCs w:val="18"/>
                <w:color w:val="auto"/>
                <w:w w:val="95"/>
              </w:rPr>
              <w:t>NS</w:t>
            </w:r>
          </w:p>
        </w:tc>
        <w:tc>
          <w:tcPr>
            <w:tcW w:w="100" w:type="dxa"/>
            <w:vAlign w:val="bottom"/>
            <w:shd w:val="clear" w:color="auto" w:fill="F1F3F2"/>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620" w:type="dxa"/>
            <w:vAlign w:val="bottom"/>
            <w:shd w:val="clear" w:color="auto" w:fill="F1F3F2"/>
          </w:tcPr>
          <w:p>
            <w:pPr>
              <w:ind w:left="40"/>
              <w:spacing w:after="0"/>
              <w:rPr>
                <w:sz w:val="20"/>
                <w:szCs w:val="20"/>
                <w:color w:val="auto"/>
              </w:rPr>
            </w:pPr>
            <w:r>
              <w:rPr>
                <w:rFonts w:ascii="Arial" w:cs="Arial" w:eastAsia="Arial" w:hAnsi="Arial"/>
                <w:sz w:val="18"/>
                <w:szCs w:val="18"/>
                <w:color w:val="auto"/>
              </w:rPr>
              <w:t>Prior Stroke (%)</w:t>
            </w:r>
          </w:p>
        </w:tc>
        <w:tc>
          <w:tcPr>
            <w:tcW w:w="3260" w:type="dxa"/>
            <w:vAlign w:val="bottom"/>
            <w:shd w:val="clear" w:color="auto" w:fill="F1F3F2"/>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5.6%</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12.4%</w:t>
            </w:r>
          </w:p>
        </w:tc>
        <w:tc>
          <w:tcPr>
            <w:tcW w:w="100" w:type="dxa"/>
            <w:vAlign w:val="bottom"/>
          </w:tcPr>
          <w:p>
            <w:pPr>
              <w:spacing w:after="0"/>
              <w:rPr>
                <w:sz w:val="20"/>
                <w:szCs w:val="20"/>
                <w:color w:val="auto"/>
              </w:rPr>
            </w:pPr>
          </w:p>
        </w:tc>
        <w:tc>
          <w:tcPr>
            <w:tcW w:w="1040" w:type="dxa"/>
            <w:vAlign w:val="bottom"/>
            <w:shd w:val="clear" w:color="auto" w:fill="F1F3F2"/>
          </w:tcPr>
          <w:p>
            <w:pPr>
              <w:jc w:val="center"/>
              <w:ind w:left="252"/>
              <w:spacing w:after="0"/>
              <w:rPr>
                <w:sz w:val="20"/>
                <w:szCs w:val="20"/>
                <w:color w:val="auto"/>
              </w:rPr>
            </w:pPr>
            <w:r>
              <w:rPr>
                <w:rFonts w:ascii="Arial" w:cs="Arial" w:eastAsia="Arial" w:hAnsi="Arial"/>
                <w:sz w:val="18"/>
                <w:szCs w:val="18"/>
                <w:color w:val="auto"/>
                <w:w w:val="96"/>
              </w:rPr>
              <w:t>0.02</w:t>
            </w:r>
          </w:p>
        </w:tc>
        <w:tc>
          <w:tcPr>
            <w:tcW w:w="100" w:type="dxa"/>
            <w:vAlign w:val="bottom"/>
            <w:shd w:val="clear" w:color="auto" w:fill="F1F3F2"/>
          </w:tcPr>
          <w:p>
            <w:pPr>
              <w:spacing w:after="0"/>
              <w:rPr>
                <w:sz w:val="20"/>
                <w:szCs w:val="20"/>
                <w:color w:val="auto"/>
              </w:rPr>
            </w:pPr>
          </w:p>
        </w:tc>
        <w:tc>
          <w:tcPr>
            <w:tcW w:w="0" w:type="dxa"/>
            <w:vAlign w:val="bottom"/>
          </w:tcPr>
          <w:p>
            <w:pPr>
              <w:spacing w:after="0"/>
              <w:rPr>
                <w:sz w:val="1"/>
                <w:szCs w:val="1"/>
                <w:color w:val="auto"/>
              </w:rPr>
            </w:pPr>
          </w:p>
        </w:tc>
      </w:tr>
      <w:tr>
        <w:trPr>
          <w:trHeight w:val="899"/>
        </w:trPr>
        <w:tc>
          <w:tcPr>
            <w:tcW w:w="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6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2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29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80" w:firstLine="318"/>
        <w:spacing w:after="0" w:line="251" w:lineRule="auto"/>
        <w:rPr>
          <w:sz w:val="20"/>
          <w:szCs w:val="20"/>
          <w:color w:val="auto"/>
        </w:rPr>
      </w:pPr>
      <w:r>
        <w:rPr>
          <w:rFonts w:ascii="Times New Roman" w:cs="Times New Roman" w:eastAsia="Times New Roman" w:hAnsi="Times New Roman"/>
          <w:sz w:val="18"/>
          <w:szCs w:val="18"/>
          <w:color w:val="231F20"/>
        </w:rPr>
        <w:t>The secondary patency of the ATEV was greater than that of ePTFE at six and 12 months but lower at 18 and 24 months, an outcome that had not been modelled in the V006 trial design. As per the pre-specified Cox Proportional Hazards test, the ATEV did not achieve its primary efficacy endpoint regarding secondary patency. In terms of safety, the ATEV had a statistically significant lower rate of conduit infections compared to ePTFE. Substantial differences in antibiotic use and need for hospitalization for infection were also noted in the V006 trial, all favoring the ATEV. The safety advantage of the ATEV over ePTFE may be clinically important as infection and sepsis are the second most common cause of death in dialysis patients.</w:t>
      </w:r>
    </w:p>
    <w:p>
      <w:pPr>
        <w:spacing w:after="0" w:line="1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231F20"/>
        </w:rPr>
        <w:t>Phase 3 V006 HUMANITY trial secondary patency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142240</wp:posOffset>
            </wp:positionV>
            <wp:extent cx="699516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040" w:type="dxa"/>
            <w:vAlign w:val="bottom"/>
            <w:gridSpan w:val="3"/>
            <w:shd w:val="clear" w:color="auto" w:fill="4BB3D0"/>
          </w:tcPr>
          <w:p>
            <w:pPr>
              <w:ind w:left="1920"/>
              <w:spacing w:after="0"/>
              <w:rPr>
                <w:sz w:val="20"/>
                <w:szCs w:val="20"/>
                <w:color w:val="auto"/>
              </w:rPr>
            </w:pPr>
            <w:r>
              <w:rPr>
                <w:rFonts w:ascii="Arial" w:cs="Arial" w:eastAsia="Arial" w:hAnsi="Arial"/>
                <w:sz w:val="14"/>
                <w:szCs w:val="14"/>
                <w:color w:val="FFFFFF"/>
              </w:rPr>
              <w:t>Secondary Patency</w:t>
            </w:r>
          </w:p>
        </w:tc>
        <w:tc>
          <w:tcPr>
            <w:tcW w:w="80" w:type="dxa"/>
            <w:vAlign w:val="bottom"/>
          </w:tcPr>
          <w:p>
            <w:pPr>
              <w:spacing w:after="0"/>
              <w:rPr>
                <w:sz w:val="18"/>
                <w:szCs w:val="18"/>
                <w:color w:val="auto"/>
              </w:rPr>
            </w:pPr>
          </w:p>
        </w:tc>
        <w:tc>
          <w:tcPr>
            <w:tcW w:w="320" w:type="dxa"/>
            <w:vAlign w:val="bottom"/>
            <w:shd w:val="clear" w:color="auto" w:fill="4BB3D0"/>
          </w:tcPr>
          <w:p>
            <w:pPr>
              <w:spacing w:after="0"/>
              <w:rPr>
                <w:sz w:val="18"/>
                <w:szCs w:val="18"/>
                <w:color w:val="auto"/>
              </w:rPr>
            </w:pPr>
          </w:p>
        </w:tc>
        <w:tc>
          <w:tcPr>
            <w:tcW w:w="100" w:type="dxa"/>
            <w:vAlign w:val="bottom"/>
            <w:shd w:val="clear" w:color="auto" w:fill="4BB3D0"/>
          </w:tcPr>
          <w:p>
            <w:pPr>
              <w:spacing w:after="0"/>
              <w:rPr>
                <w:sz w:val="18"/>
                <w:szCs w:val="18"/>
                <w:color w:val="auto"/>
              </w:rPr>
            </w:pPr>
          </w:p>
        </w:tc>
        <w:tc>
          <w:tcPr>
            <w:tcW w:w="1040" w:type="dxa"/>
            <w:vAlign w:val="bottom"/>
            <w:shd w:val="clear" w:color="auto" w:fill="4BB3D0"/>
          </w:tcPr>
          <w:p>
            <w:pPr>
              <w:jc w:val="center"/>
              <w:ind w:right="349"/>
              <w:spacing w:after="0"/>
              <w:rPr>
                <w:sz w:val="20"/>
                <w:szCs w:val="20"/>
                <w:color w:val="auto"/>
              </w:rPr>
            </w:pPr>
            <w:r>
              <w:rPr>
                <w:rFonts w:ascii="Arial" w:cs="Arial" w:eastAsia="Arial" w:hAnsi="Arial"/>
                <w:sz w:val="14"/>
                <w:szCs w:val="14"/>
                <w:color w:val="FFFFFF"/>
              </w:rPr>
              <w:t>6 months</w:t>
            </w:r>
          </w:p>
        </w:tc>
        <w:tc>
          <w:tcPr>
            <w:tcW w:w="100" w:type="dxa"/>
            <w:vAlign w:val="bottom"/>
          </w:tcPr>
          <w:p>
            <w:pPr>
              <w:spacing w:after="0"/>
              <w:rPr>
                <w:sz w:val="18"/>
                <w:szCs w:val="18"/>
                <w:color w:val="auto"/>
              </w:rPr>
            </w:pPr>
          </w:p>
        </w:tc>
        <w:tc>
          <w:tcPr>
            <w:tcW w:w="200" w:type="dxa"/>
            <w:vAlign w:val="bottom"/>
            <w:shd w:val="clear" w:color="auto" w:fill="4BB3D0"/>
          </w:tcPr>
          <w:p>
            <w:pPr>
              <w:spacing w:after="0"/>
              <w:rPr>
                <w:sz w:val="18"/>
                <w:szCs w:val="18"/>
                <w:color w:val="auto"/>
              </w:rPr>
            </w:pPr>
          </w:p>
        </w:tc>
        <w:tc>
          <w:tcPr>
            <w:tcW w:w="100" w:type="dxa"/>
            <w:vAlign w:val="bottom"/>
            <w:shd w:val="clear" w:color="auto" w:fill="4BB3D0"/>
          </w:tcPr>
          <w:p>
            <w:pPr>
              <w:spacing w:after="0"/>
              <w:rPr>
                <w:sz w:val="18"/>
                <w:szCs w:val="18"/>
                <w:color w:val="auto"/>
              </w:rPr>
            </w:pPr>
          </w:p>
        </w:tc>
        <w:tc>
          <w:tcPr>
            <w:tcW w:w="1140" w:type="dxa"/>
            <w:vAlign w:val="bottom"/>
            <w:shd w:val="clear" w:color="auto" w:fill="4BB3D0"/>
          </w:tcPr>
          <w:p>
            <w:pPr>
              <w:jc w:val="center"/>
              <w:ind w:right="209"/>
              <w:spacing w:after="0"/>
              <w:rPr>
                <w:sz w:val="20"/>
                <w:szCs w:val="20"/>
                <w:color w:val="auto"/>
              </w:rPr>
            </w:pPr>
            <w:r>
              <w:rPr>
                <w:rFonts w:ascii="Arial" w:cs="Arial" w:eastAsia="Arial" w:hAnsi="Arial"/>
                <w:sz w:val="14"/>
                <w:szCs w:val="14"/>
                <w:color w:val="FFFFFF"/>
              </w:rPr>
              <w:t>12 months</w:t>
            </w:r>
          </w:p>
        </w:tc>
        <w:tc>
          <w:tcPr>
            <w:tcW w:w="100" w:type="dxa"/>
            <w:vAlign w:val="bottom"/>
          </w:tcPr>
          <w:p>
            <w:pPr>
              <w:spacing w:after="0"/>
              <w:rPr>
                <w:sz w:val="18"/>
                <w:szCs w:val="18"/>
                <w:color w:val="auto"/>
              </w:rPr>
            </w:pPr>
          </w:p>
        </w:tc>
        <w:tc>
          <w:tcPr>
            <w:tcW w:w="100" w:type="dxa"/>
            <w:vAlign w:val="bottom"/>
            <w:shd w:val="clear" w:color="auto" w:fill="4BB3D0"/>
          </w:tcPr>
          <w:p>
            <w:pPr>
              <w:spacing w:after="0"/>
              <w:rPr>
                <w:sz w:val="18"/>
                <w:szCs w:val="18"/>
                <w:color w:val="auto"/>
              </w:rPr>
            </w:pPr>
          </w:p>
        </w:tc>
        <w:tc>
          <w:tcPr>
            <w:tcW w:w="100" w:type="dxa"/>
            <w:vAlign w:val="bottom"/>
            <w:shd w:val="clear" w:color="auto" w:fill="4BB3D0"/>
          </w:tcPr>
          <w:p>
            <w:pPr>
              <w:spacing w:after="0"/>
              <w:rPr>
                <w:sz w:val="18"/>
                <w:szCs w:val="18"/>
                <w:color w:val="auto"/>
              </w:rPr>
            </w:pPr>
          </w:p>
        </w:tc>
        <w:tc>
          <w:tcPr>
            <w:tcW w:w="1260" w:type="dxa"/>
            <w:vAlign w:val="bottom"/>
            <w:shd w:val="clear" w:color="auto" w:fill="4BB3D0"/>
          </w:tcPr>
          <w:p>
            <w:pPr>
              <w:jc w:val="center"/>
              <w:ind w:right="129"/>
              <w:spacing w:after="0"/>
              <w:rPr>
                <w:sz w:val="20"/>
                <w:szCs w:val="20"/>
                <w:color w:val="auto"/>
              </w:rPr>
            </w:pPr>
            <w:r>
              <w:rPr>
                <w:rFonts w:ascii="Arial" w:cs="Arial" w:eastAsia="Arial" w:hAnsi="Arial"/>
                <w:sz w:val="14"/>
                <w:szCs w:val="14"/>
                <w:color w:val="FFFFFF"/>
              </w:rPr>
              <w:t>18 months</w:t>
            </w:r>
          </w:p>
        </w:tc>
        <w:tc>
          <w:tcPr>
            <w:tcW w:w="120" w:type="dxa"/>
            <w:vAlign w:val="bottom"/>
            <w:tcBorders>
              <w:right w:val="single" w:sz="8" w:color="4BB3D0"/>
            </w:tcBorders>
          </w:tcPr>
          <w:p>
            <w:pPr>
              <w:spacing w:after="0"/>
              <w:rPr>
                <w:sz w:val="18"/>
                <w:szCs w:val="18"/>
                <w:color w:val="auto"/>
              </w:rPr>
            </w:pPr>
          </w:p>
        </w:tc>
        <w:tc>
          <w:tcPr>
            <w:tcW w:w="80" w:type="dxa"/>
            <w:vAlign w:val="bottom"/>
            <w:shd w:val="clear" w:color="auto" w:fill="4BB3D0"/>
          </w:tcPr>
          <w:p>
            <w:pPr>
              <w:spacing w:after="0"/>
              <w:rPr>
                <w:sz w:val="18"/>
                <w:szCs w:val="18"/>
                <w:color w:val="auto"/>
              </w:rPr>
            </w:pPr>
          </w:p>
        </w:tc>
        <w:tc>
          <w:tcPr>
            <w:tcW w:w="1140" w:type="dxa"/>
            <w:vAlign w:val="bottom"/>
            <w:shd w:val="clear" w:color="auto" w:fill="4BB3D0"/>
          </w:tcPr>
          <w:p>
            <w:pPr>
              <w:jc w:val="center"/>
              <w:ind w:left="49"/>
              <w:spacing w:after="0"/>
              <w:rPr>
                <w:sz w:val="20"/>
                <w:szCs w:val="20"/>
                <w:color w:val="auto"/>
              </w:rPr>
            </w:pPr>
            <w:r>
              <w:rPr>
                <w:rFonts w:ascii="Arial" w:cs="Arial" w:eastAsia="Arial" w:hAnsi="Arial"/>
                <w:sz w:val="14"/>
                <w:szCs w:val="14"/>
                <w:color w:val="FFFFFF"/>
              </w:rPr>
              <w:t>24 months</w:t>
            </w:r>
          </w:p>
        </w:tc>
        <w:tc>
          <w:tcPr>
            <w:tcW w:w="0" w:type="dxa"/>
            <w:vAlign w:val="bottom"/>
          </w:tcPr>
          <w:p>
            <w:pPr>
              <w:spacing w:after="0"/>
              <w:rPr>
                <w:sz w:val="1"/>
                <w:szCs w:val="1"/>
                <w:color w:val="auto"/>
              </w:rPr>
            </w:pPr>
          </w:p>
        </w:tc>
      </w:tr>
      <w:tr>
        <w:trPr>
          <w:trHeight w:val="212"/>
        </w:trPr>
        <w:tc>
          <w:tcPr>
            <w:tcW w:w="5040" w:type="dxa"/>
            <w:vAlign w:val="bottom"/>
            <w:gridSpan w:val="3"/>
            <w:shd w:val="clear" w:color="auto" w:fill="B9E0EF"/>
          </w:tcPr>
          <w:p>
            <w:pPr>
              <w:ind w:left="140"/>
              <w:spacing w:after="0"/>
              <w:rPr>
                <w:sz w:val="20"/>
                <w:szCs w:val="20"/>
                <w:color w:val="auto"/>
              </w:rPr>
            </w:pPr>
            <w:r>
              <w:rPr>
                <w:rFonts w:ascii="Arial" w:cs="Arial" w:eastAsia="Arial" w:hAnsi="Arial"/>
                <w:sz w:val="14"/>
                <w:szCs w:val="14"/>
                <w:color w:val="4BB3D0"/>
              </w:rPr>
              <w:t xml:space="preserve">ATEV </w:t>
            </w:r>
            <w:r>
              <w:rPr>
                <w:rFonts w:ascii="Arial" w:cs="Arial" w:eastAsia="Arial" w:hAnsi="Arial"/>
                <w:sz w:val="14"/>
                <w:szCs w:val="14"/>
                <w:b w:val="1"/>
                <w:bCs w:val="1"/>
                <w:color w:val="4BB3D0"/>
              </w:rPr>
              <w:t>HUMANITY</w:t>
            </w:r>
            <w:r>
              <w:rPr>
                <w:rFonts w:ascii="Arial" w:cs="Arial" w:eastAsia="Arial" w:hAnsi="Arial"/>
                <w:sz w:val="14"/>
                <w:szCs w:val="14"/>
                <w:color w:val="4BB3D0"/>
              </w:rPr>
              <w:t xml:space="preserve"> [Mean (95% CI)]</w:t>
            </w:r>
          </w:p>
        </w:tc>
        <w:tc>
          <w:tcPr>
            <w:tcW w:w="80" w:type="dxa"/>
            <w:vAlign w:val="bottom"/>
          </w:tcPr>
          <w:p>
            <w:pPr>
              <w:spacing w:after="0"/>
              <w:rPr>
                <w:sz w:val="18"/>
                <w:szCs w:val="18"/>
                <w:color w:val="auto"/>
              </w:rPr>
            </w:pPr>
          </w:p>
        </w:tc>
        <w:tc>
          <w:tcPr>
            <w:tcW w:w="1460" w:type="dxa"/>
            <w:vAlign w:val="bottom"/>
            <w:gridSpan w:val="3"/>
            <w:shd w:val="clear" w:color="auto" w:fill="B9E0EF"/>
          </w:tcPr>
          <w:p>
            <w:pPr>
              <w:jc w:val="center"/>
              <w:spacing w:after="0"/>
              <w:rPr>
                <w:sz w:val="20"/>
                <w:szCs w:val="20"/>
                <w:color w:val="auto"/>
              </w:rPr>
            </w:pPr>
            <w:r>
              <w:rPr>
                <w:rFonts w:ascii="Arial" w:cs="Arial" w:eastAsia="Arial" w:hAnsi="Arial"/>
                <w:sz w:val="14"/>
                <w:szCs w:val="14"/>
                <w:color w:val="4BB3D0"/>
              </w:rPr>
              <w:t>92% (87 – 95%)</w:t>
            </w:r>
          </w:p>
        </w:tc>
        <w:tc>
          <w:tcPr>
            <w:tcW w:w="100" w:type="dxa"/>
            <w:vAlign w:val="bottom"/>
          </w:tcPr>
          <w:p>
            <w:pPr>
              <w:spacing w:after="0"/>
              <w:rPr>
                <w:sz w:val="18"/>
                <w:szCs w:val="18"/>
                <w:color w:val="auto"/>
              </w:rPr>
            </w:pPr>
          </w:p>
        </w:tc>
        <w:tc>
          <w:tcPr>
            <w:tcW w:w="200" w:type="dxa"/>
            <w:vAlign w:val="bottom"/>
            <w:shd w:val="clear" w:color="auto" w:fill="B9E0EF"/>
          </w:tcPr>
          <w:p>
            <w:pPr>
              <w:spacing w:after="0"/>
              <w:rPr>
                <w:sz w:val="18"/>
                <w:szCs w:val="18"/>
                <w:color w:val="auto"/>
              </w:rPr>
            </w:pPr>
          </w:p>
        </w:tc>
        <w:tc>
          <w:tcPr>
            <w:tcW w:w="1240" w:type="dxa"/>
            <w:vAlign w:val="bottom"/>
            <w:gridSpan w:val="2"/>
            <w:shd w:val="clear" w:color="auto" w:fill="B9E0EF"/>
          </w:tcPr>
          <w:p>
            <w:pPr>
              <w:jc w:val="center"/>
              <w:ind w:right="129"/>
              <w:spacing w:after="0"/>
              <w:rPr>
                <w:sz w:val="20"/>
                <w:szCs w:val="20"/>
                <w:color w:val="auto"/>
              </w:rPr>
            </w:pPr>
            <w:r>
              <w:rPr>
                <w:rFonts w:ascii="Arial" w:cs="Arial" w:eastAsia="Arial" w:hAnsi="Arial"/>
                <w:sz w:val="14"/>
                <w:szCs w:val="14"/>
                <w:color w:val="4BB3D0"/>
                <w:w w:val="99"/>
              </w:rPr>
              <w:t>82% (75 – 87%)</w:t>
            </w:r>
          </w:p>
        </w:tc>
        <w:tc>
          <w:tcPr>
            <w:tcW w:w="100" w:type="dxa"/>
            <w:vAlign w:val="bottom"/>
          </w:tcPr>
          <w:p>
            <w:pPr>
              <w:spacing w:after="0"/>
              <w:rPr>
                <w:sz w:val="18"/>
                <w:szCs w:val="18"/>
                <w:color w:val="auto"/>
              </w:rPr>
            </w:pPr>
          </w:p>
        </w:tc>
        <w:tc>
          <w:tcPr>
            <w:tcW w:w="100" w:type="dxa"/>
            <w:vAlign w:val="bottom"/>
            <w:shd w:val="clear" w:color="auto" w:fill="B9E0EF"/>
          </w:tcPr>
          <w:p>
            <w:pPr>
              <w:spacing w:after="0"/>
              <w:rPr>
                <w:sz w:val="18"/>
                <w:szCs w:val="18"/>
                <w:color w:val="auto"/>
              </w:rPr>
            </w:pPr>
          </w:p>
        </w:tc>
        <w:tc>
          <w:tcPr>
            <w:tcW w:w="100" w:type="dxa"/>
            <w:vAlign w:val="bottom"/>
            <w:shd w:val="clear" w:color="auto" w:fill="B9E0EF"/>
          </w:tcPr>
          <w:p>
            <w:pPr>
              <w:spacing w:after="0"/>
              <w:rPr>
                <w:sz w:val="18"/>
                <w:szCs w:val="18"/>
                <w:color w:val="auto"/>
              </w:rPr>
            </w:pPr>
          </w:p>
        </w:tc>
        <w:tc>
          <w:tcPr>
            <w:tcW w:w="1260" w:type="dxa"/>
            <w:vAlign w:val="bottom"/>
            <w:shd w:val="clear" w:color="auto" w:fill="B9E0EF"/>
          </w:tcPr>
          <w:p>
            <w:pPr>
              <w:jc w:val="center"/>
              <w:ind w:right="129"/>
              <w:spacing w:after="0"/>
              <w:rPr>
                <w:sz w:val="20"/>
                <w:szCs w:val="20"/>
                <w:color w:val="auto"/>
              </w:rPr>
            </w:pPr>
            <w:r>
              <w:rPr>
                <w:rFonts w:ascii="Arial" w:cs="Arial" w:eastAsia="Arial" w:hAnsi="Arial"/>
                <w:sz w:val="14"/>
                <w:szCs w:val="14"/>
                <w:color w:val="4BB3D0"/>
              </w:rPr>
              <w:t>73% (65 – 79%)</w:t>
            </w:r>
          </w:p>
        </w:tc>
        <w:tc>
          <w:tcPr>
            <w:tcW w:w="120" w:type="dxa"/>
            <w:vAlign w:val="bottom"/>
            <w:tcBorders>
              <w:right w:val="single" w:sz="8" w:color="B9E0EF"/>
            </w:tcBorders>
          </w:tcPr>
          <w:p>
            <w:pPr>
              <w:spacing w:after="0"/>
              <w:rPr>
                <w:sz w:val="18"/>
                <w:szCs w:val="18"/>
                <w:color w:val="auto"/>
              </w:rPr>
            </w:pPr>
          </w:p>
        </w:tc>
        <w:tc>
          <w:tcPr>
            <w:tcW w:w="80" w:type="dxa"/>
            <w:vAlign w:val="bottom"/>
            <w:shd w:val="clear" w:color="auto" w:fill="B9E0EF"/>
          </w:tcPr>
          <w:p>
            <w:pPr>
              <w:spacing w:after="0"/>
              <w:rPr>
                <w:sz w:val="18"/>
                <w:szCs w:val="18"/>
                <w:color w:val="auto"/>
              </w:rPr>
            </w:pPr>
          </w:p>
        </w:tc>
        <w:tc>
          <w:tcPr>
            <w:tcW w:w="1140" w:type="dxa"/>
            <w:vAlign w:val="bottom"/>
            <w:shd w:val="clear" w:color="auto" w:fill="B9E0EF"/>
          </w:tcPr>
          <w:p>
            <w:pPr>
              <w:jc w:val="center"/>
              <w:ind w:left="49"/>
              <w:spacing w:after="0"/>
              <w:rPr>
                <w:sz w:val="20"/>
                <w:szCs w:val="20"/>
                <w:color w:val="auto"/>
              </w:rPr>
            </w:pPr>
            <w:r>
              <w:rPr>
                <w:rFonts w:ascii="Arial" w:cs="Arial" w:eastAsia="Arial" w:hAnsi="Arial"/>
                <w:sz w:val="14"/>
                <w:szCs w:val="14"/>
                <w:color w:val="4BB3D0"/>
              </w:rPr>
              <w:t>67% (59 – 74%)</w:t>
            </w:r>
          </w:p>
        </w:tc>
        <w:tc>
          <w:tcPr>
            <w:tcW w:w="0" w:type="dxa"/>
            <w:vAlign w:val="bottom"/>
          </w:tcPr>
          <w:p>
            <w:pPr>
              <w:spacing w:after="0"/>
              <w:rPr>
                <w:sz w:val="1"/>
                <w:szCs w:val="1"/>
                <w:color w:val="auto"/>
              </w:rPr>
            </w:pPr>
          </w:p>
        </w:tc>
      </w:tr>
      <w:tr>
        <w:trPr>
          <w:trHeight w:val="212"/>
        </w:trPr>
        <w:tc>
          <w:tcPr>
            <w:tcW w:w="5040" w:type="dxa"/>
            <w:vAlign w:val="bottom"/>
            <w:gridSpan w:val="3"/>
            <w:shd w:val="clear" w:color="auto" w:fill="F1F3F2"/>
          </w:tcPr>
          <w:p>
            <w:pPr>
              <w:ind w:left="140"/>
              <w:spacing w:after="0"/>
              <w:rPr>
                <w:sz w:val="20"/>
                <w:szCs w:val="20"/>
                <w:color w:val="auto"/>
              </w:rPr>
            </w:pPr>
            <w:r>
              <w:rPr>
                <w:rFonts w:ascii="Arial" w:cs="Arial" w:eastAsia="Arial" w:hAnsi="Arial"/>
                <w:sz w:val="14"/>
                <w:szCs w:val="14"/>
                <w:color w:val="auto"/>
              </w:rPr>
              <w:t>ePTFE HUMANITY [Mean (95% CI)]</w:t>
            </w:r>
          </w:p>
        </w:tc>
        <w:tc>
          <w:tcPr>
            <w:tcW w:w="80" w:type="dxa"/>
            <w:vAlign w:val="bottom"/>
          </w:tcPr>
          <w:p>
            <w:pPr>
              <w:spacing w:after="0"/>
              <w:rPr>
                <w:sz w:val="18"/>
                <w:szCs w:val="18"/>
                <w:color w:val="auto"/>
              </w:rPr>
            </w:pPr>
          </w:p>
        </w:tc>
        <w:tc>
          <w:tcPr>
            <w:tcW w:w="1460" w:type="dxa"/>
            <w:vAlign w:val="bottom"/>
            <w:gridSpan w:val="3"/>
            <w:shd w:val="clear" w:color="auto" w:fill="F1F3F2"/>
          </w:tcPr>
          <w:p>
            <w:pPr>
              <w:jc w:val="center"/>
              <w:spacing w:after="0"/>
              <w:rPr>
                <w:sz w:val="20"/>
                <w:szCs w:val="20"/>
                <w:color w:val="auto"/>
              </w:rPr>
            </w:pPr>
            <w:r>
              <w:rPr>
                <w:rFonts w:ascii="Arial" w:cs="Arial" w:eastAsia="Arial" w:hAnsi="Arial"/>
                <w:sz w:val="14"/>
                <w:szCs w:val="14"/>
                <w:color w:val="auto"/>
              </w:rPr>
              <w:t>87% (81 – 85%)</w:t>
            </w:r>
          </w:p>
        </w:tc>
        <w:tc>
          <w:tcPr>
            <w:tcW w:w="100" w:type="dxa"/>
            <w:vAlign w:val="bottom"/>
          </w:tcPr>
          <w:p>
            <w:pPr>
              <w:spacing w:after="0"/>
              <w:rPr>
                <w:sz w:val="18"/>
                <w:szCs w:val="18"/>
                <w:color w:val="auto"/>
              </w:rPr>
            </w:pPr>
          </w:p>
        </w:tc>
        <w:tc>
          <w:tcPr>
            <w:tcW w:w="200" w:type="dxa"/>
            <w:vAlign w:val="bottom"/>
            <w:shd w:val="clear" w:color="auto" w:fill="F1F3F2"/>
          </w:tcPr>
          <w:p>
            <w:pPr>
              <w:spacing w:after="0"/>
              <w:rPr>
                <w:sz w:val="18"/>
                <w:szCs w:val="18"/>
                <w:color w:val="auto"/>
              </w:rPr>
            </w:pPr>
          </w:p>
        </w:tc>
        <w:tc>
          <w:tcPr>
            <w:tcW w:w="1240" w:type="dxa"/>
            <w:vAlign w:val="bottom"/>
            <w:gridSpan w:val="2"/>
            <w:shd w:val="clear" w:color="auto" w:fill="F1F3F2"/>
          </w:tcPr>
          <w:p>
            <w:pPr>
              <w:jc w:val="center"/>
              <w:ind w:right="129"/>
              <w:spacing w:after="0"/>
              <w:rPr>
                <w:sz w:val="20"/>
                <w:szCs w:val="20"/>
                <w:color w:val="auto"/>
              </w:rPr>
            </w:pPr>
            <w:r>
              <w:rPr>
                <w:rFonts w:ascii="Arial" w:cs="Arial" w:eastAsia="Arial" w:hAnsi="Arial"/>
                <w:sz w:val="14"/>
                <w:szCs w:val="14"/>
                <w:color w:val="auto"/>
                <w:w w:val="99"/>
              </w:rPr>
              <w:t>80% (73 – 85%)</w:t>
            </w:r>
          </w:p>
        </w:tc>
        <w:tc>
          <w:tcPr>
            <w:tcW w:w="100" w:type="dxa"/>
            <w:vAlign w:val="bottom"/>
          </w:tcPr>
          <w:p>
            <w:pPr>
              <w:spacing w:after="0"/>
              <w:rPr>
                <w:sz w:val="18"/>
                <w:szCs w:val="18"/>
                <w:color w:val="auto"/>
              </w:rPr>
            </w:pPr>
          </w:p>
        </w:tc>
        <w:tc>
          <w:tcPr>
            <w:tcW w:w="100" w:type="dxa"/>
            <w:vAlign w:val="bottom"/>
            <w:shd w:val="clear" w:color="auto" w:fill="F1F3F2"/>
          </w:tcPr>
          <w:p>
            <w:pPr>
              <w:spacing w:after="0"/>
              <w:rPr>
                <w:sz w:val="18"/>
                <w:szCs w:val="18"/>
                <w:color w:val="auto"/>
              </w:rPr>
            </w:pPr>
          </w:p>
        </w:tc>
        <w:tc>
          <w:tcPr>
            <w:tcW w:w="100" w:type="dxa"/>
            <w:vAlign w:val="bottom"/>
            <w:shd w:val="clear" w:color="auto" w:fill="F1F3F2"/>
          </w:tcPr>
          <w:p>
            <w:pPr>
              <w:spacing w:after="0"/>
              <w:rPr>
                <w:sz w:val="18"/>
                <w:szCs w:val="18"/>
                <w:color w:val="auto"/>
              </w:rPr>
            </w:pPr>
          </w:p>
        </w:tc>
        <w:tc>
          <w:tcPr>
            <w:tcW w:w="1260" w:type="dxa"/>
            <w:vAlign w:val="bottom"/>
            <w:shd w:val="clear" w:color="auto" w:fill="F1F3F2"/>
          </w:tcPr>
          <w:p>
            <w:pPr>
              <w:jc w:val="center"/>
              <w:ind w:right="129"/>
              <w:spacing w:after="0"/>
              <w:rPr>
                <w:sz w:val="20"/>
                <w:szCs w:val="20"/>
                <w:color w:val="auto"/>
              </w:rPr>
            </w:pPr>
            <w:r>
              <w:rPr>
                <w:rFonts w:ascii="Arial" w:cs="Arial" w:eastAsia="Arial" w:hAnsi="Arial"/>
                <w:sz w:val="14"/>
                <w:szCs w:val="14"/>
                <w:color w:val="auto"/>
              </w:rPr>
              <w:t>77% (70 – 83%)</w:t>
            </w:r>
          </w:p>
        </w:tc>
        <w:tc>
          <w:tcPr>
            <w:tcW w:w="120" w:type="dxa"/>
            <w:vAlign w:val="bottom"/>
            <w:tcBorders>
              <w:right w:val="single" w:sz="8" w:color="F1F3F2"/>
            </w:tcBorders>
          </w:tcPr>
          <w:p>
            <w:pPr>
              <w:spacing w:after="0"/>
              <w:rPr>
                <w:sz w:val="18"/>
                <w:szCs w:val="18"/>
                <w:color w:val="auto"/>
              </w:rPr>
            </w:pPr>
          </w:p>
        </w:tc>
        <w:tc>
          <w:tcPr>
            <w:tcW w:w="80" w:type="dxa"/>
            <w:vAlign w:val="bottom"/>
            <w:shd w:val="clear" w:color="auto" w:fill="F1F3F2"/>
          </w:tcPr>
          <w:p>
            <w:pPr>
              <w:spacing w:after="0"/>
              <w:rPr>
                <w:sz w:val="18"/>
                <w:szCs w:val="18"/>
                <w:color w:val="auto"/>
              </w:rPr>
            </w:pPr>
          </w:p>
        </w:tc>
        <w:tc>
          <w:tcPr>
            <w:tcW w:w="1140" w:type="dxa"/>
            <w:vAlign w:val="bottom"/>
            <w:shd w:val="clear" w:color="auto" w:fill="F1F3F2"/>
          </w:tcPr>
          <w:p>
            <w:pPr>
              <w:jc w:val="center"/>
              <w:ind w:left="49"/>
              <w:spacing w:after="0"/>
              <w:rPr>
                <w:sz w:val="20"/>
                <w:szCs w:val="20"/>
                <w:color w:val="auto"/>
              </w:rPr>
            </w:pPr>
            <w:r>
              <w:rPr>
                <w:rFonts w:ascii="Arial" w:cs="Arial" w:eastAsia="Arial" w:hAnsi="Arial"/>
                <w:sz w:val="14"/>
                <w:szCs w:val="14"/>
                <w:color w:val="auto"/>
              </w:rPr>
              <w:t>74% (67 – 81%)</w:t>
            </w:r>
          </w:p>
        </w:tc>
        <w:tc>
          <w:tcPr>
            <w:tcW w:w="0" w:type="dxa"/>
            <w:vAlign w:val="bottom"/>
          </w:tcPr>
          <w:p>
            <w:pPr>
              <w:spacing w:after="0"/>
              <w:rPr>
                <w:sz w:val="1"/>
                <w:szCs w:val="1"/>
                <w:color w:val="auto"/>
              </w:rPr>
            </w:pPr>
          </w:p>
        </w:tc>
      </w:tr>
      <w:tr>
        <w:trPr>
          <w:trHeight w:val="304"/>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120" w:type="dxa"/>
            <w:vAlign w:val="bottom"/>
            <w:gridSpan w:val="11"/>
            <w:shd w:val="clear" w:color="auto" w:fill="4BB3D0"/>
          </w:tcPr>
          <w:p>
            <w:pPr>
              <w:ind w:left="3380"/>
              <w:spacing w:after="0"/>
              <w:rPr>
                <w:sz w:val="20"/>
                <w:szCs w:val="20"/>
                <w:color w:val="auto"/>
              </w:rPr>
            </w:pPr>
            <w:r>
              <w:rPr>
                <w:rFonts w:ascii="Arial" w:cs="Arial" w:eastAsia="Arial" w:hAnsi="Arial"/>
                <w:sz w:val="14"/>
                <w:szCs w:val="14"/>
                <w:color w:val="FFFFFF"/>
              </w:rPr>
              <w:t>Cox Proportional Hazards Model for Time to Loss of Secondary Patency</w:t>
            </w:r>
          </w:p>
        </w:tc>
        <w:tc>
          <w:tcPr>
            <w:tcW w:w="100" w:type="dxa"/>
            <w:vAlign w:val="bottom"/>
            <w:shd w:val="clear" w:color="auto" w:fill="4BB3D0"/>
          </w:tcPr>
          <w:p>
            <w:pPr>
              <w:spacing w:after="0"/>
              <w:rPr>
                <w:sz w:val="18"/>
                <w:szCs w:val="18"/>
                <w:color w:val="auto"/>
              </w:rPr>
            </w:pPr>
          </w:p>
        </w:tc>
        <w:tc>
          <w:tcPr>
            <w:tcW w:w="100" w:type="dxa"/>
            <w:vAlign w:val="bottom"/>
            <w:shd w:val="clear" w:color="auto" w:fill="4BB3D0"/>
          </w:tcPr>
          <w:p>
            <w:pPr>
              <w:spacing w:after="0"/>
              <w:rPr>
                <w:sz w:val="18"/>
                <w:szCs w:val="18"/>
                <w:color w:val="auto"/>
              </w:rPr>
            </w:pPr>
          </w:p>
        </w:tc>
        <w:tc>
          <w:tcPr>
            <w:tcW w:w="100" w:type="dxa"/>
            <w:vAlign w:val="bottom"/>
            <w:shd w:val="clear" w:color="auto" w:fill="4BB3D0"/>
          </w:tcPr>
          <w:p>
            <w:pPr>
              <w:spacing w:after="0"/>
              <w:rPr>
                <w:sz w:val="18"/>
                <w:szCs w:val="18"/>
                <w:color w:val="auto"/>
              </w:rPr>
            </w:pPr>
          </w:p>
        </w:tc>
        <w:tc>
          <w:tcPr>
            <w:tcW w:w="1260" w:type="dxa"/>
            <w:vAlign w:val="bottom"/>
            <w:shd w:val="clear" w:color="auto" w:fill="4BB3D0"/>
          </w:tcPr>
          <w:p>
            <w:pPr>
              <w:spacing w:after="0"/>
              <w:rPr>
                <w:sz w:val="18"/>
                <w:szCs w:val="18"/>
                <w:color w:val="auto"/>
              </w:rPr>
            </w:pPr>
          </w:p>
        </w:tc>
        <w:tc>
          <w:tcPr>
            <w:tcW w:w="120" w:type="dxa"/>
            <w:vAlign w:val="bottom"/>
            <w:tcBorders>
              <w:right w:val="single" w:sz="8" w:color="4BB3D0"/>
            </w:tcBorders>
            <w:shd w:val="clear" w:color="auto" w:fill="4BB3D0"/>
          </w:tcPr>
          <w:p>
            <w:pPr>
              <w:spacing w:after="0"/>
              <w:rPr>
                <w:sz w:val="18"/>
                <w:szCs w:val="18"/>
                <w:color w:val="auto"/>
              </w:rPr>
            </w:pPr>
          </w:p>
        </w:tc>
        <w:tc>
          <w:tcPr>
            <w:tcW w:w="80" w:type="dxa"/>
            <w:vAlign w:val="bottom"/>
            <w:shd w:val="clear" w:color="auto" w:fill="4BB3D0"/>
          </w:tcPr>
          <w:p>
            <w:pPr>
              <w:spacing w:after="0"/>
              <w:rPr>
                <w:sz w:val="18"/>
                <w:szCs w:val="18"/>
                <w:color w:val="auto"/>
              </w:rPr>
            </w:pPr>
          </w:p>
        </w:tc>
        <w:tc>
          <w:tcPr>
            <w:tcW w:w="1140" w:type="dxa"/>
            <w:vAlign w:val="bottom"/>
            <w:shd w:val="clear" w:color="auto" w:fill="4BB3D0"/>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000" w:type="dxa"/>
            <w:vAlign w:val="bottom"/>
            <w:shd w:val="clear" w:color="auto" w:fill="B9E0EF"/>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shd w:val="clear" w:color="auto" w:fill="B9E0EF"/>
          </w:tcPr>
          <w:p>
            <w:pPr>
              <w:spacing w:after="0"/>
              <w:rPr>
                <w:sz w:val="24"/>
                <w:szCs w:val="24"/>
                <w:color w:val="auto"/>
              </w:rPr>
            </w:pPr>
          </w:p>
        </w:tc>
        <w:tc>
          <w:tcPr>
            <w:tcW w:w="80" w:type="dxa"/>
            <w:vAlign w:val="bottom"/>
            <w:shd w:val="clear" w:color="auto" w:fill="B9E0EF"/>
          </w:tcPr>
          <w:p>
            <w:pPr>
              <w:spacing w:after="0"/>
              <w:rPr>
                <w:sz w:val="24"/>
                <w:szCs w:val="24"/>
                <w:color w:val="auto"/>
              </w:rPr>
            </w:pPr>
          </w:p>
        </w:tc>
        <w:tc>
          <w:tcPr>
            <w:tcW w:w="320" w:type="dxa"/>
            <w:vAlign w:val="bottom"/>
            <w:shd w:val="clear" w:color="auto" w:fill="B9E0EF"/>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vMerge w:val="restart"/>
            <w:shd w:val="clear" w:color="auto" w:fill="B9E0EF"/>
          </w:tcPr>
          <w:p>
            <w:pPr>
              <w:ind w:left="960"/>
              <w:spacing w:after="0"/>
              <w:rPr>
                <w:sz w:val="20"/>
                <w:szCs w:val="20"/>
                <w:color w:val="auto"/>
              </w:rPr>
            </w:pPr>
            <w:r>
              <w:rPr>
                <w:rFonts w:ascii="Arial" w:cs="Arial" w:eastAsia="Arial" w:hAnsi="Arial"/>
                <w:sz w:val="14"/>
                <w:szCs w:val="14"/>
                <w:b w:val="1"/>
                <w:bCs w:val="1"/>
                <w:color w:val="auto"/>
              </w:rPr>
              <w:t>Hazard Ratio</w:t>
            </w:r>
          </w:p>
        </w:tc>
        <w:tc>
          <w:tcPr>
            <w:tcW w:w="100" w:type="dxa"/>
            <w:vAlign w:val="bottom"/>
            <w:shd w:val="clear" w:color="auto" w:fill="B9E0EF"/>
          </w:tcPr>
          <w:p>
            <w:pPr>
              <w:spacing w:after="0"/>
              <w:rPr>
                <w:sz w:val="24"/>
                <w:szCs w:val="24"/>
                <w:color w:val="auto"/>
              </w:rPr>
            </w:pPr>
          </w:p>
        </w:tc>
        <w:tc>
          <w:tcPr>
            <w:tcW w:w="100" w:type="dxa"/>
            <w:vAlign w:val="bottom"/>
            <w:shd w:val="clear" w:color="auto" w:fill="B9E0EF"/>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shd w:val="clear" w:color="auto" w:fill="B9E0EF"/>
          </w:tcPr>
          <w:p>
            <w:pPr>
              <w:spacing w:after="0"/>
              <w:rPr>
                <w:sz w:val="24"/>
                <w:szCs w:val="24"/>
                <w:color w:val="auto"/>
              </w:rPr>
            </w:pPr>
          </w:p>
        </w:tc>
        <w:tc>
          <w:tcPr>
            <w:tcW w:w="120" w:type="dxa"/>
            <w:vAlign w:val="bottom"/>
            <w:tcBorders>
              <w:right w:val="single" w:sz="8" w:color="B9E0EF"/>
            </w:tcBorders>
            <w:shd w:val="clear" w:color="auto" w:fill="B9E0EF"/>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shd w:val="clear" w:color="auto" w:fill="B9E0EF"/>
          </w:tcPr>
          <w:p>
            <w:pPr>
              <w:jc w:val="center"/>
              <w:ind w:left="129"/>
              <w:spacing w:after="0"/>
              <w:rPr>
                <w:sz w:val="20"/>
                <w:szCs w:val="20"/>
                <w:color w:val="auto"/>
              </w:rPr>
            </w:pPr>
            <w:r>
              <w:rPr>
                <w:rFonts w:ascii="Arial" w:cs="Arial" w:eastAsia="Arial" w:hAnsi="Arial"/>
                <w:sz w:val="14"/>
                <w:szCs w:val="14"/>
                <w:b w:val="1"/>
                <w:bCs w:val="1"/>
                <w:color w:val="auto"/>
                <w:w w:val="97"/>
              </w:rPr>
              <w:t>Non-inferiority</w:t>
            </w:r>
          </w:p>
        </w:tc>
        <w:tc>
          <w:tcPr>
            <w:tcW w:w="0" w:type="dxa"/>
            <w:vAlign w:val="bottom"/>
          </w:tcPr>
          <w:p>
            <w:pPr>
              <w:spacing w:after="0"/>
              <w:rPr>
                <w:sz w:val="1"/>
                <w:szCs w:val="1"/>
                <w:color w:val="auto"/>
              </w:rPr>
            </w:pPr>
          </w:p>
        </w:tc>
      </w:tr>
      <w:tr>
        <w:trPr>
          <w:trHeight w:val="114"/>
        </w:trPr>
        <w:tc>
          <w:tcPr>
            <w:tcW w:w="4000" w:type="dxa"/>
            <w:vAlign w:val="bottom"/>
            <w:vMerge w:val="restart"/>
            <w:shd w:val="clear" w:color="auto" w:fill="B9E0EF"/>
          </w:tcPr>
          <w:p>
            <w:pPr>
              <w:ind w:left="1440"/>
              <w:spacing w:after="0"/>
              <w:rPr>
                <w:sz w:val="20"/>
                <w:szCs w:val="20"/>
                <w:color w:val="auto"/>
              </w:rPr>
            </w:pPr>
            <w:r>
              <w:rPr>
                <w:rFonts w:ascii="Arial" w:cs="Arial" w:eastAsia="Arial" w:hAnsi="Arial"/>
                <w:sz w:val="14"/>
                <w:szCs w:val="14"/>
                <w:b w:val="1"/>
                <w:bCs w:val="1"/>
                <w:color w:val="auto"/>
              </w:rPr>
              <w:t>Treatment Group</w:t>
            </w:r>
          </w:p>
        </w:tc>
        <w:tc>
          <w:tcPr>
            <w:tcW w:w="100" w:type="dxa"/>
            <w:vAlign w:val="bottom"/>
          </w:tcPr>
          <w:p>
            <w:pPr>
              <w:spacing w:after="0"/>
              <w:rPr>
                <w:sz w:val="9"/>
                <w:szCs w:val="9"/>
                <w:color w:val="auto"/>
              </w:rPr>
            </w:pPr>
          </w:p>
        </w:tc>
        <w:tc>
          <w:tcPr>
            <w:tcW w:w="940" w:type="dxa"/>
            <w:vAlign w:val="bottom"/>
            <w:shd w:val="clear" w:color="auto" w:fill="B9E0EF"/>
          </w:tcPr>
          <w:p>
            <w:pPr>
              <w:spacing w:after="0"/>
              <w:rPr>
                <w:sz w:val="9"/>
                <w:szCs w:val="9"/>
                <w:color w:val="auto"/>
              </w:rPr>
            </w:pPr>
          </w:p>
        </w:tc>
        <w:tc>
          <w:tcPr>
            <w:tcW w:w="80" w:type="dxa"/>
            <w:vAlign w:val="bottom"/>
            <w:shd w:val="clear" w:color="auto" w:fill="B9E0EF"/>
          </w:tcPr>
          <w:p>
            <w:pPr>
              <w:spacing w:after="0"/>
              <w:rPr>
                <w:sz w:val="9"/>
                <w:szCs w:val="9"/>
                <w:color w:val="auto"/>
              </w:rPr>
            </w:pPr>
          </w:p>
        </w:tc>
        <w:tc>
          <w:tcPr>
            <w:tcW w:w="320" w:type="dxa"/>
            <w:vAlign w:val="bottom"/>
            <w:shd w:val="clear" w:color="auto" w:fill="B9E0EF"/>
          </w:tcPr>
          <w:p>
            <w:pPr>
              <w:spacing w:after="0"/>
              <w:rPr>
                <w:sz w:val="9"/>
                <w:szCs w:val="9"/>
                <w:color w:val="auto"/>
              </w:rPr>
            </w:pPr>
          </w:p>
        </w:tc>
        <w:tc>
          <w:tcPr>
            <w:tcW w:w="100" w:type="dxa"/>
            <w:vAlign w:val="bottom"/>
          </w:tcPr>
          <w:p>
            <w:pPr>
              <w:spacing w:after="0"/>
              <w:rPr>
                <w:sz w:val="9"/>
                <w:szCs w:val="9"/>
                <w:color w:val="auto"/>
              </w:rPr>
            </w:pPr>
          </w:p>
        </w:tc>
        <w:tc>
          <w:tcPr>
            <w:tcW w:w="2580" w:type="dxa"/>
            <w:vAlign w:val="bottom"/>
            <w:gridSpan w:val="5"/>
            <w:vMerge w:val="continue"/>
            <w:shd w:val="clear" w:color="auto" w:fill="B9E0EF"/>
          </w:tcPr>
          <w:p>
            <w:pPr>
              <w:spacing w:after="0"/>
              <w:rPr>
                <w:sz w:val="9"/>
                <w:szCs w:val="9"/>
                <w:color w:val="auto"/>
              </w:rPr>
            </w:pPr>
          </w:p>
        </w:tc>
        <w:tc>
          <w:tcPr>
            <w:tcW w:w="100" w:type="dxa"/>
            <w:vAlign w:val="bottom"/>
            <w:shd w:val="clear" w:color="auto" w:fill="B9E0EF"/>
          </w:tcPr>
          <w:p>
            <w:pPr>
              <w:spacing w:after="0"/>
              <w:rPr>
                <w:sz w:val="9"/>
                <w:szCs w:val="9"/>
                <w:color w:val="auto"/>
              </w:rPr>
            </w:pPr>
          </w:p>
        </w:tc>
        <w:tc>
          <w:tcPr>
            <w:tcW w:w="100" w:type="dxa"/>
            <w:vAlign w:val="bottom"/>
            <w:shd w:val="clear" w:color="auto" w:fill="B9E0EF"/>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restart"/>
            <w:shd w:val="clear" w:color="auto" w:fill="B9E0EF"/>
          </w:tcPr>
          <w:p>
            <w:pPr>
              <w:jc w:val="center"/>
              <w:ind w:left="29"/>
              <w:spacing w:after="0" w:line="146" w:lineRule="exact"/>
              <w:rPr>
                <w:sz w:val="20"/>
                <w:szCs w:val="20"/>
                <w:color w:val="auto"/>
              </w:rPr>
            </w:pPr>
            <w:r>
              <w:rPr>
                <w:rFonts w:ascii="Arial" w:cs="Arial" w:eastAsia="Arial" w:hAnsi="Arial"/>
                <w:sz w:val="14"/>
                <w:szCs w:val="14"/>
                <w:b w:val="1"/>
                <w:bCs w:val="1"/>
                <w:color w:val="auto"/>
                <w:w w:val="99"/>
              </w:rPr>
              <w:t>Non-inferiority</w:t>
            </w:r>
          </w:p>
        </w:tc>
        <w:tc>
          <w:tcPr>
            <w:tcW w:w="120" w:type="dxa"/>
            <w:vAlign w:val="bottom"/>
            <w:tcBorders>
              <w:right w:val="single" w:sz="8" w:color="B9E0EF"/>
            </w:tcBorders>
            <w:shd w:val="clear" w:color="auto" w:fill="B9E0EF"/>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vMerge w:val="restart"/>
            <w:shd w:val="clear" w:color="auto" w:fill="B9E0EF"/>
          </w:tcPr>
          <w:p>
            <w:pPr>
              <w:jc w:val="center"/>
              <w:ind w:left="129"/>
              <w:spacing w:after="0" w:line="146" w:lineRule="exact"/>
              <w:rPr>
                <w:sz w:val="20"/>
                <w:szCs w:val="20"/>
                <w:color w:val="auto"/>
              </w:rPr>
            </w:pPr>
            <w:r>
              <w:rPr>
                <w:rFonts w:ascii="Arial" w:cs="Arial" w:eastAsia="Arial" w:hAnsi="Arial"/>
                <w:sz w:val="14"/>
                <w:szCs w:val="14"/>
                <w:b w:val="1"/>
                <w:bCs w:val="1"/>
                <w:color w:val="auto"/>
                <w:w w:val="99"/>
              </w:rPr>
              <w:t>Demonstrated</w:t>
            </w:r>
          </w:p>
        </w:tc>
        <w:tc>
          <w:tcPr>
            <w:tcW w:w="0" w:type="dxa"/>
            <w:vAlign w:val="bottom"/>
          </w:tcPr>
          <w:p>
            <w:pPr>
              <w:spacing w:after="0"/>
              <w:rPr>
                <w:sz w:val="1"/>
                <w:szCs w:val="1"/>
                <w:color w:val="auto"/>
              </w:rPr>
            </w:pPr>
          </w:p>
        </w:tc>
      </w:tr>
      <w:tr>
        <w:trPr>
          <w:trHeight w:val="31"/>
        </w:trPr>
        <w:tc>
          <w:tcPr>
            <w:tcW w:w="4000" w:type="dxa"/>
            <w:vAlign w:val="bottom"/>
            <w:vMerge w:val="continue"/>
            <w:shd w:val="clear" w:color="auto" w:fill="B9E0EF"/>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B9E0EF"/>
          </w:tcPr>
          <w:p>
            <w:pPr>
              <w:spacing w:after="0"/>
              <w:rPr>
                <w:sz w:val="2"/>
                <w:szCs w:val="2"/>
                <w:color w:val="auto"/>
              </w:rPr>
            </w:pPr>
          </w:p>
        </w:tc>
        <w:tc>
          <w:tcPr>
            <w:tcW w:w="80" w:type="dxa"/>
            <w:vAlign w:val="bottom"/>
            <w:shd w:val="clear" w:color="auto" w:fill="B9E0EF"/>
          </w:tcPr>
          <w:p>
            <w:pPr>
              <w:spacing w:after="0"/>
              <w:rPr>
                <w:sz w:val="2"/>
                <w:szCs w:val="2"/>
                <w:color w:val="auto"/>
              </w:rPr>
            </w:pPr>
          </w:p>
        </w:tc>
        <w:tc>
          <w:tcPr>
            <w:tcW w:w="320" w:type="dxa"/>
            <w:vAlign w:val="bottom"/>
            <w:shd w:val="clear" w:color="auto" w:fill="B9E0EF"/>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shd w:val="clear" w:color="auto" w:fill="B9E0EF"/>
          </w:tcPr>
          <w:p>
            <w:pPr>
              <w:jc w:val="center"/>
              <w:ind w:left="229"/>
              <w:spacing w:after="0"/>
              <w:rPr>
                <w:sz w:val="20"/>
                <w:szCs w:val="20"/>
                <w:color w:val="auto"/>
              </w:rPr>
            </w:pPr>
            <w:r>
              <w:rPr>
                <w:rFonts w:ascii="Arial" w:cs="Arial" w:eastAsia="Arial" w:hAnsi="Arial"/>
                <w:sz w:val="14"/>
                <w:szCs w:val="14"/>
                <w:b w:val="1"/>
                <w:bCs w:val="1"/>
                <w:color w:val="auto"/>
                <w:w w:val="99"/>
              </w:rPr>
              <w:t>Estimate</w:t>
            </w:r>
          </w:p>
        </w:tc>
        <w:tc>
          <w:tcPr>
            <w:tcW w:w="100" w:type="dxa"/>
            <w:vAlign w:val="bottom"/>
            <w:shd w:val="clear" w:color="auto" w:fill="B9E0EF"/>
          </w:tcPr>
          <w:p>
            <w:pPr>
              <w:spacing w:after="0"/>
              <w:rPr>
                <w:sz w:val="2"/>
                <w:szCs w:val="2"/>
                <w:color w:val="auto"/>
              </w:rPr>
            </w:pPr>
          </w:p>
        </w:tc>
        <w:tc>
          <w:tcPr>
            <w:tcW w:w="200" w:type="dxa"/>
            <w:vAlign w:val="bottom"/>
            <w:shd w:val="clear" w:color="auto" w:fill="B9E0EF"/>
          </w:tcPr>
          <w:p>
            <w:pPr>
              <w:spacing w:after="0"/>
              <w:rPr>
                <w:sz w:val="2"/>
                <w:szCs w:val="2"/>
                <w:color w:val="auto"/>
              </w:rPr>
            </w:pPr>
          </w:p>
        </w:tc>
        <w:tc>
          <w:tcPr>
            <w:tcW w:w="100" w:type="dxa"/>
            <w:vAlign w:val="bottom"/>
            <w:shd w:val="clear" w:color="auto" w:fill="B9E0EF"/>
          </w:tcPr>
          <w:p>
            <w:pPr>
              <w:spacing w:after="0"/>
              <w:rPr>
                <w:sz w:val="2"/>
                <w:szCs w:val="2"/>
                <w:color w:val="auto"/>
              </w:rPr>
            </w:pPr>
          </w:p>
        </w:tc>
        <w:tc>
          <w:tcPr>
            <w:tcW w:w="1140" w:type="dxa"/>
            <w:vAlign w:val="bottom"/>
            <w:vMerge w:val="restart"/>
            <w:shd w:val="clear" w:color="auto" w:fill="B9E0EF"/>
          </w:tcPr>
          <w:p>
            <w:pPr>
              <w:jc w:val="center"/>
              <w:ind w:left="129"/>
              <w:spacing w:after="0"/>
              <w:rPr>
                <w:sz w:val="20"/>
                <w:szCs w:val="20"/>
                <w:color w:val="auto"/>
              </w:rPr>
            </w:pPr>
            <w:r>
              <w:rPr>
                <w:rFonts w:ascii="Arial" w:cs="Arial" w:eastAsia="Arial" w:hAnsi="Arial"/>
                <w:sz w:val="14"/>
                <w:szCs w:val="14"/>
                <w:b w:val="1"/>
                <w:bCs w:val="1"/>
                <w:color w:val="auto"/>
              </w:rPr>
              <w:t>95% CI</w:t>
            </w:r>
          </w:p>
        </w:tc>
        <w:tc>
          <w:tcPr>
            <w:tcW w:w="100" w:type="dxa"/>
            <w:vAlign w:val="bottom"/>
            <w:shd w:val="clear" w:color="auto" w:fill="B9E0EF"/>
          </w:tcPr>
          <w:p>
            <w:pPr>
              <w:spacing w:after="0"/>
              <w:rPr>
                <w:sz w:val="2"/>
                <w:szCs w:val="2"/>
                <w:color w:val="auto"/>
              </w:rPr>
            </w:pPr>
          </w:p>
        </w:tc>
        <w:tc>
          <w:tcPr>
            <w:tcW w:w="100" w:type="dxa"/>
            <w:vAlign w:val="bottom"/>
            <w:shd w:val="clear" w:color="auto" w:fill="B9E0EF"/>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vMerge w:val="continue"/>
            <w:shd w:val="clear" w:color="auto" w:fill="B9E0EF"/>
          </w:tcPr>
          <w:p>
            <w:pPr>
              <w:spacing w:after="0"/>
              <w:rPr>
                <w:sz w:val="2"/>
                <w:szCs w:val="2"/>
                <w:color w:val="auto"/>
              </w:rPr>
            </w:pPr>
          </w:p>
        </w:tc>
        <w:tc>
          <w:tcPr>
            <w:tcW w:w="120" w:type="dxa"/>
            <w:vAlign w:val="bottom"/>
            <w:tcBorders>
              <w:right w:val="single" w:sz="8" w:color="B9E0EF"/>
            </w:tcBorders>
            <w:shd w:val="clear" w:color="auto" w:fill="B9E0EF"/>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vMerge w:val="continue"/>
            <w:shd w:val="clear" w:color="auto" w:fill="B9E0E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6"/>
        </w:trPr>
        <w:tc>
          <w:tcPr>
            <w:tcW w:w="4000" w:type="dxa"/>
            <w:vAlign w:val="bottom"/>
            <w:vMerge w:val="continue"/>
            <w:shd w:val="clear" w:color="auto" w:fill="B9E0EF"/>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shd w:val="clear" w:color="auto" w:fill="B9E0EF"/>
          </w:tcPr>
          <w:p>
            <w:pPr>
              <w:spacing w:after="0"/>
              <w:rPr>
                <w:sz w:val="5"/>
                <w:szCs w:val="5"/>
                <w:color w:val="auto"/>
              </w:rPr>
            </w:pPr>
          </w:p>
        </w:tc>
        <w:tc>
          <w:tcPr>
            <w:tcW w:w="320" w:type="dxa"/>
            <w:vAlign w:val="bottom"/>
            <w:shd w:val="clear" w:color="auto" w:fill="B9E0EF"/>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continue"/>
            <w:shd w:val="clear" w:color="auto" w:fill="B9E0EF"/>
          </w:tcPr>
          <w:p>
            <w:pPr>
              <w:spacing w:after="0"/>
              <w:rPr>
                <w:sz w:val="5"/>
                <w:szCs w:val="5"/>
                <w:color w:val="auto"/>
              </w:rPr>
            </w:pPr>
          </w:p>
        </w:tc>
        <w:tc>
          <w:tcPr>
            <w:tcW w:w="100" w:type="dxa"/>
            <w:vAlign w:val="bottom"/>
            <w:shd w:val="clear" w:color="auto" w:fill="B9E0EF"/>
          </w:tcPr>
          <w:p>
            <w:pPr>
              <w:spacing w:after="0"/>
              <w:rPr>
                <w:sz w:val="5"/>
                <w:szCs w:val="5"/>
                <w:color w:val="auto"/>
              </w:rPr>
            </w:pPr>
          </w:p>
        </w:tc>
        <w:tc>
          <w:tcPr>
            <w:tcW w:w="200" w:type="dxa"/>
            <w:vAlign w:val="bottom"/>
            <w:shd w:val="clear" w:color="auto" w:fill="B9E0EF"/>
          </w:tcPr>
          <w:p>
            <w:pPr>
              <w:spacing w:after="0"/>
              <w:rPr>
                <w:sz w:val="5"/>
                <w:szCs w:val="5"/>
                <w:color w:val="auto"/>
              </w:rPr>
            </w:pPr>
          </w:p>
        </w:tc>
        <w:tc>
          <w:tcPr>
            <w:tcW w:w="100" w:type="dxa"/>
            <w:vAlign w:val="bottom"/>
            <w:shd w:val="clear" w:color="auto" w:fill="B9E0EF"/>
          </w:tcPr>
          <w:p>
            <w:pPr>
              <w:spacing w:after="0"/>
              <w:rPr>
                <w:sz w:val="5"/>
                <w:szCs w:val="5"/>
                <w:color w:val="auto"/>
              </w:rPr>
            </w:pPr>
          </w:p>
        </w:tc>
        <w:tc>
          <w:tcPr>
            <w:tcW w:w="1140" w:type="dxa"/>
            <w:vAlign w:val="bottom"/>
            <w:vMerge w:val="continue"/>
            <w:shd w:val="clear" w:color="auto" w:fill="B9E0EF"/>
          </w:tcPr>
          <w:p>
            <w:pPr>
              <w:spacing w:after="0"/>
              <w:rPr>
                <w:sz w:val="5"/>
                <w:szCs w:val="5"/>
                <w:color w:val="auto"/>
              </w:rPr>
            </w:pPr>
          </w:p>
        </w:tc>
        <w:tc>
          <w:tcPr>
            <w:tcW w:w="100" w:type="dxa"/>
            <w:vAlign w:val="bottom"/>
            <w:shd w:val="clear" w:color="auto" w:fill="B9E0EF"/>
          </w:tcPr>
          <w:p>
            <w:pPr>
              <w:spacing w:after="0"/>
              <w:rPr>
                <w:sz w:val="5"/>
                <w:szCs w:val="5"/>
                <w:color w:val="auto"/>
              </w:rPr>
            </w:pPr>
          </w:p>
        </w:tc>
        <w:tc>
          <w:tcPr>
            <w:tcW w:w="100" w:type="dxa"/>
            <w:vAlign w:val="bottom"/>
            <w:shd w:val="clear" w:color="auto" w:fill="B9E0EF"/>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restart"/>
            <w:shd w:val="clear" w:color="auto" w:fill="B9E0EF"/>
          </w:tcPr>
          <w:p>
            <w:pPr>
              <w:jc w:val="center"/>
              <w:ind w:left="29"/>
              <w:spacing w:after="0"/>
              <w:rPr>
                <w:sz w:val="20"/>
                <w:szCs w:val="20"/>
                <w:color w:val="auto"/>
              </w:rPr>
            </w:pPr>
            <w:r>
              <w:rPr>
                <w:rFonts w:ascii="Arial" w:cs="Arial" w:eastAsia="Arial" w:hAnsi="Arial"/>
                <w:sz w:val="14"/>
                <w:szCs w:val="14"/>
                <w:b w:val="1"/>
                <w:bCs w:val="1"/>
                <w:color w:val="auto"/>
                <w:w w:val="99"/>
              </w:rPr>
              <w:t>Margin Hazard</w:t>
            </w:r>
          </w:p>
        </w:tc>
        <w:tc>
          <w:tcPr>
            <w:tcW w:w="120" w:type="dxa"/>
            <w:vAlign w:val="bottom"/>
            <w:tcBorders>
              <w:right w:val="single" w:sz="8" w:color="B9E0EF"/>
            </w:tcBorders>
            <w:shd w:val="clear" w:color="auto" w:fill="B9E0EF"/>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vMerge w:val="restart"/>
            <w:shd w:val="clear" w:color="auto" w:fill="B9E0EF"/>
          </w:tcPr>
          <w:p>
            <w:pPr>
              <w:jc w:val="center"/>
              <w:ind w:left="149"/>
              <w:spacing w:after="0"/>
              <w:rPr>
                <w:sz w:val="20"/>
                <w:szCs w:val="20"/>
                <w:color w:val="auto"/>
              </w:rPr>
            </w:pPr>
            <w:r>
              <w:rPr>
                <w:rFonts w:ascii="Arial" w:cs="Arial" w:eastAsia="Arial" w:hAnsi="Arial"/>
                <w:sz w:val="14"/>
                <w:szCs w:val="14"/>
                <w:b w:val="1"/>
                <w:bCs w:val="1"/>
                <w:color w:val="auto"/>
                <w:w w:val="98"/>
              </w:rPr>
              <w:t>(Yes/No)</w:t>
            </w:r>
          </w:p>
        </w:tc>
        <w:tc>
          <w:tcPr>
            <w:tcW w:w="0" w:type="dxa"/>
            <w:vAlign w:val="bottom"/>
          </w:tcPr>
          <w:p>
            <w:pPr>
              <w:spacing w:after="0"/>
              <w:rPr>
                <w:sz w:val="1"/>
                <w:szCs w:val="1"/>
                <w:color w:val="auto"/>
              </w:rPr>
            </w:pPr>
          </w:p>
        </w:tc>
      </w:tr>
      <w:tr>
        <w:trPr>
          <w:trHeight w:val="115"/>
        </w:trPr>
        <w:tc>
          <w:tcPr>
            <w:tcW w:w="4000" w:type="dxa"/>
            <w:vAlign w:val="bottom"/>
            <w:vMerge w:val="restart"/>
            <w:shd w:val="clear" w:color="auto" w:fill="B9E0EF"/>
          </w:tcPr>
          <w:p>
            <w:pPr>
              <w:ind w:left="1440"/>
              <w:spacing w:after="0"/>
              <w:rPr>
                <w:sz w:val="20"/>
                <w:szCs w:val="20"/>
                <w:color w:val="auto"/>
              </w:rPr>
            </w:pPr>
            <w:r>
              <w:rPr>
                <w:rFonts w:ascii="Arial" w:cs="Arial" w:eastAsia="Arial" w:hAnsi="Arial"/>
                <w:sz w:val="14"/>
                <w:szCs w:val="14"/>
                <w:b w:val="1"/>
                <w:bCs w:val="1"/>
                <w:color w:val="auto"/>
              </w:rPr>
              <w:t>(ATEV vs ePTFE)</w:t>
            </w:r>
          </w:p>
        </w:tc>
        <w:tc>
          <w:tcPr>
            <w:tcW w:w="100" w:type="dxa"/>
            <w:vAlign w:val="bottom"/>
          </w:tcPr>
          <w:p>
            <w:pPr>
              <w:spacing w:after="0"/>
              <w:rPr>
                <w:sz w:val="10"/>
                <w:szCs w:val="10"/>
                <w:color w:val="auto"/>
              </w:rPr>
            </w:pPr>
          </w:p>
        </w:tc>
        <w:tc>
          <w:tcPr>
            <w:tcW w:w="940" w:type="dxa"/>
            <w:vAlign w:val="bottom"/>
            <w:shd w:val="clear" w:color="auto" w:fill="B9E0EF"/>
          </w:tcPr>
          <w:p>
            <w:pPr>
              <w:spacing w:after="0"/>
              <w:rPr>
                <w:sz w:val="10"/>
                <w:szCs w:val="10"/>
                <w:color w:val="auto"/>
              </w:rPr>
            </w:pPr>
          </w:p>
        </w:tc>
        <w:tc>
          <w:tcPr>
            <w:tcW w:w="80" w:type="dxa"/>
            <w:vAlign w:val="bottom"/>
            <w:shd w:val="clear" w:color="auto" w:fill="B9E0EF"/>
          </w:tcPr>
          <w:p>
            <w:pPr>
              <w:spacing w:after="0"/>
              <w:rPr>
                <w:sz w:val="10"/>
                <w:szCs w:val="10"/>
                <w:color w:val="auto"/>
              </w:rPr>
            </w:pPr>
          </w:p>
        </w:tc>
        <w:tc>
          <w:tcPr>
            <w:tcW w:w="32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continue"/>
            <w:shd w:val="clear" w:color="auto" w:fill="B9E0EF"/>
          </w:tcPr>
          <w:p>
            <w:pPr>
              <w:spacing w:after="0"/>
              <w:rPr>
                <w:sz w:val="10"/>
                <w:szCs w:val="10"/>
                <w:color w:val="auto"/>
              </w:rPr>
            </w:pPr>
          </w:p>
        </w:tc>
        <w:tc>
          <w:tcPr>
            <w:tcW w:w="100" w:type="dxa"/>
            <w:vAlign w:val="bottom"/>
            <w:shd w:val="clear" w:color="auto" w:fill="B9E0EF"/>
          </w:tcPr>
          <w:p>
            <w:pPr>
              <w:spacing w:after="0"/>
              <w:rPr>
                <w:sz w:val="10"/>
                <w:szCs w:val="10"/>
                <w:color w:val="auto"/>
              </w:rPr>
            </w:pPr>
          </w:p>
        </w:tc>
        <w:tc>
          <w:tcPr>
            <w:tcW w:w="200" w:type="dxa"/>
            <w:vAlign w:val="bottom"/>
            <w:shd w:val="clear" w:color="auto" w:fill="B9E0EF"/>
          </w:tcPr>
          <w:p>
            <w:pPr>
              <w:spacing w:after="0"/>
              <w:rPr>
                <w:sz w:val="10"/>
                <w:szCs w:val="10"/>
                <w:color w:val="auto"/>
              </w:rPr>
            </w:pPr>
          </w:p>
        </w:tc>
        <w:tc>
          <w:tcPr>
            <w:tcW w:w="100" w:type="dxa"/>
            <w:vAlign w:val="bottom"/>
            <w:shd w:val="clear" w:color="auto" w:fill="B9E0EF"/>
          </w:tcPr>
          <w:p>
            <w:pPr>
              <w:spacing w:after="0"/>
              <w:rPr>
                <w:sz w:val="10"/>
                <w:szCs w:val="10"/>
                <w:color w:val="auto"/>
              </w:rPr>
            </w:pPr>
          </w:p>
        </w:tc>
        <w:tc>
          <w:tcPr>
            <w:tcW w:w="1140" w:type="dxa"/>
            <w:vAlign w:val="bottom"/>
            <w:vMerge w:val="continue"/>
            <w:shd w:val="clear" w:color="auto" w:fill="B9E0EF"/>
          </w:tcPr>
          <w:p>
            <w:pPr>
              <w:spacing w:after="0"/>
              <w:rPr>
                <w:sz w:val="10"/>
                <w:szCs w:val="10"/>
                <w:color w:val="auto"/>
              </w:rPr>
            </w:pPr>
          </w:p>
        </w:tc>
        <w:tc>
          <w:tcPr>
            <w:tcW w:w="100" w:type="dxa"/>
            <w:vAlign w:val="bottom"/>
            <w:shd w:val="clear" w:color="auto" w:fill="B9E0EF"/>
          </w:tcPr>
          <w:p>
            <w:pPr>
              <w:spacing w:after="0"/>
              <w:rPr>
                <w:sz w:val="10"/>
                <w:szCs w:val="10"/>
                <w:color w:val="auto"/>
              </w:rPr>
            </w:pPr>
          </w:p>
        </w:tc>
        <w:tc>
          <w:tcPr>
            <w:tcW w:w="10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continue"/>
            <w:shd w:val="clear" w:color="auto" w:fill="B9E0EF"/>
          </w:tcPr>
          <w:p>
            <w:pPr>
              <w:spacing w:after="0"/>
              <w:rPr>
                <w:sz w:val="10"/>
                <w:szCs w:val="10"/>
                <w:color w:val="auto"/>
              </w:rPr>
            </w:pPr>
          </w:p>
        </w:tc>
        <w:tc>
          <w:tcPr>
            <w:tcW w:w="120" w:type="dxa"/>
            <w:vAlign w:val="bottom"/>
            <w:tcBorders>
              <w:right w:val="single" w:sz="8" w:color="B9E0EF"/>
            </w:tcBorders>
            <w:shd w:val="clear" w:color="auto" w:fill="B9E0EF"/>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continue"/>
            <w:shd w:val="clear" w:color="auto" w:fill="B9E0EF"/>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000" w:type="dxa"/>
            <w:vAlign w:val="bottom"/>
            <w:vMerge w:val="continue"/>
            <w:shd w:val="clear" w:color="auto" w:fill="B9E0EF"/>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restart"/>
            <w:shd w:val="clear" w:color="auto" w:fill="F1F3F2"/>
          </w:tcPr>
          <w:p>
            <w:pPr>
              <w:ind w:left="340"/>
              <w:spacing w:after="0"/>
              <w:rPr>
                <w:sz w:val="20"/>
                <w:szCs w:val="20"/>
                <w:color w:val="auto"/>
              </w:rPr>
            </w:pPr>
            <w:r>
              <w:rPr>
                <w:rFonts w:ascii="Arial" w:cs="Arial" w:eastAsia="Arial" w:hAnsi="Arial"/>
                <w:sz w:val="14"/>
                <w:szCs w:val="14"/>
                <w:color w:val="auto"/>
              </w:rPr>
              <w:t>12 months</w:t>
            </w:r>
          </w:p>
        </w:tc>
        <w:tc>
          <w:tcPr>
            <w:tcW w:w="320" w:type="dxa"/>
            <w:vAlign w:val="bottom"/>
            <w:shd w:val="clear" w:color="auto" w:fill="F1F3F2"/>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restart"/>
            <w:shd w:val="clear" w:color="auto" w:fill="F1F3F2"/>
          </w:tcPr>
          <w:p>
            <w:pPr>
              <w:jc w:val="center"/>
              <w:ind w:left="229"/>
              <w:spacing w:after="0"/>
              <w:rPr>
                <w:sz w:val="20"/>
                <w:szCs w:val="20"/>
                <w:color w:val="auto"/>
              </w:rPr>
            </w:pPr>
            <w:r>
              <w:rPr>
                <w:rFonts w:ascii="Arial" w:cs="Arial" w:eastAsia="Arial" w:hAnsi="Arial"/>
                <w:sz w:val="14"/>
                <w:szCs w:val="14"/>
                <w:color w:val="auto"/>
                <w:w w:val="96"/>
              </w:rPr>
              <w:t>0.869</w:t>
            </w:r>
          </w:p>
        </w:tc>
        <w:tc>
          <w:tcPr>
            <w:tcW w:w="100" w:type="dxa"/>
            <w:vAlign w:val="bottom"/>
            <w:shd w:val="clear" w:color="auto" w:fill="F1F3F2"/>
          </w:tcPr>
          <w:p>
            <w:pPr>
              <w:spacing w:after="0"/>
              <w:rPr>
                <w:sz w:val="6"/>
                <w:szCs w:val="6"/>
                <w:color w:val="auto"/>
              </w:rPr>
            </w:pPr>
          </w:p>
        </w:tc>
        <w:tc>
          <w:tcPr>
            <w:tcW w:w="200" w:type="dxa"/>
            <w:vAlign w:val="bottom"/>
            <w:shd w:val="clear" w:color="auto" w:fill="F1F3F2"/>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restart"/>
            <w:shd w:val="clear" w:color="auto" w:fill="F1F3F2"/>
          </w:tcPr>
          <w:p>
            <w:pPr>
              <w:jc w:val="center"/>
              <w:ind w:left="149"/>
              <w:spacing w:after="0"/>
              <w:rPr>
                <w:sz w:val="20"/>
                <w:szCs w:val="20"/>
                <w:color w:val="auto"/>
              </w:rPr>
            </w:pPr>
            <w:r>
              <w:rPr>
                <w:rFonts w:ascii="Arial" w:cs="Arial" w:eastAsia="Arial" w:hAnsi="Arial"/>
                <w:sz w:val="14"/>
                <w:szCs w:val="14"/>
                <w:color w:val="auto"/>
              </w:rPr>
              <w:t>(0.528, 1.431)</w:t>
            </w:r>
          </w:p>
        </w:tc>
        <w:tc>
          <w:tcPr>
            <w:tcW w:w="100" w:type="dxa"/>
            <w:vAlign w:val="bottom"/>
            <w:shd w:val="clear" w:color="auto" w:fill="F1F3F2"/>
          </w:tcPr>
          <w:p>
            <w:pPr>
              <w:spacing w:after="0"/>
              <w:rPr>
                <w:sz w:val="6"/>
                <w:szCs w:val="6"/>
                <w:color w:val="auto"/>
              </w:rPr>
            </w:pPr>
          </w:p>
        </w:tc>
        <w:tc>
          <w:tcPr>
            <w:tcW w:w="100" w:type="dxa"/>
            <w:vAlign w:val="bottom"/>
            <w:shd w:val="clear" w:color="auto" w:fill="F1F3F2"/>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vMerge w:val="restart"/>
            <w:shd w:val="clear" w:color="auto" w:fill="F1F3F2"/>
          </w:tcPr>
          <w:p>
            <w:pPr>
              <w:jc w:val="center"/>
              <w:ind w:left="29"/>
              <w:spacing w:after="0"/>
              <w:rPr>
                <w:sz w:val="20"/>
                <w:szCs w:val="20"/>
                <w:color w:val="auto"/>
              </w:rPr>
            </w:pPr>
            <w:r>
              <w:rPr>
                <w:rFonts w:ascii="Arial" w:cs="Arial" w:eastAsia="Arial" w:hAnsi="Arial"/>
                <w:sz w:val="14"/>
                <w:szCs w:val="14"/>
                <w:color w:val="auto"/>
              </w:rPr>
              <w:t>1.491</w:t>
            </w:r>
          </w:p>
        </w:tc>
        <w:tc>
          <w:tcPr>
            <w:tcW w:w="120" w:type="dxa"/>
            <w:vAlign w:val="bottom"/>
            <w:tcBorders>
              <w:right w:val="single" w:sz="8" w:color="F1F3F2"/>
            </w:tcBorders>
            <w:shd w:val="clear" w:color="auto" w:fill="F1F3F2"/>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vMerge w:val="restart"/>
            <w:shd w:val="clear" w:color="auto" w:fill="F1F3F2"/>
          </w:tcPr>
          <w:p>
            <w:pPr>
              <w:jc w:val="center"/>
              <w:ind w:left="149"/>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124"/>
        </w:trPr>
        <w:tc>
          <w:tcPr>
            <w:tcW w:w="400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shd w:val="clear" w:color="auto" w:fill="F1F3F2"/>
          </w:tcPr>
          <w:p>
            <w:pPr>
              <w:spacing w:after="0"/>
              <w:rPr>
                <w:sz w:val="10"/>
                <w:szCs w:val="10"/>
                <w:color w:val="auto"/>
              </w:rPr>
            </w:pPr>
          </w:p>
        </w:tc>
        <w:tc>
          <w:tcPr>
            <w:tcW w:w="320" w:type="dxa"/>
            <w:vAlign w:val="bottom"/>
            <w:shd w:val="clear" w:color="auto" w:fill="F1F3F2"/>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continue"/>
            <w:shd w:val="clear" w:color="auto" w:fill="F1F3F2"/>
          </w:tcPr>
          <w:p>
            <w:pPr>
              <w:spacing w:after="0"/>
              <w:rPr>
                <w:sz w:val="10"/>
                <w:szCs w:val="10"/>
                <w:color w:val="auto"/>
              </w:rPr>
            </w:pPr>
          </w:p>
        </w:tc>
        <w:tc>
          <w:tcPr>
            <w:tcW w:w="300" w:type="dxa"/>
            <w:vAlign w:val="bottom"/>
            <w:gridSpan w:val="2"/>
            <w:shd w:val="clear" w:color="auto" w:fill="F1F3F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shd w:val="clear" w:color="auto" w:fill="F1F3F2"/>
          </w:tcPr>
          <w:p>
            <w:pPr>
              <w:spacing w:after="0"/>
              <w:rPr>
                <w:sz w:val="10"/>
                <w:szCs w:val="10"/>
                <w:color w:val="auto"/>
              </w:rPr>
            </w:pPr>
          </w:p>
        </w:tc>
        <w:tc>
          <w:tcPr>
            <w:tcW w:w="200" w:type="dxa"/>
            <w:vAlign w:val="bottom"/>
            <w:gridSpan w:val="2"/>
            <w:shd w:val="clear" w:color="auto" w:fill="F1F3F2"/>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continue"/>
            <w:shd w:val="clear" w:color="auto" w:fill="F1F3F2"/>
          </w:tcPr>
          <w:p>
            <w:pPr>
              <w:spacing w:after="0"/>
              <w:rPr>
                <w:sz w:val="10"/>
                <w:szCs w:val="10"/>
                <w:color w:val="auto"/>
              </w:rPr>
            </w:pPr>
          </w:p>
        </w:tc>
        <w:tc>
          <w:tcPr>
            <w:tcW w:w="120" w:type="dxa"/>
            <w:vAlign w:val="bottom"/>
            <w:tcBorders>
              <w:right w:val="single" w:sz="8" w:color="F1F3F2"/>
            </w:tcBorders>
            <w:shd w:val="clear" w:color="auto" w:fill="F1F3F2"/>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continue"/>
            <w:shd w:val="clear" w:color="auto" w:fill="F1F3F2"/>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4000" w:type="dxa"/>
            <w:vAlign w:val="bottom"/>
            <w:shd w:val="clear" w:color="auto" w:fill="B9E0EF"/>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shd w:val="clear" w:color="auto" w:fill="F1F3F2"/>
          </w:tcPr>
          <w:p>
            <w:pPr>
              <w:ind w:left="340"/>
              <w:spacing w:after="0"/>
              <w:rPr>
                <w:sz w:val="20"/>
                <w:szCs w:val="20"/>
                <w:color w:val="auto"/>
              </w:rPr>
            </w:pPr>
            <w:r>
              <w:rPr>
                <w:rFonts w:ascii="Arial" w:cs="Arial" w:eastAsia="Arial" w:hAnsi="Arial"/>
                <w:sz w:val="14"/>
                <w:szCs w:val="14"/>
                <w:color w:val="auto"/>
              </w:rPr>
              <w:t>24 months</w:t>
            </w:r>
          </w:p>
        </w:tc>
        <w:tc>
          <w:tcPr>
            <w:tcW w:w="320" w:type="dxa"/>
            <w:vAlign w:val="bottom"/>
            <w:shd w:val="clear" w:color="auto" w:fill="F1F3F2"/>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shd w:val="clear" w:color="auto" w:fill="F1F3F2"/>
          </w:tcPr>
          <w:p>
            <w:pPr>
              <w:jc w:val="center"/>
              <w:ind w:left="229"/>
              <w:spacing w:after="0"/>
              <w:rPr>
                <w:sz w:val="20"/>
                <w:szCs w:val="20"/>
                <w:color w:val="auto"/>
              </w:rPr>
            </w:pPr>
            <w:r>
              <w:rPr>
                <w:rFonts w:ascii="Arial" w:cs="Arial" w:eastAsia="Arial" w:hAnsi="Arial"/>
                <w:sz w:val="14"/>
                <w:szCs w:val="14"/>
                <w:color w:val="auto"/>
                <w:w w:val="96"/>
              </w:rPr>
              <w:t>1.284</w:t>
            </w:r>
          </w:p>
        </w:tc>
        <w:tc>
          <w:tcPr>
            <w:tcW w:w="300" w:type="dxa"/>
            <w:vAlign w:val="bottom"/>
            <w:gridSpan w:val="2"/>
            <w:shd w:val="clear" w:color="auto" w:fill="F1F3F2"/>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shd w:val="clear" w:color="auto" w:fill="F1F3F2"/>
          </w:tcPr>
          <w:p>
            <w:pPr>
              <w:jc w:val="center"/>
              <w:ind w:left="149"/>
              <w:spacing w:after="0"/>
              <w:rPr>
                <w:sz w:val="20"/>
                <w:szCs w:val="20"/>
                <w:color w:val="auto"/>
              </w:rPr>
            </w:pPr>
            <w:r>
              <w:rPr>
                <w:rFonts w:ascii="Arial" w:cs="Arial" w:eastAsia="Arial" w:hAnsi="Arial"/>
                <w:sz w:val="14"/>
                <w:szCs w:val="14"/>
                <w:color w:val="auto"/>
              </w:rPr>
              <w:t>(0.867, 1.903)</w:t>
            </w:r>
          </w:p>
        </w:tc>
        <w:tc>
          <w:tcPr>
            <w:tcW w:w="200" w:type="dxa"/>
            <w:vAlign w:val="bottom"/>
            <w:gridSpan w:val="2"/>
            <w:shd w:val="clear" w:color="auto" w:fill="F1F3F2"/>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shd w:val="clear" w:color="auto" w:fill="F1F3F2"/>
          </w:tcPr>
          <w:p>
            <w:pPr>
              <w:jc w:val="center"/>
              <w:ind w:left="29"/>
              <w:spacing w:after="0"/>
              <w:rPr>
                <w:sz w:val="20"/>
                <w:szCs w:val="20"/>
                <w:color w:val="auto"/>
              </w:rPr>
            </w:pPr>
            <w:r>
              <w:rPr>
                <w:rFonts w:ascii="Arial" w:cs="Arial" w:eastAsia="Arial" w:hAnsi="Arial"/>
                <w:sz w:val="14"/>
                <w:szCs w:val="14"/>
                <w:color w:val="auto"/>
              </w:rPr>
              <w:t>1.488</w:t>
            </w:r>
          </w:p>
        </w:tc>
        <w:tc>
          <w:tcPr>
            <w:tcW w:w="120" w:type="dxa"/>
            <w:vAlign w:val="bottom"/>
            <w:tcBorders>
              <w:right w:val="single" w:sz="8" w:color="F1F3F2"/>
            </w:tcBorders>
            <w:shd w:val="clear" w:color="auto" w:fill="F1F3F2"/>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shd w:val="clear" w:color="auto" w:fill="F1F3F2"/>
          </w:tcPr>
          <w:p>
            <w:pPr>
              <w:jc w:val="center"/>
              <w:ind w:left="12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3457575</wp:posOffset>
            </wp:positionH>
            <wp:positionV relativeFrom="paragraph">
              <wp:posOffset>-1134110</wp:posOffset>
            </wp:positionV>
            <wp:extent cx="3743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743325" cy="825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-1268095</wp:posOffset>
            </wp:positionV>
            <wp:extent cx="3743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4332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-806450</wp:posOffset>
            </wp:positionV>
            <wp:extent cx="6995160" cy="815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15340"/>
                    </a:xfrm>
                    <a:prstGeom prst="rect">
                      <a:avLst/>
                    </a:prstGeom>
                    <a:noFill/>
                  </pic:spPr>
                </pic:pic>
              </a:graphicData>
            </a:graphic>
          </wp:anchor>
        </w:drawing>
      </w:r>
    </w:p>
    <w:p>
      <w:pPr>
        <w:spacing w:after="0" w:line="2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231F20"/>
        </w:rPr>
        <w:t>Phase 3 V006 HUMANITY trial rates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125095</wp:posOffset>
            </wp:positionV>
            <wp:extent cx="5344795" cy="2117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4795"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293"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8"/>
          <w:szCs w:val="18"/>
          <w:color w:val="231F20"/>
        </w:rPr>
        <w:t>The reported SAEs related to the ATEV and ePTFE in the V006 trial, in this patient population, which typically has a high prevalence of existing medical conditions, are detailed in the table below.</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SAEs Reported in V006 Phase 3 Clinical Study in AV Access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SAE</w:t>
            </w:r>
          </w:p>
        </w:tc>
        <w:tc>
          <w:tcPr>
            <w:tcW w:w="206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Number of SAEs</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200" w:type="dxa"/>
            <w:vAlign w:val="bottom"/>
            <w:gridSpan w:val="2"/>
            <w:vMerge w:val="continue"/>
          </w:tcPr>
          <w:p>
            <w:pPr>
              <w:spacing w:after="0"/>
              <w:rPr>
                <w:sz w:val="16"/>
                <w:szCs w:val="16"/>
                <w:color w:val="auto"/>
              </w:rPr>
            </w:pPr>
          </w:p>
        </w:tc>
        <w:tc>
          <w:tcPr>
            <w:tcW w:w="304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 of total subjects)</w:t>
            </w:r>
          </w:p>
        </w:tc>
        <w:tc>
          <w:tcPr>
            <w:tcW w:w="0" w:type="dxa"/>
            <w:vAlign w:val="bottom"/>
          </w:tcPr>
          <w:p>
            <w:pPr>
              <w:spacing w:after="0"/>
              <w:rPr>
                <w:sz w:val="1"/>
                <w:szCs w:val="1"/>
                <w:color w:val="auto"/>
              </w:rPr>
            </w:pPr>
          </w:p>
        </w:tc>
      </w:tr>
      <w:tr>
        <w:trPr>
          <w:trHeight w:val="191"/>
        </w:trPr>
        <w:tc>
          <w:tcPr>
            <w:tcW w:w="8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top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231F20"/>
              </w:rPr>
              <w:t>ATEV</w:t>
            </w:r>
          </w:p>
        </w:tc>
        <w:tc>
          <w:tcPr>
            <w:tcW w:w="98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ePTFE</w:t>
            </w:r>
          </w:p>
        </w:tc>
        <w:tc>
          <w:tcPr>
            <w:tcW w:w="0" w:type="dxa"/>
            <w:vAlign w:val="bottom"/>
          </w:tcPr>
          <w:p>
            <w:pPr>
              <w:spacing w:after="0"/>
              <w:rPr>
                <w:sz w:val="1"/>
                <w:szCs w:val="1"/>
                <w:color w:val="auto"/>
              </w:rPr>
            </w:pPr>
          </w:p>
        </w:tc>
      </w:tr>
      <w:tr>
        <w:trPr>
          <w:trHeight w:val="225"/>
        </w:trPr>
        <w:tc>
          <w:tcPr>
            <w:tcW w:w="8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subjects in V006 study</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5"/>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disorders and administration conditions: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Implant site extravasation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5"/>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Infections and infestations: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infection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25"/>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Injury, poisoning and procedural complications: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Anastomotic stenosis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5"/>
        </w:trPr>
        <w:tc>
          <w:tcPr>
            <w:tcW w:w="8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Vascular access site hematomas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5"/>
        </w:trPr>
        <w:tc>
          <w:tcPr>
            <w:tcW w:w="8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hemorrhage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5"/>
        </w:trPr>
        <w:tc>
          <w:tcPr>
            <w:tcW w:w="8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Vascular access site pain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5"/>
        </w:trPr>
        <w:tc>
          <w:tcPr>
            <w:tcW w:w="8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pseudoaneurysm</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5"/>
        </w:trPr>
        <w:tc>
          <w:tcPr>
            <w:tcW w:w="8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Vascular access site rupture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5"/>
        </w:trPr>
        <w:tc>
          <w:tcPr>
            <w:tcW w:w="8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thrombosis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28(15.7)%</w:t>
            </w:r>
          </w:p>
        </w:tc>
        <w:tc>
          <w:tcPr>
            <w:tcW w:w="0" w:type="dxa"/>
            <w:vAlign w:val="bottom"/>
          </w:tcPr>
          <w:p>
            <w:pPr>
              <w:spacing w:after="0"/>
              <w:rPr>
                <w:sz w:val="1"/>
                <w:szCs w:val="1"/>
                <w:color w:val="auto"/>
              </w:rPr>
            </w:pPr>
          </w:p>
        </w:tc>
      </w:tr>
      <w:tr>
        <w:trPr>
          <w:trHeight w:val="225"/>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Skin and subcutaneous tissue disorders: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Skin necrosis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5"/>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Vascular disorders: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Steal syndrome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5"/>
        </w:trPr>
        <w:tc>
          <w:tcPr>
            <w:tcW w:w="8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Subclavian vein occlusion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5"/>
        </w:trPr>
        <w:tc>
          <w:tcPr>
            <w:tcW w:w="8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stenosis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0" w:type="dxa"/>
            <w:vAlign w:val="bottom"/>
          </w:tcPr>
          <w:p>
            <w:pPr>
              <w:spacing w:after="0"/>
              <w:rPr>
                <w:sz w:val="1"/>
                <w:szCs w:val="1"/>
                <w:color w:val="auto"/>
              </w:rPr>
            </w:pPr>
          </w:p>
        </w:tc>
      </w:tr>
      <w:tr>
        <w:trPr>
          <w:trHeight w:val="229"/>
        </w:trPr>
        <w:tc>
          <w:tcPr>
            <w:tcW w:w="8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Venous stenosis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Overall, although the primary efficacy endpoint concerning secondary patency was not met, the ATEV performed in the V006 trial as was expected, based upon ATEV performance in previous Phase 2 trials in hemodialysis and in other clinical applications. This outcome was due at least in part to unexpectedly high patency of the ePTFE grafts, particularly after 12 months. While the cause of this unexpectedly high patency is not clear, it is possible that study-mandated ultrasounds and examinations may have led to more aggressive vigilance with ePTFE grafts to maintain patency. In addition, the age and comorbidities of ATEV subjects in V006 was somewhat worse than for ePTFE subjects.</w:t>
      </w:r>
    </w:p>
    <w:p>
      <w:pPr>
        <w:spacing w:after="0" w:line="148" w:lineRule="exact"/>
        <w:rPr>
          <w:sz w:val="20"/>
          <w:szCs w:val="20"/>
          <w:color w:val="auto"/>
        </w:rPr>
      </w:pPr>
    </w:p>
    <w:p>
      <w:pPr>
        <w:ind w:right="140" w:firstLine="318"/>
        <w:spacing w:after="0" w:line="254" w:lineRule="auto"/>
        <w:rPr>
          <w:sz w:val="20"/>
          <w:szCs w:val="20"/>
          <w:color w:val="auto"/>
        </w:rPr>
      </w:pPr>
      <w:r>
        <w:rPr>
          <w:rFonts w:ascii="Times New Roman" w:cs="Times New Roman" w:eastAsia="Times New Roman" w:hAnsi="Times New Roman"/>
          <w:sz w:val="18"/>
          <w:szCs w:val="18"/>
          <w:color w:val="231F20"/>
        </w:rPr>
        <w:t>In the V006 trial, the ATEV displayed significantly fewer infections than did the ePTFE grafts. This was associated with fewer instances of immune sensitization in ATEV subjects as compared to ePTFE subjects, which could translate to easier kidney transplantation at future times. Similar to prior studies, we observed that the ATEV had good durability, blood flow rates and diameters similar to ePTFE grafts, and also host cell remodelling that was superior to that of ePTFE grafts.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Phase 3 V007 AV Access Study</w:t>
      </w:r>
    </w:p>
    <w:p>
      <w:pPr>
        <w:spacing w:after="0" w:line="175"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In April 2023 we completed enrollment of a Phase 3 trial, called V007, in 242 patients with ESRD. V007 is a Phase 3, prospective, multi-center, open label, randomized, two-arm comparative study conducted in the United States. The V007 trial is designed to assess the usability of the ATEV for dialysis at six and 12 months as a comparison to autogenous fistulas, which are known to exhibit a high rate of early maturation failure of approximately 40% at six months. Patients in the study are randomized to receive either the ATEV for vascular access or an autogenous AV fistula. The objective of V007 is to compare the safety and efficacy of our 6 millimeter ATEV to autogenous AV fistula for functional hemodialysis access.</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0" w:firstLine="318"/>
        <w:spacing w:after="0" w:line="280" w:lineRule="auto"/>
        <w:rPr>
          <w:sz w:val="20"/>
          <w:szCs w:val="20"/>
          <w:color w:val="auto"/>
        </w:rPr>
      </w:pPr>
      <w:r>
        <w:rPr>
          <w:rFonts w:ascii="Times New Roman" w:cs="Times New Roman" w:eastAsia="Times New Roman" w:hAnsi="Times New Roman"/>
          <w:sz w:val="17"/>
          <w:szCs w:val="17"/>
          <w:color w:val="231F20"/>
        </w:rPr>
        <w:t>Eligible study subjects in V007 are randomized to receive either an ATEV or an autogenous fistula and followed to 24 months post-implantation by routine study visits. Efficacy endpoints include useability for dialysis at six and 12 months, as well as a comparison of secondary patency via a time-to-event analysis of all subjects at 12 months. Additional safety endpoints include the rate of dialysis access-related infections for ATEV and fistula subjects.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231F20"/>
        </w:rPr>
        <w:t xml:space="preserve">One-Year Results: </w:t>
      </w:r>
      <w:r>
        <w:rPr>
          <w:rFonts w:ascii="Times New Roman" w:cs="Times New Roman" w:eastAsia="Times New Roman" w:hAnsi="Times New Roman"/>
          <w:sz w:val="18"/>
          <w:szCs w:val="18"/>
          <w:color w:val="231F20"/>
        </w:rPr>
        <w:t>As of December 31, 2024, there were 242 patients enrolled in the V007 trial, and enrollment was completed in April 2023.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Demographics of the patients enrolled in V007 are summarized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100" w:type="dxa"/>
            <w:vAlign w:val="bottom"/>
          </w:tcPr>
          <w:p>
            <w:pPr>
              <w:spacing w:after="0"/>
              <w:rPr>
                <w:sz w:val="20"/>
                <w:szCs w:val="20"/>
                <w:color w:val="auto"/>
              </w:rPr>
            </w:pPr>
          </w:p>
        </w:tc>
        <w:tc>
          <w:tcPr>
            <w:tcW w:w="6540" w:type="dxa"/>
            <w:vAlign w:val="bottom"/>
            <w:gridSpan w:val="3"/>
          </w:tcPr>
          <w:p>
            <w:pPr>
              <w:ind w:left="1060"/>
              <w:spacing w:after="0"/>
              <w:rPr>
                <w:sz w:val="20"/>
                <w:szCs w:val="20"/>
                <w:color w:val="auto"/>
              </w:rPr>
            </w:pPr>
            <w:r>
              <w:rPr>
                <w:rFonts w:ascii="Times New Roman" w:cs="Times New Roman" w:eastAsia="Times New Roman" w:hAnsi="Times New Roman"/>
                <w:sz w:val="18"/>
                <w:szCs w:val="18"/>
                <w:i w:val="1"/>
                <w:iCs w:val="1"/>
                <w:color w:val="231F20"/>
              </w:rPr>
              <w:t>Phase 3 V007 trial subject demographics</w:t>
            </w: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7"/>
        </w:trPr>
        <w:tc>
          <w:tcPr>
            <w:tcW w:w="31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ATEV (N=123)</w:t>
            </w: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AVF (N=119)</w:t>
            </w:r>
          </w:p>
        </w:tc>
      </w:tr>
      <w:tr>
        <w:trPr>
          <w:trHeight w:val="27"/>
        </w:trPr>
        <w:tc>
          <w:tcPr>
            <w:tcW w:w="310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ITT Set</w:t>
            </w:r>
          </w:p>
        </w:tc>
        <w:tc>
          <w:tcPr>
            <w:tcW w:w="484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123</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40" w:type="dxa"/>
            <w:vAlign w:val="bottom"/>
            <w:shd w:val="clear" w:color="auto" w:fill="CCEEFF"/>
          </w:tcPr>
          <w:p>
            <w:pPr>
              <w:jc w:val="center"/>
              <w:ind w:right="552"/>
              <w:spacing w:after="0"/>
              <w:rPr>
                <w:sz w:val="20"/>
                <w:szCs w:val="20"/>
                <w:color w:val="auto"/>
              </w:rPr>
            </w:pPr>
            <w:r>
              <w:rPr>
                <w:rFonts w:ascii="Times New Roman" w:cs="Times New Roman" w:eastAsia="Times New Roman" w:hAnsi="Times New Roman"/>
                <w:sz w:val="18"/>
                <w:szCs w:val="18"/>
                <w:color w:val="auto"/>
                <w:w w:val="96"/>
              </w:rPr>
              <w:t>119</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 Set*</w:t>
            </w:r>
          </w:p>
        </w:tc>
        <w:tc>
          <w:tcPr>
            <w:tcW w:w="6440" w:type="dxa"/>
            <w:vAlign w:val="bottom"/>
            <w:gridSpan w:val="2"/>
          </w:tcPr>
          <w:p>
            <w:pPr>
              <w:jc w:val="center"/>
              <w:ind w:left="4772"/>
              <w:spacing w:after="0"/>
              <w:rPr>
                <w:sz w:val="20"/>
                <w:szCs w:val="20"/>
                <w:color w:val="auto"/>
              </w:rPr>
            </w:pPr>
            <w:r>
              <w:rPr>
                <w:rFonts w:ascii="Times New Roman" w:cs="Times New Roman" w:eastAsia="Times New Roman" w:hAnsi="Times New Roman"/>
                <w:sz w:val="18"/>
                <w:szCs w:val="18"/>
                <w:color w:val="auto"/>
                <w:w w:val="96"/>
              </w:rPr>
              <w:t>121 (98%)</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r>
      <w:tr>
        <w:trPr>
          <w:trHeight w:val="22"/>
        </w:trPr>
        <w:tc>
          <w:tcPr>
            <w:tcW w:w="31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1"/>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Females</w:t>
            </w:r>
          </w:p>
        </w:tc>
        <w:tc>
          <w:tcPr>
            <w:tcW w:w="6440" w:type="dxa"/>
            <w:vAlign w:val="bottom"/>
            <w:tcBorders>
              <w:bottom w:val="single" w:sz="8" w:color="CCEEFF"/>
            </w:tcBorders>
            <w:gridSpan w:val="2"/>
            <w:shd w:val="clear" w:color="auto" w:fill="CCEEFF"/>
          </w:tcPr>
          <w:p>
            <w:pPr>
              <w:jc w:val="center"/>
              <w:ind w:left="4772"/>
              <w:spacing w:after="0"/>
              <w:rPr>
                <w:sz w:val="20"/>
                <w:szCs w:val="20"/>
                <w:color w:val="auto"/>
              </w:rPr>
            </w:pPr>
            <w:r>
              <w:rPr>
                <w:rFonts w:ascii="Times New Roman" w:cs="Times New Roman" w:eastAsia="Times New Roman" w:hAnsi="Times New Roman"/>
                <w:sz w:val="18"/>
                <w:szCs w:val="18"/>
                <w:color w:val="auto"/>
                <w:w w:val="97"/>
              </w:rPr>
              <w:t>37 (30%)</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Whites</w:t>
            </w:r>
          </w:p>
        </w:tc>
        <w:tc>
          <w:tcPr>
            <w:tcW w:w="6440" w:type="dxa"/>
            <w:vAlign w:val="bottom"/>
            <w:gridSpan w:val="2"/>
          </w:tcPr>
          <w:p>
            <w:pPr>
              <w:jc w:val="center"/>
              <w:ind w:left="4772"/>
              <w:spacing w:after="0"/>
              <w:rPr>
                <w:sz w:val="20"/>
                <w:szCs w:val="20"/>
                <w:color w:val="auto"/>
              </w:rPr>
            </w:pPr>
            <w:r>
              <w:rPr>
                <w:rFonts w:ascii="Times New Roman" w:cs="Times New Roman" w:eastAsia="Times New Roman" w:hAnsi="Times New Roman"/>
                <w:sz w:val="18"/>
                <w:szCs w:val="18"/>
                <w:color w:val="auto"/>
                <w:w w:val="97"/>
              </w:rPr>
              <w:t>73 (59%)</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(72%)</w:t>
            </w:r>
          </w:p>
        </w:tc>
      </w:tr>
      <w:tr>
        <w:trPr>
          <w:trHeight w:val="22"/>
        </w:trPr>
        <w:tc>
          <w:tcPr>
            <w:tcW w:w="31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231"/>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 mean (min, max)</w:t>
            </w:r>
          </w:p>
        </w:tc>
        <w:tc>
          <w:tcPr>
            <w:tcW w:w="6440" w:type="dxa"/>
            <w:vAlign w:val="bottom"/>
            <w:tcBorders>
              <w:bottom w:val="single" w:sz="8" w:color="CCEEFF"/>
            </w:tcBorders>
            <w:gridSpan w:val="2"/>
            <w:shd w:val="clear" w:color="auto" w:fill="CCEEFF"/>
          </w:tcPr>
          <w:p>
            <w:pPr>
              <w:jc w:val="center"/>
              <w:ind w:left="4772"/>
              <w:spacing w:after="0"/>
              <w:rPr>
                <w:sz w:val="20"/>
                <w:szCs w:val="20"/>
                <w:color w:val="auto"/>
              </w:rPr>
            </w:pPr>
            <w:r>
              <w:rPr>
                <w:rFonts w:ascii="Times New Roman" w:cs="Times New Roman" w:eastAsia="Times New Roman" w:hAnsi="Times New Roman"/>
                <w:sz w:val="18"/>
                <w:szCs w:val="18"/>
                <w:color w:val="auto"/>
                <w:w w:val="96"/>
              </w:rPr>
              <w:t>57.1 (24, 82)</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60.1 (21, 87)</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 ≥ 65</w:t>
            </w:r>
          </w:p>
        </w:tc>
        <w:tc>
          <w:tcPr>
            <w:tcW w:w="6440" w:type="dxa"/>
            <w:vAlign w:val="bottom"/>
            <w:gridSpan w:val="2"/>
          </w:tcPr>
          <w:p>
            <w:pPr>
              <w:jc w:val="center"/>
              <w:ind w:left="4772"/>
              <w:spacing w:after="0"/>
              <w:rPr>
                <w:sz w:val="20"/>
                <w:szCs w:val="20"/>
                <w:color w:val="auto"/>
              </w:rPr>
            </w:pPr>
            <w:r>
              <w:rPr>
                <w:rFonts w:ascii="Times New Roman" w:cs="Times New Roman" w:eastAsia="Times New Roman" w:hAnsi="Times New Roman"/>
                <w:sz w:val="18"/>
                <w:szCs w:val="18"/>
                <w:color w:val="auto"/>
                <w:w w:val="97"/>
              </w:rPr>
              <w:t>43 (35%)</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(37%)</w:t>
            </w:r>
          </w:p>
        </w:tc>
      </w:tr>
      <w:tr>
        <w:trPr>
          <w:trHeight w:val="22"/>
        </w:trPr>
        <w:tc>
          <w:tcPr>
            <w:tcW w:w="31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1"/>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BMI ≥ 30</w:t>
            </w:r>
          </w:p>
        </w:tc>
        <w:tc>
          <w:tcPr>
            <w:tcW w:w="6440" w:type="dxa"/>
            <w:vAlign w:val="bottom"/>
            <w:tcBorders>
              <w:bottom w:val="single" w:sz="8" w:color="CCEEFF"/>
            </w:tcBorders>
            <w:gridSpan w:val="2"/>
            <w:shd w:val="clear" w:color="auto" w:fill="CCEEFF"/>
          </w:tcPr>
          <w:p>
            <w:pPr>
              <w:jc w:val="center"/>
              <w:ind w:left="4772"/>
              <w:spacing w:after="0"/>
              <w:rPr>
                <w:sz w:val="20"/>
                <w:szCs w:val="20"/>
                <w:color w:val="auto"/>
              </w:rPr>
            </w:pPr>
            <w:r>
              <w:rPr>
                <w:rFonts w:ascii="Times New Roman" w:cs="Times New Roman" w:eastAsia="Times New Roman" w:hAnsi="Times New Roman"/>
                <w:sz w:val="18"/>
                <w:szCs w:val="18"/>
                <w:color w:val="auto"/>
                <w:w w:val="97"/>
              </w:rPr>
              <w:t>52 (42%)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BMI mean value (min, max)</w:t>
            </w:r>
          </w:p>
        </w:tc>
        <w:tc>
          <w:tcPr>
            <w:tcW w:w="6440" w:type="dxa"/>
            <w:vAlign w:val="bottom"/>
            <w:gridSpan w:val="2"/>
          </w:tcPr>
          <w:p>
            <w:pPr>
              <w:jc w:val="center"/>
              <w:ind w:left="4772"/>
              <w:spacing w:after="0"/>
              <w:rPr>
                <w:sz w:val="20"/>
                <w:szCs w:val="20"/>
                <w:color w:val="auto"/>
              </w:rPr>
            </w:pPr>
            <w:r>
              <w:rPr>
                <w:rFonts w:ascii="Times New Roman" w:cs="Times New Roman" w:eastAsia="Times New Roman" w:hAnsi="Times New Roman"/>
                <w:sz w:val="18"/>
                <w:szCs w:val="18"/>
                <w:color w:val="auto"/>
                <w:w w:val="96"/>
              </w:rPr>
              <w:t>30.2 (19, 49)</w:t>
            </w:r>
          </w:p>
        </w:tc>
        <w:tc>
          <w:tcPr>
            <w:tcW w:w="100" w:type="dxa"/>
            <w:vAlign w:val="bottom"/>
          </w:tcPr>
          <w:p>
            <w:pPr>
              <w:spacing w:after="0"/>
              <w:rPr>
                <w:sz w:val="19"/>
                <w:szCs w:val="19"/>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29.1(17, 49)</w:t>
            </w:r>
          </w:p>
        </w:tc>
      </w:tr>
      <w:tr>
        <w:trPr>
          <w:trHeight w:val="22"/>
        </w:trPr>
        <w:tc>
          <w:tcPr>
            <w:tcW w:w="31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29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History of Diabetes</w:t>
            </w:r>
          </w:p>
        </w:tc>
        <w:tc>
          <w:tcPr>
            <w:tcW w:w="6440" w:type="dxa"/>
            <w:vAlign w:val="bottom"/>
            <w:gridSpan w:val="2"/>
            <w:shd w:val="clear" w:color="auto" w:fill="CCEEFF"/>
          </w:tcPr>
          <w:p>
            <w:pPr>
              <w:jc w:val="center"/>
              <w:ind w:left="4772"/>
              <w:spacing w:after="0"/>
              <w:rPr>
                <w:sz w:val="20"/>
                <w:szCs w:val="20"/>
                <w:color w:val="auto"/>
              </w:rPr>
            </w:pPr>
            <w:r>
              <w:rPr>
                <w:rFonts w:ascii="Times New Roman" w:cs="Times New Roman" w:eastAsia="Times New Roman" w:hAnsi="Times New Roman"/>
                <w:sz w:val="18"/>
                <w:szCs w:val="18"/>
                <w:color w:val="auto"/>
                <w:w w:val="98"/>
              </w:rPr>
              <w:t>82 (67</w:t>
            </w:r>
            <w:r>
              <w:rPr>
                <w:rFonts w:ascii="Times New Roman" w:cs="Times New Roman" w:eastAsia="Times New Roman" w:hAnsi="Times New Roman"/>
                <w:sz w:val="21"/>
                <w:szCs w:val="21"/>
                <w:color w:val="auto"/>
                <w:w w:val="98"/>
              </w:rPr>
              <w:t>%)</w:t>
            </w:r>
          </w:p>
        </w:tc>
        <w:tc>
          <w:tcPr>
            <w:tcW w:w="10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83 (70</w:t>
            </w:r>
            <w:r>
              <w:rPr>
                <w:rFonts w:ascii="Times New Roman" w:cs="Times New Roman" w:eastAsia="Times New Roman" w:hAnsi="Times New Roman"/>
                <w:sz w:val="21"/>
                <w:szCs w:val="21"/>
                <w:color w:val="auto"/>
                <w:w w:val="98"/>
              </w:rPr>
              <w:t>%)</w:t>
            </w:r>
          </w:p>
        </w:tc>
      </w:tr>
    </w:tbl>
    <w:p>
      <w:pPr>
        <w:spacing w:after="0" w:line="140" w:lineRule="exact"/>
        <w:rPr>
          <w:sz w:val="20"/>
          <w:szCs w:val="20"/>
          <w:color w:val="auto"/>
        </w:rPr>
      </w:pPr>
    </w:p>
    <w:p>
      <w:pPr>
        <w:ind w:left="20" w:right="2580"/>
        <w:spacing w:after="0" w:line="234" w:lineRule="auto"/>
        <w:rPr>
          <w:sz w:val="20"/>
          <w:szCs w:val="20"/>
          <w:color w:val="auto"/>
        </w:rPr>
      </w:pPr>
      <w:r>
        <w:rPr>
          <w:rFonts w:ascii="Times New Roman" w:cs="Times New Roman" w:eastAsia="Times New Roman" w:hAnsi="Times New Roman"/>
          <w:sz w:val="18"/>
          <w:szCs w:val="18"/>
          <w:color w:val="auto"/>
        </w:rPr>
        <w:t>*Two patients randomized to ATEV received an arteriovenous fistula (“AVF”) and were analyzed as AVF in the Safety Set ITT = Treatment group assignment based on randomization.</w:t>
      </w:r>
    </w:p>
    <w:p>
      <w:pPr>
        <w:ind w:left="20"/>
        <w:spacing w:after="0"/>
        <w:rPr>
          <w:sz w:val="20"/>
          <w:szCs w:val="20"/>
          <w:color w:val="auto"/>
        </w:rPr>
      </w:pPr>
      <w:r>
        <w:rPr>
          <w:rFonts w:ascii="Times New Roman" w:cs="Times New Roman" w:eastAsia="Times New Roman" w:hAnsi="Times New Roman"/>
          <w:sz w:val="18"/>
          <w:szCs w:val="18"/>
          <w:color w:val="auto"/>
        </w:rPr>
        <w:t>Safety Set = Treatment group assignment based on actual treatment.</w:t>
      </w:r>
    </w:p>
    <w:p>
      <w:pPr>
        <w:spacing w:after="0" w:line="289" w:lineRule="exact"/>
        <w:rPr>
          <w:sz w:val="20"/>
          <w:szCs w:val="20"/>
          <w:color w:val="auto"/>
        </w:rPr>
      </w:pPr>
    </w:p>
    <w:p>
      <w:pPr>
        <w:ind w:right="40" w:firstLine="318"/>
        <w:spacing w:after="0" w:line="280" w:lineRule="auto"/>
        <w:rPr>
          <w:sz w:val="20"/>
          <w:szCs w:val="20"/>
          <w:color w:val="auto"/>
        </w:rPr>
      </w:pPr>
      <w:r>
        <w:rPr>
          <w:rFonts w:ascii="Times New Roman" w:cs="Times New Roman" w:eastAsia="Times New Roman" w:hAnsi="Times New Roman"/>
          <w:sz w:val="17"/>
          <w:szCs w:val="17"/>
          <w:color w:val="auto"/>
        </w:rPr>
        <w:t>Topline results were reported in August 2024 and expanded results, including subgroup analyses, were presented at the American Society of Nephrology’s (ASN) Kidney Week 2024, the premier nephrology meeting, in October 2024. In the V007 trial, the ATEV demonstrated superior function and patency at six and 12 months (co-primary endpoints) compared to AVF, the current standard of care for hemodialysis, as summarized in the following table.</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231F20"/>
        </w:rPr>
        <w:t>Phase 3 V007 trial 12-month results (all patients)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3560" w:type="dxa"/>
            <w:vAlign w:val="bottom"/>
            <w:tcBorders>
              <w:top w:val="single" w:sz="8" w:color="auto"/>
              <w:left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Co-Primary Endpoints</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ATEV (n=123)</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AVF (n=119)</w:t>
            </w:r>
          </w:p>
        </w:tc>
        <w:tc>
          <w:tcPr>
            <w:tcW w:w="1480" w:type="dxa"/>
            <w:vAlign w:val="bottom"/>
            <w:tcBorders>
              <w:top w:val="single" w:sz="8" w:color="auto"/>
            </w:tcBorders>
          </w:tcPr>
          <w:p>
            <w:pPr>
              <w:spacing w:after="0"/>
              <w:rPr>
                <w:sz w:val="21"/>
                <w:szCs w:val="21"/>
                <w:color w:val="auto"/>
              </w:rPr>
            </w:pPr>
          </w:p>
        </w:tc>
        <w:tc>
          <w:tcPr>
            <w:tcW w:w="2380" w:type="dxa"/>
            <w:vAlign w:val="bottom"/>
            <w:tcBorders>
              <w:top w:val="single" w:sz="8" w:color="auto"/>
              <w:right w:val="single" w:sz="8" w:color="auto"/>
            </w:tcBorders>
            <w:gridSpan w:val="2"/>
          </w:tcPr>
          <w:p>
            <w:pPr>
              <w:jc w:val="center"/>
              <w:ind w:right="1412"/>
              <w:spacing w:after="0"/>
              <w:rPr>
                <w:sz w:val="20"/>
                <w:szCs w:val="20"/>
                <w:color w:val="auto"/>
              </w:rPr>
            </w:pPr>
            <w:r>
              <w:rPr>
                <w:rFonts w:ascii="Times New Roman" w:cs="Times New Roman" w:eastAsia="Times New Roman" w:hAnsi="Times New Roman"/>
                <w:sz w:val="18"/>
                <w:szCs w:val="18"/>
                <w:b w:val="1"/>
                <w:bCs w:val="1"/>
                <w:color w:val="auto"/>
                <w:w w:val="98"/>
              </w:rPr>
              <w:t>p-value</w:t>
            </w:r>
          </w:p>
        </w:tc>
        <w:tc>
          <w:tcPr>
            <w:tcW w:w="0" w:type="dxa"/>
            <w:vAlign w:val="bottom"/>
          </w:tcPr>
          <w:p>
            <w:pPr>
              <w:spacing w:after="0"/>
              <w:rPr>
                <w:sz w:val="1"/>
                <w:szCs w:val="1"/>
                <w:color w:val="auto"/>
              </w:rPr>
            </w:pP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Functional Patency at Month 6</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81.3%</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66.4%</w:t>
            </w:r>
          </w:p>
        </w:tc>
        <w:tc>
          <w:tcPr>
            <w:tcW w:w="1480" w:type="dxa"/>
            <w:vAlign w:val="bottom"/>
          </w:tcPr>
          <w:p>
            <w:pPr>
              <w:spacing w:after="0"/>
              <w:rPr>
                <w:sz w:val="20"/>
                <w:szCs w:val="20"/>
                <w:color w:val="auto"/>
              </w:rPr>
            </w:pPr>
          </w:p>
        </w:tc>
        <w:tc>
          <w:tcPr>
            <w:tcW w:w="2380" w:type="dxa"/>
            <w:vAlign w:val="bottom"/>
            <w:tcBorders>
              <w:right w:val="single" w:sz="8" w:color="auto"/>
            </w:tcBorders>
            <w:gridSpan w:val="2"/>
            <w:vMerge w:val="restart"/>
          </w:tcPr>
          <w:p>
            <w:pPr>
              <w:jc w:val="right"/>
              <w:ind w:right="1612"/>
              <w:spacing w:after="0"/>
              <w:rPr>
                <w:sz w:val="20"/>
                <w:szCs w:val="20"/>
                <w:color w:val="auto"/>
              </w:rPr>
            </w:pPr>
            <w:r>
              <w:rPr>
                <w:rFonts w:ascii="Times New Roman" w:cs="Times New Roman" w:eastAsia="Times New Roman" w:hAnsi="Times New Roman"/>
                <w:sz w:val="18"/>
                <w:szCs w:val="18"/>
                <w:color w:val="auto"/>
              </w:rPr>
              <w:t>0.0071</w:t>
            </w:r>
          </w:p>
        </w:tc>
        <w:tc>
          <w:tcPr>
            <w:tcW w:w="0" w:type="dxa"/>
            <w:vAlign w:val="bottom"/>
          </w:tcPr>
          <w:p>
            <w:pPr>
              <w:spacing w:after="0"/>
              <w:rPr>
                <w:sz w:val="1"/>
                <w:szCs w:val="1"/>
                <w:color w:val="auto"/>
              </w:rPr>
            </w:pP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238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35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Secondary Patency at Month 12</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68.3%</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62.2%</w:t>
            </w:r>
          </w:p>
        </w:tc>
        <w:tc>
          <w:tcPr>
            <w:tcW w:w="1480" w:type="dxa"/>
            <w:vAlign w:val="bottom"/>
          </w:tcPr>
          <w:p>
            <w:pPr>
              <w:spacing w:after="0"/>
              <w:rPr>
                <w:sz w:val="7"/>
                <w:szCs w:val="7"/>
                <w:color w:val="auto"/>
              </w:rPr>
            </w:pPr>
          </w:p>
        </w:tc>
        <w:tc>
          <w:tcPr>
            <w:tcW w:w="23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3560" w:type="dxa"/>
            <w:vAlign w:val="bottom"/>
            <w:tcBorders>
              <w:left w:val="single" w:sz="8" w:color="auto"/>
              <w:right w:val="single" w:sz="8" w:color="auto"/>
            </w:tcBorders>
            <w:vMerge w:val="continue"/>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940" w:type="dxa"/>
            <w:vAlign w:val="bottom"/>
            <w:tcBorders>
              <w:right w:val="single" w:sz="8" w:color="auto"/>
            </w:tcBorders>
            <w:vMerge w:val="continue"/>
          </w:tcPr>
          <w:p>
            <w:pPr>
              <w:spacing w:after="0"/>
              <w:rPr>
                <w:sz w:val="12"/>
                <w:szCs w:val="12"/>
                <w:color w:val="auto"/>
              </w:rPr>
            </w:pPr>
          </w:p>
        </w:tc>
        <w:tc>
          <w:tcPr>
            <w:tcW w:w="1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60" w:type="dxa"/>
            <w:vAlign w:val="bottom"/>
            <w:tcBorders>
              <w:left w:val="single" w:sz="8" w:color="auto"/>
            </w:tcBorders>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44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p-value</w:t>
            </w:r>
          </w:p>
        </w:tc>
        <w:tc>
          <w:tcPr>
            <w:tcW w:w="0" w:type="dxa"/>
            <w:vAlign w:val="bottom"/>
          </w:tcPr>
          <w:p>
            <w:pPr>
              <w:spacing w:after="0"/>
              <w:rPr>
                <w:sz w:val="1"/>
                <w:szCs w:val="1"/>
                <w:color w:val="auto"/>
              </w:rPr>
            </w:pPr>
          </w:p>
        </w:tc>
      </w:tr>
      <w:tr>
        <w:trPr>
          <w:trHeight w:val="27"/>
        </w:trPr>
        <w:tc>
          <w:tcPr>
            <w:tcW w:w="356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Duration of Use Over First 12 Months</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7.5 months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6.1 months</w:t>
            </w:r>
          </w:p>
        </w:tc>
        <w:tc>
          <w:tcPr>
            <w:tcW w:w="1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1.4 months</w:t>
            </w:r>
          </w:p>
        </w:tc>
        <w:tc>
          <w:tcPr>
            <w:tcW w:w="44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0.0162</w:t>
            </w:r>
          </w:p>
        </w:tc>
        <w:tc>
          <w:tcPr>
            <w:tcW w:w="0" w:type="dxa"/>
            <w:vAlign w:val="bottom"/>
          </w:tcPr>
          <w:p>
            <w:pPr>
              <w:spacing w:after="0"/>
              <w:rPr>
                <w:sz w:val="1"/>
                <w:szCs w:val="1"/>
                <w:color w:val="auto"/>
              </w:rPr>
            </w:pP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9"/>
        </w:trPr>
        <w:tc>
          <w:tcPr>
            <w:tcW w:w="3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jc w:val="right"/>
              <w:ind w:right="1432"/>
              <w:spacing w:after="0"/>
              <w:rPr>
                <w:sz w:val="20"/>
                <w:szCs w:val="20"/>
                <w:color w:val="auto"/>
              </w:rPr>
            </w:pPr>
            <w:r>
              <w:rPr>
                <w:rFonts w:ascii="Times New Roman" w:cs="Times New Roman" w:eastAsia="Times New Roman" w:hAnsi="Times New Roman"/>
                <w:sz w:val="18"/>
                <w:szCs w:val="18"/>
                <w:color w:val="auto"/>
              </w:rPr>
              <w:t>27</w:t>
            </w: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5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9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Safety events per year of usability in the V007 Phase 3 trial are summarized in the following table.</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231F20"/>
        </w:rPr>
        <w:t>Phase 3 V007 trial safety results (all patients)</w:t>
      </w:r>
    </w:p>
    <w:p>
      <w:pPr>
        <w:spacing w:after="0" w:line="204" w:lineRule="exact"/>
        <w:rPr>
          <w:sz w:val="20"/>
          <w:szCs w:val="20"/>
          <w:color w:val="auto"/>
        </w:rPr>
      </w:pPr>
    </w:p>
    <w:tbl>
      <w:tblPr>
        <w:tblLayout w:type="fixed"/>
        <w:tblInd w:w="490" w:type="dxa"/>
        <w:tblCellMar>
          <w:top w:w="0" w:type="dxa"/>
          <w:left w:w="0" w:type="dxa"/>
          <w:bottom w:w="0" w:type="dxa"/>
          <w:right w:w="0" w:type="dxa"/>
        </w:tblCellMar>
      </w:tblPr>
      <w:tr>
        <w:trPr>
          <w:trHeight w:val="251"/>
        </w:trPr>
        <w:tc>
          <w:tcPr>
            <w:tcW w:w="40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12-Month Safety Summary</w:t>
            </w:r>
          </w:p>
        </w:tc>
        <w:tc>
          <w:tcPr>
            <w:tcW w:w="3060" w:type="dxa"/>
            <w:vAlign w:val="bottom"/>
            <w:tcBorders>
              <w:top w:val="single" w:sz="8" w:color="auto"/>
              <w:right w:val="single" w:sz="8" w:color="auto"/>
            </w:tcBorders>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ATEV</w:t>
            </w:r>
          </w:p>
        </w:tc>
        <w:tc>
          <w:tcPr>
            <w:tcW w:w="3180" w:type="dxa"/>
            <w:vAlign w:val="bottom"/>
            <w:tcBorders>
              <w:top w:val="single" w:sz="8" w:color="auto"/>
              <w:right w:val="single" w:sz="8" w:color="auto"/>
            </w:tcBorders>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AVF</w:t>
            </w:r>
          </w:p>
        </w:tc>
      </w:tr>
      <w:tr>
        <w:trPr>
          <w:trHeight w:val="27"/>
        </w:trPr>
        <w:tc>
          <w:tcPr>
            <w:tcW w:w="408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13"/>
        </w:trPr>
        <w:tc>
          <w:tcPr>
            <w:tcW w:w="408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Subjects (%) n=121</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Events Per Patient</w:t>
            </w:r>
          </w:p>
        </w:tc>
        <w:tc>
          <w:tcPr>
            <w:tcW w:w="1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Subjects (%) n=121</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Events Per Patient</w:t>
            </w:r>
          </w:p>
        </w:tc>
      </w:tr>
      <w:tr>
        <w:trPr>
          <w:trHeight w:val="229"/>
        </w:trPr>
        <w:tc>
          <w:tcPr>
            <w:tcW w:w="408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Year</w:t>
            </w:r>
          </w:p>
        </w:tc>
        <w:tc>
          <w:tcPr>
            <w:tcW w:w="160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Year</w:t>
            </w:r>
          </w:p>
        </w:tc>
      </w:tr>
      <w:tr>
        <w:trPr>
          <w:trHeight w:val="27"/>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1"/>
        </w:trPr>
        <w:tc>
          <w:tcPr>
            <w:tcW w:w="40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Treatment Emergent Adverse Events</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98.3%</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16.0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96.7%</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13.5</w:t>
            </w:r>
          </w:p>
        </w:tc>
      </w:tr>
      <w:tr>
        <w:trPr>
          <w:trHeight w:val="27"/>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1"/>
        </w:trPr>
        <w:tc>
          <w:tcPr>
            <w:tcW w:w="40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Serious Adverse Events</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81.8%</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61.2%</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r>
      <w:tr>
        <w:trPr>
          <w:trHeight w:val="27"/>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187"/>
        </w:trPr>
        <w:tc>
          <w:tcPr>
            <w:tcW w:w="4080" w:type="dxa"/>
            <w:vAlign w:val="bottom"/>
            <w:tcBorders>
              <w:left w:val="single" w:sz="8" w:color="auto"/>
              <w:right w:val="single" w:sz="8" w:color="auto"/>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Adverse events of special interest:</w:t>
            </w:r>
          </w:p>
        </w:tc>
        <w:tc>
          <w:tcPr>
            <w:tcW w:w="15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r>
      <w:tr>
        <w:trPr>
          <w:trHeight w:val="217"/>
        </w:trPr>
        <w:tc>
          <w:tcPr>
            <w:tcW w:w="4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Study access (SA)-related infections</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5.8%</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4.1%</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r>
      <w:tr>
        <w:trPr>
          <w:trHeight w:val="199"/>
        </w:trPr>
        <w:tc>
          <w:tcPr>
            <w:tcW w:w="4080" w:type="dxa"/>
            <w:vAlign w:val="bottom"/>
            <w:tcBorders>
              <w:left w:val="single" w:sz="8" w:color="auto"/>
              <w:right w:val="single" w:sz="8" w:color="auto"/>
            </w:tcBorders>
          </w:tcPr>
          <w:p>
            <w:pPr>
              <w:ind w:left="120"/>
              <w:spacing w:after="0" w:line="199" w:lineRule="exact"/>
              <w:rPr>
                <w:sz w:val="20"/>
                <w:szCs w:val="20"/>
                <w:color w:val="auto"/>
              </w:rPr>
            </w:pPr>
            <w:r>
              <w:rPr>
                <w:rFonts w:ascii="Times New Roman" w:cs="Times New Roman" w:eastAsia="Times New Roman" w:hAnsi="Times New Roman"/>
                <w:sz w:val="18"/>
                <w:szCs w:val="18"/>
                <w:color w:val="auto"/>
              </w:rPr>
              <w:t>Thrombosis</w:t>
            </w:r>
          </w:p>
        </w:tc>
        <w:tc>
          <w:tcPr>
            <w:tcW w:w="152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4"/>
              </w:rPr>
              <w:t>52.9%</w:t>
            </w:r>
          </w:p>
        </w:tc>
        <w:tc>
          <w:tcPr>
            <w:tcW w:w="15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1.7</w:t>
            </w:r>
          </w:p>
        </w:tc>
        <w:tc>
          <w:tcPr>
            <w:tcW w:w="16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5"/>
              </w:rPr>
              <w:t>9.1%</w:t>
            </w:r>
          </w:p>
        </w:tc>
        <w:tc>
          <w:tcPr>
            <w:tcW w:w="158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0.2</w:t>
            </w:r>
          </w:p>
        </w:tc>
      </w:tr>
      <w:tr>
        <w:trPr>
          <w:trHeight w:val="199"/>
        </w:trPr>
        <w:tc>
          <w:tcPr>
            <w:tcW w:w="4080" w:type="dxa"/>
            <w:vAlign w:val="bottom"/>
            <w:tcBorders>
              <w:left w:val="single" w:sz="8" w:color="auto"/>
              <w:right w:val="single" w:sz="8" w:color="auto"/>
            </w:tcBorders>
          </w:tcPr>
          <w:p>
            <w:pPr>
              <w:ind w:left="120"/>
              <w:spacing w:after="0" w:line="199" w:lineRule="exact"/>
              <w:rPr>
                <w:sz w:val="20"/>
                <w:szCs w:val="20"/>
                <w:color w:val="auto"/>
              </w:rPr>
            </w:pPr>
            <w:r>
              <w:rPr>
                <w:rFonts w:ascii="Times New Roman" w:cs="Times New Roman" w:eastAsia="Times New Roman" w:hAnsi="Times New Roman"/>
                <w:sz w:val="18"/>
                <w:szCs w:val="18"/>
                <w:color w:val="auto"/>
              </w:rPr>
              <w:t>Stenosis</w:t>
            </w:r>
          </w:p>
        </w:tc>
        <w:tc>
          <w:tcPr>
            <w:tcW w:w="152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4"/>
              </w:rPr>
              <w:t>66.1%</w:t>
            </w:r>
          </w:p>
        </w:tc>
        <w:tc>
          <w:tcPr>
            <w:tcW w:w="15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3.0</w:t>
            </w:r>
          </w:p>
        </w:tc>
        <w:tc>
          <w:tcPr>
            <w:tcW w:w="16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47.9%</w:t>
            </w:r>
          </w:p>
        </w:tc>
        <w:tc>
          <w:tcPr>
            <w:tcW w:w="158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1.9</w:t>
            </w:r>
          </w:p>
        </w:tc>
      </w:tr>
      <w:tr>
        <w:trPr>
          <w:trHeight w:val="199"/>
        </w:trPr>
        <w:tc>
          <w:tcPr>
            <w:tcW w:w="4080" w:type="dxa"/>
            <w:vAlign w:val="bottom"/>
            <w:tcBorders>
              <w:left w:val="single" w:sz="8" w:color="auto"/>
              <w:right w:val="single" w:sz="8" w:color="auto"/>
            </w:tcBorders>
          </w:tcPr>
          <w:p>
            <w:pPr>
              <w:ind w:left="120"/>
              <w:spacing w:after="0" w:line="199" w:lineRule="exact"/>
              <w:rPr>
                <w:sz w:val="20"/>
                <w:szCs w:val="20"/>
                <w:color w:val="auto"/>
              </w:rPr>
            </w:pPr>
            <w:r>
              <w:rPr>
                <w:rFonts w:ascii="Times New Roman" w:cs="Times New Roman" w:eastAsia="Times New Roman" w:hAnsi="Times New Roman"/>
                <w:sz w:val="18"/>
                <w:szCs w:val="18"/>
                <w:color w:val="auto"/>
              </w:rPr>
              <w:t>Clinically significant Steal Syndrome</w:t>
            </w:r>
          </w:p>
        </w:tc>
        <w:tc>
          <w:tcPr>
            <w:tcW w:w="152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5"/>
              </w:rPr>
              <w:t>0.8%</w:t>
            </w:r>
          </w:p>
        </w:tc>
        <w:tc>
          <w:tcPr>
            <w:tcW w:w="15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0.0</w:t>
            </w:r>
          </w:p>
        </w:tc>
        <w:tc>
          <w:tcPr>
            <w:tcW w:w="16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5"/>
              </w:rPr>
              <w:t>5.8%</w:t>
            </w:r>
          </w:p>
        </w:tc>
        <w:tc>
          <w:tcPr>
            <w:tcW w:w="158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0.1</w:t>
            </w:r>
          </w:p>
        </w:tc>
      </w:tr>
      <w:tr>
        <w:trPr>
          <w:trHeight w:val="199"/>
        </w:trPr>
        <w:tc>
          <w:tcPr>
            <w:tcW w:w="4080" w:type="dxa"/>
            <w:vAlign w:val="bottom"/>
            <w:tcBorders>
              <w:left w:val="single" w:sz="8" w:color="auto"/>
              <w:right w:val="single" w:sz="8" w:color="auto"/>
            </w:tcBorders>
          </w:tcPr>
          <w:p>
            <w:pPr>
              <w:ind w:left="120"/>
              <w:spacing w:after="0" w:line="199" w:lineRule="exact"/>
              <w:rPr>
                <w:sz w:val="20"/>
                <w:szCs w:val="20"/>
                <w:color w:val="auto"/>
              </w:rPr>
            </w:pPr>
            <w:r>
              <w:rPr>
                <w:rFonts w:ascii="Times New Roman" w:cs="Times New Roman" w:eastAsia="Times New Roman" w:hAnsi="Times New Roman"/>
                <w:sz w:val="18"/>
                <w:szCs w:val="18"/>
                <w:color w:val="auto"/>
              </w:rPr>
              <w:t>Rupture of SA</w:t>
            </w:r>
          </w:p>
        </w:tc>
        <w:tc>
          <w:tcPr>
            <w:tcW w:w="152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5"/>
              </w:rPr>
              <w:t>0.0%</w:t>
            </w:r>
          </w:p>
        </w:tc>
        <w:tc>
          <w:tcPr>
            <w:tcW w:w="15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0.0</w:t>
            </w:r>
          </w:p>
        </w:tc>
        <w:tc>
          <w:tcPr>
            <w:tcW w:w="16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5"/>
              </w:rPr>
              <w:t>1.7%</w:t>
            </w:r>
          </w:p>
        </w:tc>
        <w:tc>
          <w:tcPr>
            <w:tcW w:w="158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0.0</w:t>
            </w:r>
          </w:p>
        </w:tc>
      </w:tr>
      <w:tr>
        <w:trPr>
          <w:trHeight w:val="199"/>
        </w:trPr>
        <w:tc>
          <w:tcPr>
            <w:tcW w:w="4080" w:type="dxa"/>
            <w:vAlign w:val="bottom"/>
            <w:tcBorders>
              <w:left w:val="single" w:sz="8" w:color="auto"/>
              <w:right w:val="single" w:sz="8" w:color="auto"/>
            </w:tcBorders>
          </w:tcPr>
          <w:p>
            <w:pPr>
              <w:ind w:left="120"/>
              <w:spacing w:after="0" w:line="199" w:lineRule="exact"/>
              <w:rPr>
                <w:sz w:val="20"/>
                <w:szCs w:val="20"/>
                <w:color w:val="auto"/>
              </w:rPr>
            </w:pPr>
            <w:r>
              <w:rPr>
                <w:rFonts w:ascii="Times New Roman" w:cs="Times New Roman" w:eastAsia="Times New Roman" w:hAnsi="Times New Roman"/>
                <w:sz w:val="18"/>
                <w:szCs w:val="18"/>
                <w:color w:val="auto"/>
              </w:rPr>
              <w:t>Leading to SA revision or ligation</w:t>
            </w:r>
          </w:p>
        </w:tc>
        <w:tc>
          <w:tcPr>
            <w:tcW w:w="152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4"/>
              </w:rPr>
              <w:t>11.6%</w:t>
            </w:r>
          </w:p>
        </w:tc>
        <w:tc>
          <w:tcPr>
            <w:tcW w:w="15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0.3</w:t>
            </w:r>
          </w:p>
        </w:tc>
        <w:tc>
          <w:tcPr>
            <w:tcW w:w="16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24.0%</w:t>
            </w:r>
          </w:p>
        </w:tc>
        <w:tc>
          <w:tcPr>
            <w:tcW w:w="158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0.7</w:t>
            </w:r>
          </w:p>
        </w:tc>
      </w:tr>
      <w:tr>
        <w:trPr>
          <w:trHeight w:val="258"/>
        </w:trPr>
        <w:tc>
          <w:tcPr>
            <w:tcW w:w="4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Leading to SA excision</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r>
    </w:tbl>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largest area of difference in AEs was in thrombosis. The majority of ATEV patients with thrombosis, 94%, were successfully treated.</w:t>
      </w:r>
    </w:p>
    <w:p>
      <w:pPr>
        <w:spacing w:after="0" w:line="190" w:lineRule="exact"/>
        <w:rPr>
          <w:sz w:val="20"/>
          <w:szCs w:val="20"/>
          <w:color w:val="auto"/>
        </w:rPr>
      </w:pPr>
    </w:p>
    <w:p>
      <w:pPr>
        <w:jc w:val="both"/>
        <w:ind w:right="360" w:firstLine="318"/>
        <w:spacing w:after="0" w:line="258" w:lineRule="auto"/>
        <w:rPr>
          <w:sz w:val="20"/>
          <w:szCs w:val="20"/>
          <w:color w:val="auto"/>
        </w:rPr>
      </w:pPr>
      <w:r>
        <w:rPr>
          <w:rFonts w:ascii="Times New Roman" w:cs="Times New Roman" w:eastAsia="Times New Roman" w:hAnsi="Times New Roman"/>
          <w:sz w:val="18"/>
          <w:szCs w:val="18"/>
          <w:color w:val="auto"/>
        </w:rPr>
        <w:t>Sub-group analysis was also performed in patient groups that historically have poor outcomes with AV fistula procedures. In female patients, subjects implanted with the ATEV had significantly higher six-month and one-year patency rates than female patients receiving an AV fistula as summarized in the table below.</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231F20"/>
        </w:rPr>
        <w:t>Phase 3 V007 trial 12-month results (female patients)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3560" w:type="dxa"/>
            <w:vAlign w:val="bottom"/>
            <w:tcBorders>
              <w:top w:val="single" w:sz="8" w:color="auto"/>
              <w:left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Co-Primary Endpoints</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ATEV (n=37)</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AVF (n=33)</w:t>
            </w:r>
          </w:p>
        </w:tc>
        <w:tc>
          <w:tcPr>
            <w:tcW w:w="1480" w:type="dxa"/>
            <w:vAlign w:val="bottom"/>
            <w:tcBorders>
              <w:top w:val="single" w:sz="8" w:color="auto"/>
            </w:tcBorders>
          </w:tcPr>
          <w:p>
            <w:pPr>
              <w:spacing w:after="0"/>
              <w:rPr>
                <w:sz w:val="21"/>
                <w:szCs w:val="21"/>
                <w:color w:val="auto"/>
              </w:rPr>
            </w:pPr>
          </w:p>
        </w:tc>
        <w:tc>
          <w:tcPr>
            <w:tcW w:w="2380" w:type="dxa"/>
            <w:vAlign w:val="bottom"/>
            <w:tcBorders>
              <w:top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p-value</w:t>
            </w: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gridSpan w:val="2"/>
          </w:tcPr>
          <w:p>
            <w:pPr>
              <w:spacing w:after="0"/>
              <w:rPr>
                <w:sz w:val="2"/>
                <w:szCs w:val="2"/>
                <w:color w:val="auto"/>
              </w:rPr>
            </w:pPr>
          </w:p>
        </w:tc>
      </w:tr>
      <w:tr>
        <w:trPr>
          <w:trHeight w:val="231"/>
        </w:trPr>
        <w:tc>
          <w:tcPr>
            <w:tcW w:w="3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Functional Patency at Month 6</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89.2%</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54.5%</w:t>
            </w:r>
          </w:p>
        </w:tc>
        <w:tc>
          <w:tcPr>
            <w:tcW w:w="1480" w:type="dxa"/>
            <w:vAlign w:val="bottom"/>
          </w:tcPr>
          <w:p>
            <w:pPr>
              <w:spacing w:after="0"/>
              <w:rPr>
                <w:sz w:val="20"/>
                <w:szCs w:val="20"/>
                <w:color w:val="auto"/>
              </w:rPr>
            </w:pPr>
          </w:p>
        </w:tc>
        <w:tc>
          <w:tcPr>
            <w:tcW w:w="238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&lt;0.0001</w:t>
            </w: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Borders>
              <w:right w:val="single" w:sz="8" w:color="auto"/>
            </w:tcBorders>
          </w:tcPr>
          <w:p>
            <w:pPr>
              <w:spacing w:after="0"/>
              <w:rPr>
                <w:sz w:val="2"/>
                <w:szCs w:val="2"/>
                <w:color w:val="auto"/>
              </w:rPr>
            </w:pPr>
          </w:p>
        </w:tc>
      </w:tr>
      <w:tr>
        <w:trPr>
          <w:trHeight w:val="231"/>
        </w:trPr>
        <w:tc>
          <w:tcPr>
            <w:tcW w:w="3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Secondary Patency at Month 12</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81.1%</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48.5%</w:t>
            </w: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31"/>
        </w:trPr>
        <w:tc>
          <w:tcPr>
            <w:tcW w:w="3560" w:type="dxa"/>
            <w:vAlign w:val="bottom"/>
            <w:tcBorders>
              <w:left w:val="single" w:sz="8" w:color="auto"/>
            </w:tcBorders>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44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p-value</w:t>
            </w:r>
          </w:p>
        </w:tc>
      </w:tr>
      <w:tr>
        <w:trPr>
          <w:trHeight w:val="27"/>
        </w:trPr>
        <w:tc>
          <w:tcPr>
            <w:tcW w:w="356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31"/>
        </w:trPr>
        <w:tc>
          <w:tcPr>
            <w:tcW w:w="3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Duration of Use Over First 12 Months</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8.3 months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5.0 months</w:t>
            </w:r>
          </w:p>
        </w:tc>
        <w:tc>
          <w:tcPr>
            <w:tcW w:w="1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3.3 months</w:t>
            </w:r>
          </w:p>
        </w:tc>
        <w:tc>
          <w:tcPr>
            <w:tcW w:w="44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0.0011</w:t>
            </w: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bl>
    <w:p>
      <w:pPr>
        <w:spacing w:after="0" w:line="246"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color w:val="auto"/>
        </w:rPr>
        <w:t>It was also noted in the V007 trial that obese patients (BMI of at least 30) (n=93) implanted with the ATEV had significantly higher six-month and one-year patency rates than obese patients receiving an AV fistula. In addition, diabetic patients implanted with the ATEV had significantly higher six-month and one-year patency rates than diabetic patients receiving an AV fistula. Based on these results, we consider the subgroup of females and males with obesity and diabetes (a subgroup that combined represents over half of dialysis patients), to be a target population that could benefit from the ATEV. Results through 12 months of follow up from the V007 trial in females and males with obesity and diabetes are summarized in the following table.</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231F20"/>
        </w:rPr>
        <w:t>Phase 3 V007 trial 12-month results – target population</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231F20"/>
        </w:rPr>
        <w:t xml:space="preserve">(female patients </w:t>
      </w:r>
      <w:r>
        <w:rPr>
          <w:rFonts w:ascii="Times New Roman" w:cs="Times New Roman" w:eastAsia="Times New Roman" w:hAnsi="Times New Roman"/>
          <w:sz w:val="18"/>
          <w:szCs w:val="18"/>
          <w:i w:val="1"/>
          <w:iCs w:val="1"/>
          <w:color w:val="000000"/>
        </w:rPr>
        <w:t>and males with obesity and diabetes</w:t>
      </w:r>
      <w:r>
        <w:rPr>
          <w:rFonts w:ascii="Times New Roman" w:cs="Times New Roman" w:eastAsia="Times New Roman" w:hAnsi="Times New Roman"/>
          <w:sz w:val="18"/>
          <w:szCs w:val="18"/>
          <w:i w:val="1"/>
          <w:iCs w:val="1"/>
          <w:color w:val="231F20"/>
        </w:rPr>
        <w:t>)</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3560" w:type="dxa"/>
            <w:vAlign w:val="bottom"/>
            <w:tcBorders>
              <w:top w:val="single" w:sz="8" w:color="auto"/>
              <w:left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Co-Primary Endpoints</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ATEV (n=56)</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AVF (n=54)</w:t>
            </w:r>
          </w:p>
        </w:tc>
        <w:tc>
          <w:tcPr>
            <w:tcW w:w="1480" w:type="dxa"/>
            <w:vAlign w:val="bottom"/>
            <w:tcBorders>
              <w:top w:val="single" w:sz="8" w:color="auto"/>
            </w:tcBorders>
          </w:tcPr>
          <w:p>
            <w:pPr>
              <w:spacing w:after="0"/>
              <w:rPr>
                <w:sz w:val="21"/>
                <w:szCs w:val="21"/>
                <w:color w:val="auto"/>
              </w:rPr>
            </w:pPr>
          </w:p>
        </w:tc>
        <w:tc>
          <w:tcPr>
            <w:tcW w:w="2380" w:type="dxa"/>
            <w:vAlign w:val="bottom"/>
            <w:tcBorders>
              <w:top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p-value</w:t>
            </w: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gridSpan w:val="2"/>
          </w:tcPr>
          <w:p>
            <w:pPr>
              <w:spacing w:after="0"/>
              <w:rPr>
                <w:sz w:val="2"/>
                <w:szCs w:val="2"/>
                <w:color w:val="auto"/>
              </w:rPr>
            </w:pPr>
          </w:p>
        </w:tc>
      </w:tr>
      <w:tr>
        <w:trPr>
          <w:trHeight w:val="231"/>
        </w:trPr>
        <w:tc>
          <w:tcPr>
            <w:tcW w:w="3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Functional Patency at Month 6</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85.7%</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51.9%</w:t>
            </w:r>
          </w:p>
        </w:tc>
        <w:tc>
          <w:tcPr>
            <w:tcW w:w="1480" w:type="dxa"/>
            <w:vAlign w:val="bottom"/>
          </w:tcPr>
          <w:p>
            <w:pPr>
              <w:spacing w:after="0"/>
              <w:rPr>
                <w:sz w:val="20"/>
                <w:szCs w:val="20"/>
                <w:color w:val="auto"/>
              </w:rPr>
            </w:pPr>
          </w:p>
        </w:tc>
        <w:tc>
          <w:tcPr>
            <w:tcW w:w="238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&lt;0.0001</w:t>
            </w: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Borders>
              <w:right w:val="single" w:sz="8" w:color="auto"/>
            </w:tcBorders>
          </w:tcPr>
          <w:p>
            <w:pPr>
              <w:spacing w:after="0"/>
              <w:rPr>
                <w:sz w:val="2"/>
                <w:szCs w:val="2"/>
                <w:color w:val="auto"/>
              </w:rPr>
            </w:pPr>
          </w:p>
        </w:tc>
      </w:tr>
      <w:tr>
        <w:trPr>
          <w:trHeight w:val="231"/>
        </w:trPr>
        <w:tc>
          <w:tcPr>
            <w:tcW w:w="3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Secondary Patency at Month 12</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76.8%</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46.3%</w:t>
            </w: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31"/>
        </w:trPr>
        <w:tc>
          <w:tcPr>
            <w:tcW w:w="3560" w:type="dxa"/>
            <w:vAlign w:val="bottom"/>
            <w:tcBorders>
              <w:left w:val="single" w:sz="8" w:color="auto"/>
            </w:tcBorders>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44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p-value</w:t>
            </w:r>
          </w:p>
        </w:tc>
      </w:tr>
      <w:tr>
        <w:trPr>
          <w:trHeight w:val="27"/>
        </w:trPr>
        <w:tc>
          <w:tcPr>
            <w:tcW w:w="356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31"/>
        </w:trPr>
        <w:tc>
          <w:tcPr>
            <w:tcW w:w="3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Duration of Use Over First 12 Months</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8.0 months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 months</w:t>
            </w:r>
          </w:p>
        </w:tc>
        <w:tc>
          <w:tcPr>
            <w:tcW w:w="1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3.5 months</w:t>
            </w:r>
          </w:p>
        </w:tc>
        <w:tc>
          <w:tcPr>
            <w:tcW w:w="44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0.0002</w:t>
            </w: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879"/>
        </w:trPr>
        <w:tc>
          <w:tcPr>
            <w:tcW w:w="3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jc w:val="right"/>
              <w:ind w:right="1432"/>
              <w:spacing w:after="0"/>
              <w:rPr>
                <w:sz w:val="20"/>
                <w:szCs w:val="20"/>
                <w:color w:val="auto"/>
              </w:rPr>
            </w:pPr>
            <w:r>
              <w:rPr>
                <w:rFonts w:ascii="Times New Roman" w:cs="Times New Roman" w:eastAsia="Times New Roman" w:hAnsi="Times New Roman"/>
                <w:sz w:val="18"/>
                <w:szCs w:val="18"/>
                <w:color w:val="auto"/>
              </w:rPr>
              <w:t>28</w:t>
            </w: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3"/>
        </w:trPr>
        <w:tc>
          <w:tcPr>
            <w:tcW w:w="35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9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20" w:firstLine="318"/>
        <w:spacing w:after="0" w:line="271" w:lineRule="auto"/>
        <w:rPr>
          <w:sz w:val="20"/>
          <w:szCs w:val="20"/>
          <w:color w:val="auto"/>
        </w:rPr>
      </w:pPr>
      <w:r>
        <w:rPr>
          <w:rFonts w:ascii="Times New Roman" w:cs="Times New Roman" w:eastAsia="Times New Roman" w:hAnsi="Times New Roman"/>
          <w:sz w:val="18"/>
          <w:szCs w:val="18"/>
          <w:color w:val="auto"/>
        </w:rPr>
        <w:t>The ATEV showed no increased in overall safety events per year of usability in the expected target population (all females and males with obesity and diabetes) as summarized in the following table.</w:t>
      </w:r>
    </w:p>
    <w:p>
      <w:pPr>
        <w:spacing w:after="0" w:line="12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231F20"/>
        </w:rPr>
        <w:t>Phase 3 V007 trial safety results – target population</w:t>
      </w:r>
    </w:p>
    <w:p>
      <w:pPr>
        <w:spacing w:after="0" w:line="2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i w:val="1"/>
          <w:iCs w:val="1"/>
          <w:color w:val="231F20"/>
        </w:rPr>
        <w:t xml:space="preserve">(female patients </w:t>
      </w:r>
      <w:r>
        <w:rPr>
          <w:rFonts w:ascii="Times New Roman" w:cs="Times New Roman" w:eastAsia="Times New Roman" w:hAnsi="Times New Roman"/>
          <w:sz w:val="18"/>
          <w:szCs w:val="18"/>
          <w:i w:val="1"/>
          <w:iCs w:val="1"/>
          <w:color w:val="000000"/>
        </w:rPr>
        <w:t>and males with obesity and diabetes</w:t>
      </w:r>
      <w:r>
        <w:rPr>
          <w:rFonts w:ascii="Times New Roman" w:cs="Times New Roman" w:eastAsia="Times New Roman" w:hAnsi="Times New Roman"/>
          <w:sz w:val="18"/>
          <w:szCs w:val="18"/>
          <w:i w:val="1"/>
          <w:iCs w:val="1"/>
          <w:color w:val="231F20"/>
        </w:rPr>
        <w:t>)</w:t>
      </w:r>
    </w:p>
    <w:p>
      <w:pPr>
        <w:spacing w:after="0" w:line="184" w:lineRule="exact"/>
        <w:rPr>
          <w:sz w:val="20"/>
          <w:szCs w:val="20"/>
          <w:color w:val="auto"/>
        </w:rPr>
      </w:pPr>
    </w:p>
    <w:tbl>
      <w:tblPr>
        <w:tblLayout w:type="fixed"/>
        <w:tblInd w:w="490" w:type="dxa"/>
        <w:tblCellMar>
          <w:top w:w="0" w:type="dxa"/>
          <w:left w:w="0" w:type="dxa"/>
          <w:bottom w:w="0" w:type="dxa"/>
          <w:right w:w="0" w:type="dxa"/>
        </w:tblCellMar>
      </w:tblPr>
      <w:tr>
        <w:trPr>
          <w:trHeight w:val="251"/>
        </w:trPr>
        <w:tc>
          <w:tcPr>
            <w:tcW w:w="40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12-Month Safety Summary</w:t>
            </w:r>
          </w:p>
        </w:tc>
        <w:tc>
          <w:tcPr>
            <w:tcW w:w="3060" w:type="dxa"/>
            <w:vAlign w:val="bottom"/>
            <w:tcBorders>
              <w:top w:val="single" w:sz="8" w:color="auto"/>
              <w:right w:val="single" w:sz="8" w:color="auto"/>
            </w:tcBorders>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ATEV</w:t>
            </w:r>
          </w:p>
        </w:tc>
        <w:tc>
          <w:tcPr>
            <w:tcW w:w="3180" w:type="dxa"/>
            <w:vAlign w:val="bottom"/>
            <w:tcBorders>
              <w:top w:val="single" w:sz="8" w:color="auto"/>
              <w:right w:val="single" w:sz="8" w:color="auto"/>
            </w:tcBorders>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AVF</w:t>
            </w:r>
          </w:p>
        </w:tc>
      </w:tr>
      <w:tr>
        <w:trPr>
          <w:trHeight w:val="27"/>
        </w:trPr>
        <w:tc>
          <w:tcPr>
            <w:tcW w:w="408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13"/>
        </w:trPr>
        <w:tc>
          <w:tcPr>
            <w:tcW w:w="408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Subjects (%) n=54</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Events Per Patient</w:t>
            </w:r>
          </w:p>
        </w:tc>
        <w:tc>
          <w:tcPr>
            <w:tcW w:w="16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Subjects (%) n=56</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Events Per Patient</w:t>
            </w:r>
          </w:p>
        </w:tc>
      </w:tr>
      <w:tr>
        <w:trPr>
          <w:trHeight w:val="229"/>
        </w:trPr>
        <w:tc>
          <w:tcPr>
            <w:tcW w:w="408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Year</w:t>
            </w:r>
          </w:p>
        </w:tc>
        <w:tc>
          <w:tcPr>
            <w:tcW w:w="160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Year</w:t>
            </w:r>
          </w:p>
        </w:tc>
      </w:tr>
      <w:tr>
        <w:trPr>
          <w:trHeight w:val="27"/>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1"/>
        </w:trPr>
        <w:tc>
          <w:tcPr>
            <w:tcW w:w="40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Treatment Emergent Adverse Events</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96.3%</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14.8</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98.2%</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21.8</w:t>
            </w:r>
          </w:p>
        </w:tc>
      </w:tr>
      <w:tr>
        <w:trPr>
          <w:trHeight w:val="27"/>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1"/>
        </w:trPr>
        <w:tc>
          <w:tcPr>
            <w:tcW w:w="40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Serious Adverse Events</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77.8%</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67.9%</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r>
      <w:tr>
        <w:trPr>
          <w:trHeight w:val="27"/>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187"/>
        </w:trPr>
        <w:tc>
          <w:tcPr>
            <w:tcW w:w="4080" w:type="dxa"/>
            <w:vAlign w:val="bottom"/>
            <w:tcBorders>
              <w:left w:val="single" w:sz="8" w:color="auto"/>
              <w:right w:val="single" w:sz="8" w:color="auto"/>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Adverse events of special interest:</w:t>
            </w:r>
          </w:p>
        </w:tc>
        <w:tc>
          <w:tcPr>
            <w:tcW w:w="15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r>
      <w:tr>
        <w:trPr>
          <w:trHeight w:val="217"/>
        </w:trPr>
        <w:tc>
          <w:tcPr>
            <w:tcW w:w="4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Study access (SA)-related infections</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7.4%</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5.5%</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r>
      <w:tr>
        <w:trPr>
          <w:trHeight w:val="199"/>
        </w:trPr>
        <w:tc>
          <w:tcPr>
            <w:tcW w:w="4080" w:type="dxa"/>
            <w:vAlign w:val="bottom"/>
            <w:tcBorders>
              <w:left w:val="single" w:sz="8" w:color="auto"/>
              <w:right w:val="single" w:sz="8" w:color="auto"/>
            </w:tcBorders>
          </w:tcPr>
          <w:p>
            <w:pPr>
              <w:ind w:left="120"/>
              <w:spacing w:after="0" w:line="199" w:lineRule="exact"/>
              <w:rPr>
                <w:sz w:val="20"/>
                <w:szCs w:val="20"/>
                <w:color w:val="auto"/>
              </w:rPr>
            </w:pPr>
            <w:r>
              <w:rPr>
                <w:rFonts w:ascii="Times New Roman" w:cs="Times New Roman" w:eastAsia="Times New Roman" w:hAnsi="Times New Roman"/>
                <w:sz w:val="18"/>
                <w:szCs w:val="18"/>
                <w:color w:val="auto"/>
              </w:rPr>
              <w:t>Thrombosis</w:t>
            </w:r>
          </w:p>
        </w:tc>
        <w:tc>
          <w:tcPr>
            <w:tcW w:w="152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4"/>
              </w:rPr>
              <w:t>51.9%</w:t>
            </w:r>
          </w:p>
        </w:tc>
        <w:tc>
          <w:tcPr>
            <w:tcW w:w="15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1.2</w:t>
            </w:r>
          </w:p>
        </w:tc>
        <w:tc>
          <w:tcPr>
            <w:tcW w:w="16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12.5%</w:t>
            </w:r>
          </w:p>
        </w:tc>
        <w:tc>
          <w:tcPr>
            <w:tcW w:w="158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0.3</w:t>
            </w:r>
          </w:p>
        </w:tc>
      </w:tr>
      <w:tr>
        <w:trPr>
          <w:trHeight w:val="199"/>
        </w:trPr>
        <w:tc>
          <w:tcPr>
            <w:tcW w:w="4080" w:type="dxa"/>
            <w:vAlign w:val="bottom"/>
            <w:tcBorders>
              <w:left w:val="single" w:sz="8" w:color="auto"/>
              <w:right w:val="single" w:sz="8" w:color="auto"/>
            </w:tcBorders>
          </w:tcPr>
          <w:p>
            <w:pPr>
              <w:ind w:left="120"/>
              <w:spacing w:after="0" w:line="199" w:lineRule="exact"/>
              <w:rPr>
                <w:sz w:val="20"/>
                <w:szCs w:val="20"/>
                <w:color w:val="auto"/>
              </w:rPr>
            </w:pPr>
            <w:r>
              <w:rPr>
                <w:rFonts w:ascii="Times New Roman" w:cs="Times New Roman" w:eastAsia="Times New Roman" w:hAnsi="Times New Roman"/>
                <w:sz w:val="18"/>
                <w:szCs w:val="18"/>
                <w:color w:val="auto"/>
              </w:rPr>
              <w:t>Stenosis</w:t>
            </w:r>
          </w:p>
        </w:tc>
        <w:tc>
          <w:tcPr>
            <w:tcW w:w="152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4"/>
              </w:rPr>
              <w:t>64.8%</w:t>
            </w:r>
          </w:p>
        </w:tc>
        <w:tc>
          <w:tcPr>
            <w:tcW w:w="15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3.0</w:t>
            </w:r>
          </w:p>
        </w:tc>
        <w:tc>
          <w:tcPr>
            <w:tcW w:w="16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51.8%</w:t>
            </w:r>
          </w:p>
        </w:tc>
        <w:tc>
          <w:tcPr>
            <w:tcW w:w="158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2.9</w:t>
            </w:r>
          </w:p>
        </w:tc>
      </w:tr>
      <w:tr>
        <w:trPr>
          <w:trHeight w:val="199"/>
        </w:trPr>
        <w:tc>
          <w:tcPr>
            <w:tcW w:w="4080" w:type="dxa"/>
            <w:vAlign w:val="bottom"/>
            <w:tcBorders>
              <w:left w:val="single" w:sz="8" w:color="auto"/>
              <w:right w:val="single" w:sz="8" w:color="auto"/>
            </w:tcBorders>
          </w:tcPr>
          <w:p>
            <w:pPr>
              <w:ind w:left="120"/>
              <w:spacing w:after="0" w:line="199" w:lineRule="exact"/>
              <w:rPr>
                <w:sz w:val="20"/>
                <w:szCs w:val="20"/>
                <w:color w:val="auto"/>
              </w:rPr>
            </w:pPr>
            <w:r>
              <w:rPr>
                <w:rFonts w:ascii="Times New Roman" w:cs="Times New Roman" w:eastAsia="Times New Roman" w:hAnsi="Times New Roman"/>
                <w:sz w:val="18"/>
                <w:szCs w:val="18"/>
                <w:color w:val="auto"/>
              </w:rPr>
              <w:t>Clinically significant Steal Syndrome</w:t>
            </w:r>
          </w:p>
        </w:tc>
        <w:tc>
          <w:tcPr>
            <w:tcW w:w="152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5"/>
              </w:rPr>
              <w:t>1.9%</w:t>
            </w:r>
          </w:p>
        </w:tc>
        <w:tc>
          <w:tcPr>
            <w:tcW w:w="15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0.0</w:t>
            </w:r>
          </w:p>
        </w:tc>
        <w:tc>
          <w:tcPr>
            <w:tcW w:w="16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5"/>
              </w:rPr>
              <w:t>3.6%</w:t>
            </w:r>
          </w:p>
        </w:tc>
        <w:tc>
          <w:tcPr>
            <w:tcW w:w="158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0.1</w:t>
            </w:r>
          </w:p>
        </w:tc>
      </w:tr>
      <w:tr>
        <w:trPr>
          <w:trHeight w:val="199"/>
        </w:trPr>
        <w:tc>
          <w:tcPr>
            <w:tcW w:w="4080" w:type="dxa"/>
            <w:vAlign w:val="bottom"/>
            <w:tcBorders>
              <w:left w:val="single" w:sz="8" w:color="auto"/>
              <w:right w:val="single" w:sz="8" w:color="auto"/>
            </w:tcBorders>
          </w:tcPr>
          <w:p>
            <w:pPr>
              <w:ind w:left="120"/>
              <w:spacing w:after="0" w:line="199" w:lineRule="exact"/>
              <w:rPr>
                <w:sz w:val="20"/>
                <w:szCs w:val="20"/>
                <w:color w:val="auto"/>
              </w:rPr>
            </w:pPr>
            <w:r>
              <w:rPr>
                <w:rFonts w:ascii="Times New Roman" w:cs="Times New Roman" w:eastAsia="Times New Roman" w:hAnsi="Times New Roman"/>
                <w:sz w:val="18"/>
                <w:szCs w:val="18"/>
                <w:color w:val="auto"/>
              </w:rPr>
              <w:t>Rupture of SA</w:t>
            </w:r>
          </w:p>
        </w:tc>
        <w:tc>
          <w:tcPr>
            <w:tcW w:w="152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5"/>
              </w:rPr>
              <w:t>0.0%</w:t>
            </w:r>
          </w:p>
        </w:tc>
        <w:tc>
          <w:tcPr>
            <w:tcW w:w="15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0.0</w:t>
            </w:r>
          </w:p>
        </w:tc>
        <w:tc>
          <w:tcPr>
            <w:tcW w:w="16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5"/>
              </w:rPr>
              <w:t>3.6%</w:t>
            </w:r>
          </w:p>
        </w:tc>
        <w:tc>
          <w:tcPr>
            <w:tcW w:w="158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0.1</w:t>
            </w:r>
          </w:p>
        </w:tc>
      </w:tr>
      <w:tr>
        <w:trPr>
          <w:trHeight w:val="199"/>
        </w:trPr>
        <w:tc>
          <w:tcPr>
            <w:tcW w:w="4080" w:type="dxa"/>
            <w:vAlign w:val="bottom"/>
            <w:tcBorders>
              <w:left w:val="single" w:sz="8" w:color="auto"/>
              <w:right w:val="single" w:sz="8" w:color="auto"/>
            </w:tcBorders>
          </w:tcPr>
          <w:p>
            <w:pPr>
              <w:ind w:left="120"/>
              <w:spacing w:after="0" w:line="199" w:lineRule="exact"/>
              <w:rPr>
                <w:sz w:val="20"/>
                <w:szCs w:val="20"/>
                <w:color w:val="auto"/>
              </w:rPr>
            </w:pPr>
            <w:r>
              <w:rPr>
                <w:rFonts w:ascii="Times New Roman" w:cs="Times New Roman" w:eastAsia="Times New Roman" w:hAnsi="Times New Roman"/>
                <w:sz w:val="18"/>
                <w:szCs w:val="18"/>
                <w:color w:val="auto"/>
              </w:rPr>
              <w:t>Leading to SA revision or ligation</w:t>
            </w:r>
          </w:p>
        </w:tc>
        <w:tc>
          <w:tcPr>
            <w:tcW w:w="152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4"/>
              </w:rPr>
              <w:t>11.1%</w:t>
            </w:r>
          </w:p>
        </w:tc>
        <w:tc>
          <w:tcPr>
            <w:tcW w:w="15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0.2</w:t>
            </w:r>
          </w:p>
        </w:tc>
        <w:tc>
          <w:tcPr>
            <w:tcW w:w="16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28.6%</w:t>
            </w:r>
          </w:p>
        </w:tc>
        <w:tc>
          <w:tcPr>
            <w:tcW w:w="158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1.2</w:t>
            </w:r>
          </w:p>
        </w:tc>
      </w:tr>
      <w:tr>
        <w:trPr>
          <w:trHeight w:val="258"/>
        </w:trPr>
        <w:tc>
          <w:tcPr>
            <w:tcW w:w="4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Leading to SA excision</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Phase 3 V012 AV Access Study in Women</w:t>
      </w:r>
    </w:p>
    <w:p>
      <w:pPr>
        <w:spacing w:after="0" w:line="190"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In collaboration with our corporate partner Fresenius Medical Care and its subsidiary Frenova Renal Research, we conducted a study to review the outcomes of 178,575 adult patients who received in-center dialysis at Fresenius Kidney Care dialysis centers. Among the areas of study were the complications and cost of treatment by patient demographic. </w:t>
      </w:r>
      <w:r>
        <w:rPr>
          <w:rFonts w:ascii="Times New Roman" w:cs="Times New Roman" w:eastAsia="Times New Roman" w:hAnsi="Times New Roman"/>
          <w:sz w:val="18"/>
          <w:szCs w:val="18"/>
          <w:color w:val="000000"/>
        </w:rPr>
        <w:t>The objective of the study was to further define patient subgroups who could</w:t>
      </w:r>
      <w:r>
        <w:rPr>
          <w:rFonts w:ascii="Times New Roman" w:cs="Times New Roman" w:eastAsia="Times New Roman" w:hAnsi="Times New Roman"/>
          <w:sz w:val="18"/>
          <w:szCs w:val="18"/>
          <w:color w:val="231F20"/>
        </w:rPr>
        <w:t xml:space="preserve"> most benefit from the ATEV. The study showed that women, particularly obese and diabetic women, have higher complication rates, including infections and access failures, and higher treatment costs.</w:t>
      </w:r>
    </w:p>
    <w:p>
      <w:pPr>
        <w:spacing w:after="0" w:line="14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231F20"/>
        </w:rPr>
        <w:t>Based on the results of the results of this research, we have commenced a clinical study designed to demonstrate the clinical and health economic benefits of the ATEV in women dialysis patients, a high-unmet-need population. We have commenced a Phase 3 trial, which we refer to as the V012 trial, in up to 150 patients with ESRD. V012 is a Phase 3, prospective, multi-center, open label, randomized, two-arm comparative study conducted in the United States. The V012 trial is designed to assess the usability of the ATEV for dialysis in comparison to autogenous fistulas, in female patients currently receiving hemodialysis via catheter. The primary measure of efficacy will be total days free from in-dwelling catheter (“catheter-free days”) until 365 days, or until access abandonment, whichever occurs first. The primary measure of safety will be the number and severity of infections related to all accesses (including catheters) from access creation until 365 days. An interim analysis is planned on the first 80 patients after one-year of follow up, and 76 patients have currently been enrolled in the study.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Planned Supplemental BLA Filing in AV Access</w:t>
      </w:r>
    </w:p>
    <w:p>
      <w:pPr>
        <w:spacing w:after="0" w:line="190"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8"/>
          <w:szCs w:val="18"/>
          <w:color w:val="231F20"/>
        </w:rPr>
        <w:t>Based on discussions with the FDA, our current plan is to submit a supplemental BLA after interim analysis of V012 study, subject to the results of that interim analysis. This plan would support a supplemental BLA submission in the second half of 2026 dependent upon the rate of enrollment in the V012 study and on the timeline for interim data analysis. Our current expectation is that the supplemental BLA submission would target the subgroups in which the ATEV has showed the best results to date, which are all females and males with risk factors for fistula non-maturation.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Proposed Indication #3: PAD</w:t>
      </w:r>
    </w:p>
    <w:p>
      <w:pPr>
        <w:spacing w:after="0" w:line="181" w:lineRule="exact"/>
        <w:rPr>
          <w:sz w:val="20"/>
          <w:szCs w:val="20"/>
          <w:color w:val="auto"/>
        </w:rPr>
      </w:pPr>
    </w:p>
    <w:p>
      <w:pPr>
        <w:jc w:val="both"/>
        <w:ind w:right="60" w:firstLine="318"/>
        <w:spacing w:after="0" w:line="251" w:lineRule="auto"/>
        <w:rPr>
          <w:sz w:val="20"/>
          <w:szCs w:val="20"/>
          <w:color w:val="auto"/>
        </w:rPr>
      </w:pPr>
      <w:r>
        <w:rPr>
          <w:rFonts w:ascii="Times New Roman" w:cs="Times New Roman" w:eastAsia="Times New Roman" w:hAnsi="Times New Roman"/>
          <w:sz w:val="18"/>
          <w:szCs w:val="18"/>
          <w:color w:val="231F20"/>
        </w:rPr>
        <w:t>PAD involves partial or complete occlusion of blood vessels in the peripheral circulation and is a major cause of morbidity and mortality in the developed world. Patients with severe PAD undergo peripheral arterial bypass surgery where a conduit is implanted above and below the area of the arterial obstruction, to provide a “bypass” route for blood to flow around the blocked artery. The vast majority of these operations are performed in the lower limb. Other surgical alternatives include minimally invasive approaches such as stenting and angioplasties that are suitable for smaller atherosclerotic lesions and can delay — but oftentimes not prevent — the ultimate need for surgical revascularization.</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60" w:firstLine="318"/>
        <w:spacing w:after="0" w:line="254" w:lineRule="auto"/>
        <w:rPr>
          <w:sz w:val="20"/>
          <w:szCs w:val="20"/>
          <w:color w:val="auto"/>
        </w:rPr>
      </w:pPr>
      <w:r>
        <w:rPr>
          <w:rFonts w:ascii="Times New Roman" w:cs="Times New Roman" w:eastAsia="Times New Roman" w:hAnsi="Times New Roman"/>
          <w:sz w:val="18"/>
          <w:szCs w:val="18"/>
          <w:color w:val="231F20"/>
        </w:rPr>
        <w:t>We have observed strong patency rates and no reported cases of infection for the ATEV in PAD in clinical studies to date. We are developing our 6 millimeter ATEV for use as a bypass conduit for patients with PAD. We have conducted two Phase 2 trials to evaluate the safety and efficacy of our 6 millimeter ATEV for use as a bypass conduit with PAD, which we refer to as our V002 and V004 trials. For both of these Phase 2 trials, the ATEV was implanted as a femoral popliteal bypass graft in patients with PAD.</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20" w:type="dxa"/>
            <w:vAlign w:val="bottom"/>
            <w:gridSpan w:val="6"/>
          </w:tcPr>
          <w:p>
            <w:pPr>
              <w:ind w:left="440"/>
              <w:spacing w:after="0"/>
              <w:rPr>
                <w:sz w:val="20"/>
                <w:szCs w:val="20"/>
                <w:color w:val="auto"/>
              </w:rPr>
            </w:pPr>
            <w:r>
              <w:rPr>
                <w:rFonts w:ascii="Times New Roman" w:cs="Times New Roman" w:eastAsia="Times New Roman" w:hAnsi="Times New Roman"/>
                <w:sz w:val="18"/>
                <w:szCs w:val="18"/>
                <w:i w:val="1"/>
                <w:iCs w:val="1"/>
                <w:color w:val="231F20"/>
              </w:rPr>
              <w:t>Our Current Phase 2 Trials of the ATEV in PAD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Clinical</w:t>
            </w: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Begin</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Design/</w:t>
            </w: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340" w:type="dxa"/>
            <w:vAlign w:val="bottom"/>
            <w:gridSpan w:val="2"/>
          </w:tcPr>
          <w:p>
            <w:pPr>
              <w:jc w:val="center"/>
              <w:ind w:right="80"/>
              <w:spacing w:after="0" w:line="179" w:lineRule="exact"/>
              <w:rPr>
                <w:sz w:val="20"/>
                <w:szCs w:val="20"/>
                <w:color w:val="auto"/>
              </w:rPr>
            </w:pPr>
            <w:r>
              <w:rPr>
                <w:rFonts w:ascii="Times New Roman" w:cs="Times New Roman" w:eastAsia="Times New Roman" w:hAnsi="Times New Roman"/>
                <w:sz w:val="18"/>
                <w:szCs w:val="18"/>
                <w:b w:val="1"/>
                <w:bCs w:val="1"/>
                <w:color w:val="auto"/>
                <w:w w:val="97"/>
              </w:rPr>
              <w:t>Trial</w:t>
            </w:r>
          </w:p>
        </w:tc>
        <w:tc>
          <w:tcPr>
            <w:tcW w:w="1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Indication</w:t>
            </w:r>
          </w:p>
        </w:tc>
        <w:tc>
          <w:tcPr>
            <w:tcW w:w="136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Status</w:t>
            </w:r>
          </w:p>
        </w:tc>
        <w:tc>
          <w:tcPr>
            <w:tcW w:w="2340" w:type="dxa"/>
            <w:vAlign w:val="bottom"/>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Outcomes**</w:t>
            </w:r>
          </w:p>
        </w:tc>
        <w:tc>
          <w:tcPr>
            <w:tcW w:w="0" w:type="dxa"/>
            <w:vAlign w:val="bottom"/>
          </w:tcPr>
          <w:p>
            <w:pPr>
              <w:spacing w:after="0"/>
              <w:rPr>
                <w:sz w:val="1"/>
                <w:szCs w:val="1"/>
                <w:color w:val="auto"/>
              </w:rPr>
            </w:pPr>
          </w:p>
        </w:tc>
      </w:tr>
      <w:tr>
        <w:trPr>
          <w:trHeight w:val="225"/>
        </w:trPr>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980" w:type="dxa"/>
            <w:vAlign w:val="bottom"/>
            <w:gridSpan w:val="2"/>
            <w:vMerge w:val="continue"/>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Enrollment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Phase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Subjects</w:t>
            </w:r>
          </w:p>
        </w:tc>
        <w:tc>
          <w:tcPr>
            <w:tcW w:w="1240" w:type="dxa"/>
            <w:vAlign w:val="bottom"/>
            <w:gridSpan w:val="2"/>
            <w:vMerge w:val="continue"/>
          </w:tcPr>
          <w:p>
            <w:pPr>
              <w:spacing w:after="0"/>
              <w:rPr>
                <w:sz w:val="19"/>
                <w:szCs w:val="19"/>
                <w:color w:val="auto"/>
              </w:rPr>
            </w:pPr>
          </w:p>
        </w:tc>
        <w:tc>
          <w:tcPr>
            <w:tcW w:w="2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V002</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Peripheral</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Phase 2</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10-year</w:t>
            </w:r>
          </w:p>
        </w:tc>
        <w:tc>
          <w:tcPr>
            <w:tcW w:w="1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30-day PP: 100%</w:t>
            </w: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Artery Disease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Single-arm</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follow-up</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6-month SP: 84%</w:t>
            </w:r>
          </w:p>
        </w:tc>
        <w:tc>
          <w:tcPr>
            <w:tcW w:w="0" w:type="dxa"/>
            <w:vAlign w:val="bottom"/>
          </w:tcPr>
          <w:p>
            <w:pPr>
              <w:spacing w:after="0"/>
              <w:rPr>
                <w:sz w:val="1"/>
                <w:szCs w:val="1"/>
                <w:color w:val="auto"/>
              </w:rPr>
            </w:pPr>
          </w:p>
        </w:tc>
      </w:tr>
      <w:tr>
        <w:trPr>
          <w:trHeight w:val="225"/>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ongoing</w:t>
            </w: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12-month SP: 84%</w:t>
            </w: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72-month SP: 60%</w:t>
            </w:r>
          </w:p>
        </w:tc>
        <w:tc>
          <w:tcPr>
            <w:tcW w:w="0" w:type="dxa"/>
            <w:vAlign w:val="bottom"/>
          </w:tcPr>
          <w:p>
            <w:pPr>
              <w:spacing w:after="0"/>
              <w:rPr>
                <w:sz w:val="1"/>
                <w:szCs w:val="1"/>
                <w:color w:val="auto"/>
              </w:rPr>
            </w:pPr>
          </w:p>
        </w:tc>
      </w:tr>
      <w:tr>
        <w:trPr>
          <w:trHeight w:val="225"/>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Infection Rate/yr: 0%</w:t>
            </w: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Number of Rejections: 0</w:t>
            </w:r>
          </w:p>
        </w:tc>
        <w:tc>
          <w:tcPr>
            <w:tcW w:w="0" w:type="dxa"/>
            <w:vAlign w:val="bottom"/>
          </w:tcPr>
          <w:p>
            <w:pPr>
              <w:spacing w:after="0"/>
              <w:rPr>
                <w:sz w:val="1"/>
                <w:szCs w:val="1"/>
                <w:color w:val="auto"/>
              </w:rPr>
            </w:pPr>
          </w:p>
        </w:tc>
      </w:tr>
      <w:tr>
        <w:trPr>
          <w:trHeight w:val="225"/>
        </w:trPr>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V004</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Peripheral</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Phase 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Completed</w:t>
            </w: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30-day PP: 100%</w:t>
            </w: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Artery Disease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Single-arm</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6-month SP: 86%</w:t>
            </w:r>
          </w:p>
        </w:tc>
        <w:tc>
          <w:tcPr>
            <w:tcW w:w="0" w:type="dxa"/>
            <w:vAlign w:val="bottom"/>
          </w:tcPr>
          <w:p>
            <w:pPr>
              <w:spacing w:after="0"/>
              <w:rPr>
                <w:sz w:val="1"/>
                <w:szCs w:val="1"/>
                <w:color w:val="auto"/>
              </w:rPr>
            </w:pPr>
          </w:p>
        </w:tc>
      </w:tr>
      <w:tr>
        <w:trPr>
          <w:trHeight w:val="225"/>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12-month SP: 64%</w:t>
            </w: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Infection Rate/yr: 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-1905</wp:posOffset>
            </wp:positionV>
            <wp:extent cx="6995160" cy="142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ind w:left="9000"/>
        <w:spacing w:after="0"/>
        <w:rPr>
          <w:sz w:val="20"/>
          <w:szCs w:val="20"/>
          <w:color w:val="auto"/>
        </w:rPr>
      </w:pPr>
      <w:r>
        <w:rPr>
          <w:rFonts w:ascii="Times New Roman" w:cs="Times New Roman" w:eastAsia="Times New Roman" w:hAnsi="Times New Roman"/>
          <w:sz w:val="18"/>
          <w:szCs w:val="18"/>
          <w:color w:val="auto"/>
        </w:rPr>
        <w:t>Number of Rejections: 0</w:t>
      </w:r>
    </w:p>
    <w:p>
      <w:pPr>
        <w:spacing w:after="0" w:line="13"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Number of Amputations: 0</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77" w:lineRule="exact"/>
        <w:rPr>
          <w:sz w:val="20"/>
          <w:szCs w:val="20"/>
          <w:color w:val="auto"/>
        </w:rPr>
      </w:pPr>
    </w:p>
    <w:p>
      <w:pPr>
        <w:ind w:left="320" w:right="820" w:hanging="314"/>
        <w:spacing w:after="0" w:line="271" w:lineRule="auto"/>
        <w:tabs>
          <w:tab w:leader="none" w:pos="35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PP: Primary Patency, which is the interval of time of access placement until any intervention designed to maintain or reestablish patency, access thrombosis, or the time of measurement of patency, i.e. patent without interventions.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SP: Secondary Patency, which is the interval from the time of access placement until abandonment, i.e. patent with or without interventions.</w:t>
      </w:r>
    </w:p>
    <w:p>
      <w:pPr>
        <w:spacing w:after="0" w:line="175" w:lineRule="exact"/>
        <w:rPr>
          <w:sz w:val="20"/>
          <w:szCs w:val="20"/>
          <w:color w:val="auto"/>
        </w:rPr>
      </w:pPr>
    </w:p>
    <w:p>
      <w:pPr>
        <w:ind w:right="380" w:firstLine="318"/>
        <w:spacing w:after="0" w:line="259"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Both our V004 and V002 trials were prospective, open-label, single treatment arm, multi-center studies. We enrolled 20 patients in our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V002 trial in Poland, and 15 patients in our V004 trial in the United States. Both trials had the primary objectives of evaluating the safety of the ATEV as a femoral-to-popliteal bypass graft, and determining the primary, primary assisted, and secondary patency over 12 and 24 months.</w:t>
      </w:r>
    </w:p>
    <w:p>
      <w:pPr>
        <w:spacing w:after="0" w:line="137" w:lineRule="exact"/>
        <w:rPr>
          <w:sz w:val="20"/>
          <w:szCs w:val="20"/>
          <w:color w:val="auto"/>
        </w:rPr>
      </w:pPr>
    </w:p>
    <w:p>
      <w:pPr>
        <w:ind w:right="220" w:firstLine="318"/>
        <w:spacing w:after="0" w:line="251" w:lineRule="auto"/>
        <w:rPr>
          <w:sz w:val="20"/>
          <w:szCs w:val="20"/>
          <w:color w:val="auto"/>
        </w:rPr>
      </w:pPr>
      <w:r>
        <w:rPr>
          <w:rFonts w:ascii="Times New Roman" w:cs="Times New Roman" w:eastAsia="Times New Roman" w:hAnsi="Times New Roman"/>
          <w:sz w:val="18"/>
          <w:szCs w:val="18"/>
          <w:b w:val="1"/>
          <w:bCs w:val="1"/>
          <w:color w:val="231F20"/>
        </w:rPr>
        <w:t xml:space="preserve">Current Trial Status and Outcomes: </w:t>
      </w:r>
      <w:r>
        <w:rPr>
          <w:rFonts w:ascii="Times New Roman" w:cs="Times New Roman" w:eastAsia="Times New Roman" w:hAnsi="Times New Roman"/>
          <w:sz w:val="18"/>
          <w:szCs w:val="18"/>
          <w:color w:val="231F20"/>
        </w:rPr>
        <w:t>V002 enrolled a total of 20 patients between the ages of 54 and 79 at three clinical sites. 24-month results of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V002 trial were published in 2020. After censoring for three deaths (none of which were determined to be related to the ATEV or the implant procedure), we observed 24-month primary, primary assisted and secondary patency rates of 58%, 58%, and 74%, respectively. We observed through ultrasound data that the ATEVs were mechanically stable during the follow-up period and did not develop aneurysmal dilatation in any patient. Overall, we also determined through the histological assessment of explanted specimens that there were normal vascular cells within the ATEV and there was no infection or signs of immunological reaction to the graft.</w:t>
      </w:r>
    </w:p>
    <w:p>
      <w:pPr>
        <w:spacing w:after="0" w:line="159" w:lineRule="exact"/>
        <w:rPr>
          <w:sz w:val="20"/>
          <w:szCs w:val="20"/>
          <w:color w:val="auto"/>
        </w:rPr>
      </w:pPr>
    </w:p>
    <w:p>
      <w:pPr>
        <w:ind w:right="180" w:firstLine="318"/>
        <w:spacing w:after="0" w:line="251" w:lineRule="auto"/>
        <w:rPr>
          <w:sz w:val="20"/>
          <w:szCs w:val="20"/>
          <w:color w:val="auto"/>
        </w:rPr>
      </w:pPr>
      <w:r>
        <w:rPr>
          <w:rFonts w:ascii="Times New Roman" w:cs="Times New Roman" w:eastAsia="Times New Roman" w:hAnsi="Times New Roman"/>
          <w:sz w:val="18"/>
          <w:szCs w:val="18"/>
          <w:color w:val="231F20"/>
        </w:rPr>
        <w:t>There have been no ATEV-related infections reported during the V002 trial as of December 31, 2024, and no amputations of the treated extremity. A sub-set of seven V002 subjects consented for long-term follow-up computerized tomography (“CT”) angiograms, which were obtained at 48 to 52 months after ATEV implantation. In all cases, the ATEV maintained normal architecture and function. A representative image is shown below, taken 50 months post-implantation. Proximal and distal anastomoses of ATEV with recipient’s vasculature are noted, as is the scale bar on the right-hand side of each image. The image presents two views of the same subject, and shows uniform ATEV diameter along the length of the implant.</w:t>
      </w:r>
    </w:p>
    <w:p>
      <w:pPr>
        <w:spacing w:after="0" w:line="200" w:lineRule="exact"/>
        <w:rPr>
          <w:sz w:val="20"/>
          <w:szCs w:val="20"/>
          <w:color w:val="auto"/>
        </w:rPr>
      </w:pPr>
    </w:p>
    <w:p>
      <w:pPr>
        <w:spacing w:after="0" w:line="35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293"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231F20"/>
        </w:rPr>
        <w:t>A CT Angiogram from a V002 Subject at 51 months after ATEV implantation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2163445</wp:posOffset>
            </wp:positionH>
            <wp:positionV relativeFrom="paragraph">
              <wp:posOffset>125095</wp:posOffset>
            </wp:positionV>
            <wp:extent cx="3025140" cy="30251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25140" cy="302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40" w:firstLine="318"/>
        <w:spacing w:after="0" w:line="254" w:lineRule="auto"/>
        <w:rPr>
          <w:sz w:val="20"/>
          <w:szCs w:val="20"/>
          <w:color w:val="auto"/>
        </w:rPr>
      </w:pPr>
      <w:r>
        <w:rPr>
          <w:rFonts w:ascii="Times New Roman" w:cs="Times New Roman" w:eastAsia="Times New Roman" w:hAnsi="Times New Roman"/>
          <w:sz w:val="18"/>
          <w:szCs w:val="18"/>
          <w:color w:val="231F20"/>
        </w:rPr>
        <w:t>Patients in the V002 trial are currently in long-term follow-up out to ten years. In 2022, s</w:t>
      </w:r>
      <w:r>
        <w:rPr>
          <w:rFonts w:ascii="Times New Roman" w:cs="Times New Roman" w:eastAsia="Times New Roman" w:hAnsi="Times New Roman"/>
          <w:sz w:val="18"/>
          <w:szCs w:val="18"/>
          <w:color w:val="000000"/>
        </w:rPr>
        <w:t>ix-year results from V002 were published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Journal of Vascular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Surgery – Vascular Science</w:t>
      </w:r>
      <w:r>
        <w:rPr>
          <w:rFonts w:ascii="Times New Roman" w:cs="Times New Roman" w:eastAsia="Times New Roman" w:hAnsi="Times New Roman"/>
          <w:sz w:val="18"/>
          <w:szCs w:val="18"/>
          <w:color w:val="000000"/>
        </w:rPr>
        <w:t>. The article, entitled “6-Year Outcomes of a Phase 2 Study of Human-Tissue Engineered Blood Vessels for Peripheral Arterial</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Bypass,” reported overall secondary patency rate of 60% at 72 months, including all patients originally enrolled, as estimated by Kaplan Meier analysis. There was no evidence of graft rejection or infection, and no patients underwent amputation of the affected limb out to six years.</w:t>
      </w:r>
    </w:p>
    <w:p>
      <w:pPr>
        <w:spacing w:after="0" w:line="143"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gridSpan w:val="7"/>
          </w:tcPr>
          <w:p>
            <w:pPr>
              <w:ind w:left="220"/>
              <w:spacing w:after="0"/>
              <w:rPr>
                <w:sz w:val="20"/>
                <w:szCs w:val="20"/>
                <w:color w:val="auto"/>
              </w:rPr>
            </w:pPr>
            <w:r>
              <w:rPr>
                <w:rFonts w:ascii="Times New Roman" w:cs="Times New Roman" w:eastAsia="Times New Roman" w:hAnsi="Times New Roman"/>
                <w:sz w:val="18"/>
                <w:szCs w:val="18"/>
                <w:i w:val="1"/>
                <w:iCs w:val="1"/>
                <w:color w:val="231F20"/>
              </w:rPr>
              <w:t>Long-term results from V002 Phase 2 study in PAD</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260" w:type="dxa"/>
            <w:vAlign w:val="bottom"/>
            <w:shd w:val="clear" w:color="auto" w:fill="24428B"/>
          </w:tcPr>
          <w:p>
            <w:pPr>
              <w:ind w:left="40"/>
              <w:spacing w:after="0" w:line="185" w:lineRule="exact"/>
              <w:rPr>
                <w:sz w:val="20"/>
                <w:szCs w:val="20"/>
                <w:color w:val="auto"/>
              </w:rPr>
            </w:pPr>
            <w:r>
              <w:rPr>
                <w:rFonts w:ascii="Arial" w:cs="Arial" w:eastAsia="Arial" w:hAnsi="Arial"/>
                <w:sz w:val="18"/>
                <w:szCs w:val="18"/>
                <w:color w:val="FFFFFF"/>
              </w:rPr>
              <w:t>Result from V002</w:t>
            </w:r>
          </w:p>
        </w:tc>
        <w:tc>
          <w:tcPr>
            <w:tcW w:w="80" w:type="dxa"/>
            <w:vAlign w:val="bottom"/>
          </w:tcPr>
          <w:p>
            <w:pPr>
              <w:spacing w:after="0"/>
              <w:rPr>
                <w:sz w:val="16"/>
                <w:szCs w:val="16"/>
                <w:color w:val="auto"/>
              </w:rPr>
            </w:pPr>
          </w:p>
        </w:tc>
        <w:tc>
          <w:tcPr>
            <w:tcW w:w="1020" w:type="dxa"/>
            <w:vAlign w:val="bottom"/>
            <w:vMerge w:val="restart"/>
            <w:shd w:val="clear" w:color="auto" w:fill="24428B"/>
          </w:tcPr>
          <w:p>
            <w:pPr>
              <w:ind w:left="220"/>
              <w:spacing w:after="0"/>
              <w:rPr>
                <w:sz w:val="20"/>
                <w:szCs w:val="20"/>
                <w:color w:val="auto"/>
              </w:rPr>
            </w:pPr>
            <w:r>
              <w:rPr>
                <w:rFonts w:ascii="Arial" w:cs="Arial" w:eastAsia="Arial" w:hAnsi="Arial"/>
                <w:sz w:val="18"/>
                <w:szCs w:val="18"/>
                <w:color w:val="FFFFFF"/>
              </w:rPr>
              <w:t>Pre-Op</w:t>
            </w:r>
          </w:p>
        </w:tc>
        <w:tc>
          <w:tcPr>
            <w:tcW w:w="80" w:type="dxa"/>
            <w:vAlign w:val="bottom"/>
          </w:tcPr>
          <w:p>
            <w:pPr>
              <w:spacing w:after="0"/>
              <w:rPr>
                <w:sz w:val="16"/>
                <w:szCs w:val="16"/>
                <w:color w:val="auto"/>
              </w:rPr>
            </w:pPr>
          </w:p>
        </w:tc>
        <w:tc>
          <w:tcPr>
            <w:tcW w:w="1020" w:type="dxa"/>
            <w:vAlign w:val="bottom"/>
            <w:vMerge w:val="restart"/>
            <w:shd w:val="clear" w:color="auto" w:fill="24428B"/>
          </w:tcPr>
          <w:p>
            <w:pPr>
              <w:ind w:left="360"/>
              <w:spacing w:after="0"/>
              <w:rPr>
                <w:sz w:val="20"/>
                <w:szCs w:val="20"/>
                <w:color w:val="auto"/>
              </w:rPr>
            </w:pPr>
            <w:r>
              <w:rPr>
                <w:rFonts w:ascii="Arial" w:cs="Arial" w:eastAsia="Arial" w:hAnsi="Arial"/>
                <w:sz w:val="18"/>
                <w:szCs w:val="18"/>
                <w:color w:val="FFFFFF"/>
              </w:rPr>
              <w:t>1 yr</w:t>
            </w:r>
          </w:p>
        </w:tc>
        <w:tc>
          <w:tcPr>
            <w:tcW w:w="80" w:type="dxa"/>
            <w:vAlign w:val="bottom"/>
          </w:tcPr>
          <w:p>
            <w:pPr>
              <w:spacing w:after="0"/>
              <w:rPr>
                <w:sz w:val="16"/>
                <w:szCs w:val="16"/>
                <w:color w:val="auto"/>
              </w:rPr>
            </w:pPr>
          </w:p>
        </w:tc>
        <w:tc>
          <w:tcPr>
            <w:tcW w:w="1000" w:type="dxa"/>
            <w:vAlign w:val="bottom"/>
            <w:vMerge w:val="restart"/>
            <w:shd w:val="clear" w:color="auto" w:fill="24428B"/>
          </w:tcPr>
          <w:p>
            <w:pPr>
              <w:ind w:left="360"/>
              <w:spacing w:after="0"/>
              <w:rPr>
                <w:sz w:val="20"/>
                <w:szCs w:val="20"/>
                <w:color w:val="auto"/>
              </w:rPr>
            </w:pPr>
            <w:r>
              <w:rPr>
                <w:rFonts w:ascii="Arial" w:cs="Arial" w:eastAsia="Arial" w:hAnsi="Arial"/>
                <w:sz w:val="18"/>
                <w:szCs w:val="18"/>
                <w:color w:val="FFFFFF"/>
              </w:rPr>
              <w:t>2 yr</w:t>
            </w:r>
          </w:p>
        </w:tc>
        <w:tc>
          <w:tcPr>
            <w:tcW w:w="100" w:type="dxa"/>
            <w:vAlign w:val="bottom"/>
          </w:tcPr>
          <w:p>
            <w:pPr>
              <w:spacing w:after="0"/>
              <w:rPr>
                <w:sz w:val="16"/>
                <w:szCs w:val="16"/>
                <w:color w:val="auto"/>
              </w:rPr>
            </w:pPr>
          </w:p>
        </w:tc>
        <w:tc>
          <w:tcPr>
            <w:tcW w:w="1000" w:type="dxa"/>
            <w:vAlign w:val="bottom"/>
            <w:vMerge w:val="restart"/>
            <w:shd w:val="clear" w:color="auto" w:fill="24428B"/>
          </w:tcPr>
          <w:p>
            <w:pPr>
              <w:ind w:left="360"/>
              <w:spacing w:after="0"/>
              <w:rPr>
                <w:sz w:val="20"/>
                <w:szCs w:val="20"/>
                <w:color w:val="auto"/>
              </w:rPr>
            </w:pPr>
            <w:r>
              <w:rPr>
                <w:rFonts w:ascii="Arial" w:cs="Arial" w:eastAsia="Arial" w:hAnsi="Arial"/>
                <w:sz w:val="18"/>
                <w:szCs w:val="18"/>
                <w:color w:val="FFFFFF"/>
              </w:rPr>
              <w:t>3 yr</w:t>
            </w:r>
          </w:p>
        </w:tc>
        <w:tc>
          <w:tcPr>
            <w:tcW w:w="100" w:type="dxa"/>
            <w:vAlign w:val="bottom"/>
          </w:tcPr>
          <w:p>
            <w:pPr>
              <w:spacing w:after="0"/>
              <w:rPr>
                <w:sz w:val="16"/>
                <w:szCs w:val="16"/>
                <w:color w:val="auto"/>
              </w:rPr>
            </w:pPr>
          </w:p>
        </w:tc>
        <w:tc>
          <w:tcPr>
            <w:tcW w:w="1000" w:type="dxa"/>
            <w:vAlign w:val="bottom"/>
            <w:vMerge w:val="restart"/>
            <w:shd w:val="clear" w:color="auto" w:fill="24428B"/>
          </w:tcPr>
          <w:p>
            <w:pPr>
              <w:ind w:left="360"/>
              <w:spacing w:after="0"/>
              <w:rPr>
                <w:sz w:val="20"/>
                <w:szCs w:val="20"/>
                <w:color w:val="auto"/>
              </w:rPr>
            </w:pPr>
            <w:r>
              <w:rPr>
                <w:rFonts w:ascii="Arial" w:cs="Arial" w:eastAsia="Arial" w:hAnsi="Arial"/>
                <w:sz w:val="18"/>
                <w:szCs w:val="18"/>
                <w:color w:val="FFFFFF"/>
              </w:rPr>
              <w:t>4 yr</w:t>
            </w:r>
          </w:p>
        </w:tc>
        <w:tc>
          <w:tcPr>
            <w:tcW w:w="100" w:type="dxa"/>
            <w:vAlign w:val="bottom"/>
          </w:tcPr>
          <w:p>
            <w:pPr>
              <w:spacing w:after="0"/>
              <w:rPr>
                <w:sz w:val="16"/>
                <w:szCs w:val="16"/>
                <w:color w:val="auto"/>
              </w:rPr>
            </w:pPr>
          </w:p>
        </w:tc>
        <w:tc>
          <w:tcPr>
            <w:tcW w:w="1000" w:type="dxa"/>
            <w:vAlign w:val="bottom"/>
            <w:vMerge w:val="restart"/>
            <w:shd w:val="clear" w:color="auto" w:fill="24428B"/>
          </w:tcPr>
          <w:p>
            <w:pPr>
              <w:ind w:left="360"/>
              <w:spacing w:after="0"/>
              <w:rPr>
                <w:sz w:val="20"/>
                <w:szCs w:val="20"/>
                <w:color w:val="auto"/>
              </w:rPr>
            </w:pPr>
            <w:r>
              <w:rPr>
                <w:rFonts w:ascii="Arial" w:cs="Arial" w:eastAsia="Arial" w:hAnsi="Arial"/>
                <w:sz w:val="18"/>
                <w:szCs w:val="18"/>
                <w:color w:val="FFFFFF"/>
              </w:rPr>
              <w:t>5 yr</w:t>
            </w:r>
          </w:p>
        </w:tc>
        <w:tc>
          <w:tcPr>
            <w:tcW w:w="100" w:type="dxa"/>
            <w:vAlign w:val="bottom"/>
          </w:tcPr>
          <w:p>
            <w:pPr>
              <w:spacing w:after="0"/>
              <w:rPr>
                <w:sz w:val="16"/>
                <w:szCs w:val="16"/>
                <w:color w:val="auto"/>
              </w:rPr>
            </w:pPr>
          </w:p>
        </w:tc>
        <w:tc>
          <w:tcPr>
            <w:tcW w:w="1000" w:type="dxa"/>
            <w:vAlign w:val="bottom"/>
            <w:vMerge w:val="restart"/>
            <w:shd w:val="clear" w:color="auto" w:fill="24428B"/>
          </w:tcPr>
          <w:p>
            <w:pPr>
              <w:ind w:left="360"/>
              <w:spacing w:after="0"/>
              <w:rPr>
                <w:sz w:val="20"/>
                <w:szCs w:val="20"/>
                <w:color w:val="auto"/>
              </w:rPr>
            </w:pPr>
            <w:r>
              <w:rPr>
                <w:rFonts w:ascii="Arial" w:cs="Arial" w:eastAsia="Arial" w:hAnsi="Arial"/>
                <w:sz w:val="18"/>
                <w:szCs w:val="18"/>
                <w:color w:val="FFFFFF"/>
              </w:rPr>
              <w:t>6 yr</w:t>
            </w:r>
          </w:p>
        </w:tc>
        <w:tc>
          <w:tcPr>
            <w:tcW w:w="100" w:type="dxa"/>
            <w:vAlign w:val="bottom"/>
          </w:tcPr>
          <w:p>
            <w:pPr>
              <w:spacing w:after="0"/>
              <w:rPr>
                <w:sz w:val="16"/>
                <w:szCs w:val="16"/>
                <w:color w:val="auto"/>
              </w:rPr>
            </w:pPr>
          </w:p>
        </w:tc>
        <w:tc>
          <w:tcPr>
            <w:tcW w:w="980" w:type="dxa"/>
            <w:vAlign w:val="bottom"/>
            <w:vMerge w:val="restart"/>
            <w:shd w:val="clear" w:color="auto" w:fill="24428B"/>
          </w:tcPr>
          <w:p>
            <w:pPr>
              <w:jc w:val="center"/>
              <w:ind w:left="112"/>
              <w:spacing w:after="0"/>
              <w:rPr>
                <w:sz w:val="20"/>
                <w:szCs w:val="20"/>
                <w:color w:val="auto"/>
              </w:rPr>
            </w:pPr>
            <w:r>
              <w:rPr>
                <w:rFonts w:ascii="Arial" w:cs="Arial" w:eastAsia="Arial" w:hAnsi="Arial"/>
                <w:sz w:val="18"/>
                <w:szCs w:val="18"/>
                <w:color w:val="FFFFFF"/>
                <w:w w:val="96"/>
              </w:rPr>
              <w:t>Avg</w:t>
            </w:r>
          </w:p>
        </w:tc>
        <w:tc>
          <w:tcPr>
            <w:tcW w:w="0" w:type="dxa"/>
            <w:vAlign w:val="bottom"/>
          </w:tcPr>
          <w:p>
            <w:pPr>
              <w:spacing w:after="0"/>
              <w:rPr>
                <w:sz w:val="1"/>
                <w:szCs w:val="1"/>
                <w:color w:val="auto"/>
              </w:rPr>
            </w:pPr>
          </w:p>
        </w:tc>
      </w:tr>
      <w:tr>
        <w:trPr>
          <w:trHeight w:val="178"/>
        </w:trPr>
        <w:tc>
          <w:tcPr>
            <w:tcW w:w="2260" w:type="dxa"/>
            <w:vAlign w:val="bottom"/>
            <w:shd w:val="clear" w:color="auto" w:fill="24428B"/>
          </w:tcPr>
          <w:p>
            <w:pPr>
              <w:ind w:left="40"/>
              <w:spacing w:after="0" w:line="178" w:lineRule="exact"/>
              <w:rPr>
                <w:sz w:val="20"/>
                <w:szCs w:val="20"/>
                <w:color w:val="auto"/>
              </w:rPr>
            </w:pPr>
            <w:r>
              <w:rPr>
                <w:rFonts w:ascii="Arial" w:cs="Arial" w:eastAsia="Arial" w:hAnsi="Arial"/>
                <w:sz w:val="18"/>
                <w:szCs w:val="18"/>
                <w:color w:val="FFFFFF"/>
              </w:rPr>
              <w:t>Phase 2 Trial in PAD</w:t>
            </w:r>
          </w:p>
        </w:tc>
        <w:tc>
          <w:tcPr>
            <w:tcW w:w="80" w:type="dxa"/>
            <w:vAlign w:val="bottom"/>
          </w:tcPr>
          <w:p>
            <w:pPr>
              <w:spacing w:after="0"/>
              <w:rPr>
                <w:sz w:val="15"/>
                <w:szCs w:val="15"/>
                <w:color w:val="auto"/>
              </w:rPr>
            </w:pPr>
          </w:p>
        </w:tc>
        <w:tc>
          <w:tcPr>
            <w:tcW w:w="1020" w:type="dxa"/>
            <w:vAlign w:val="bottom"/>
            <w:vMerge w:val="continue"/>
            <w:shd w:val="clear" w:color="auto" w:fill="24428B"/>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shd w:val="clear" w:color="auto" w:fill="24428B"/>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shd w:val="clear" w:color="auto" w:fill="24428B"/>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60" w:type="dxa"/>
            <w:vAlign w:val="bottom"/>
            <w:shd w:val="clear" w:color="auto" w:fill="24428B"/>
          </w:tcPr>
          <w:p>
            <w:pPr>
              <w:ind w:left="40"/>
              <w:spacing w:after="0"/>
              <w:rPr>
                <w:sz w:val="20"/>
                <w:szCs w:val="20"/>
                <w:color w:val="auto"/>
              </w:rPr>
            </w:pPr>
            <w:r>
              <w:rPr>
                <w:rFonts w:ascii="Arial" w:cs="Arial" w:eastAsia="Arial" w:hAnsi="Arial"/>
                <w:sz w:val="14"/>
                <w:szCs w:val="14"/>
                <w:i w:val="1"/>
                <w:iCs w:val="1"/>
                <w:color w:val="FFFFFF"/>
              </w:rPr>
              <w:t>(as of April 2021)</w:t>
            </w:r>
          </w:p>
        </w:tc>
        <w:tc>
          <w:tcPr>
            <w:tcW w:w="80" w:type="dxa"/>
            <w:vAlign w:val="bottom"/>
          </w:tcPr>
          <w:p>
            <w:pPr>
              <w:spacing w:after="0"/>
              <w:rPr>
                <w:sz w:val="16"/>
                <w:szCs w:val="16"/>
                <w:color w:val="auto"/>
              </w:rPr>
            </w:pPr>
          </w:p>
        </w:tc>
        <w:tc>
          <w:tcPr>
            <w:tcW w:w="1020" w:type="dxa"/>
            <w:vAlign w:val="bottom"/>
            <w:shd w:val="clear" w:color="auto" w:fill="24428B"/>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shd w:val="clear" w:color="auto" w:fill="24428B"/>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shd w:val="clear" w:color="auto" w:fill="24428B"/>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shd w:val="clear" w:color="auto" w:fill="24428B"/>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shd w:val="clear" w:color="auto" w:fill="24428B"/>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shd w:val="clear" w:color="auto" w:fill="24428B"/>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shd w:val="clear" w:color="auto" w:fill="24428B"/>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shd w:val="clear" w:color="auto" w:fill="24428B"/>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260" w:type="dxa"/>
            <w:vAlign w:val="bottom"/>
            <w:shd w:val="clear" w:color="auto" w:fill="E6E6F0"/>
          </w:tcPr>
          <w:p>
            <w:pPr>
              <w:ind w:left="40"/>
              <w:spacing w:after="0"/>
              <w:rPr>
                <w:sz w:val="20"/>
                <w:szCs w:val="20"/>
                <w:color w:val="auto"/>
              </w:rPr>
            </w:pPr>
            <w:r>
              <w:rPr>
                <w:rFonts w:ascii="Arial" w:cs="Arial" w:eastAsia="Arial" w:hAnsi="Arial"/>
                <w:sz w:val="18"/>
                <w:szCs w:val="18"/>
                <w:color w:val="auto"/>
              </w:rPr>
              <w:t>Secondary Patency</w:t>
            </w:r>
          </w:p>
        </w:tc>
        <w:tc>
          <w:tcPr>
            <w:tcW w:w="8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4"/>
              </w:rPr>
              <w:t>84%</w:t>
            </w:r>
          </w:p>
        </w:tc>
        <w:tc>
          <w:tcPr>
            <w:tcW w:w="80" w:type="dxa"/>
            <w:vAlign w:val="bottom"/>
          </w:tcPr>
          <w:p>
            <w:pPr>
              <w:spacing w:after="0"/>
              <w:rPr>
                <w:sz w:val="21"/>
                <w:szCs w:val="21"/>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74%</w:t>
            </w:r>
          </w:p>
        </w:tc>
        <w:tc>
          <w:tcPr>
            <w:tcW w:w="100" w:type="dxa"/>
            <w:vAlign w:val="bottom"/>
          </w:tcPr>
          <w:p>
            <w:pPr>
              <w:spacing w:after="0"/>
              <w:rPr>
                <w:sz w:val="21"/>
                <w:szCs w:val="21"/>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73%</w:t>
            </w:r>
          </w:p>
        </w:tc>
        <w:tc>
          <w:tcPr>
            <w:tcW w:w="100" w:type="dxa"/>
            <w:vAlign w:val="bottom"/>
          </w:tcPr>
          <w:p>
            <w:pPr>
              <w:spacing w:after="0"/>
              <w:rPr>
                <w:sz w:val="21"/>
                <w:szCs w:val="21"/>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66%</w:t>
            </w:r>
          </w:p>
        </w:tc>
        <w:tc>
          <w:tcPr>
            <w:tcW w:w="100" w:type="dxa"/>
            <w:vAlign w:val="bottom"/>
          </w:tcPr>
          <w:p>
            <w:pPr>
              <w:spacing w:after="0"/>
              <w:rPr>
                <w:sz w:val="21"/>
                <w:szCs w:val="21"/>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21"/>
                <w:szCs w:val="21"/>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60%</w:t>
            </w:r>
          </w:p>
        </w:tc>
        <w:tc>
          <w:tcPr>
            <w:tcW w:w="100" w:type="dxa"/>
            <w:vAlign w:val="bottom"/>
          </w:tcPr>
          <w:p>
            <w:pPr>
              <w:spacing w:after="0"/>
              <w:rPr>
                <w:sz w:val="21"/>
                <w:szCs w:val="21"/>
                <w:color w:val="auto"/>
              </w:rPr>
            </w:pPr>
          </w:p>
        </w:tc>
        <w:tc>
          <w:tcPr>
            <w:tcW w:w="980" w:type="dxa"/>
            <w:vAlign w:val="bottom"/>
            <w:shd w:val="clear" w:color="auto" w:fill="E6E6F0"/>
          </w:tcPr>
          <w:p>
            <w:pPr>
              <w:jc w:val="center"/>
              <w:ind w:left="1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9"/>
        </w:trPr>
        <w:tc>
          <w:tcPr>
            <w:tcW w:w="2260" w:type="dxa"/>
            <w:vAlign w:val="bottom"/>
            <w:shd w:val="clear" w:color="auto" w:fill="E6E6F0"/>
          </w:tcPr>
          <w:p>
            <w:pPr>
              <w:ind w:left="40"/>
              <w:spacing w:after="0" w:line="199" w:lineRule="exact"/>
              <w:rPr>
                <w:sz w:val="20"/>
                <w:szCs w:val="20"/>
                <w:color w:val="auto"/>
              </w:rPr>
            </w:pPr>
            <w:r>
              <w:rPr>
                <w:rFonts w:ascii="Arial" w:cs="Arial" w:eastAsia="Arial" w:hAnsi="Arial"/>
                <w:sz w:val="18"/>
                <w:szCs w:val="18"/>
                <w:color w:val="auto"/>
              </w:rPr>
              <w:t>Ankle-Brachial Index</w:t>
            </w:r>
          </w:p>
        </w:tc>
        <w:tc>
          <w:tcPr>
            <w:tcW w:w="80" w:type="dxa"/>
            <w:vAlign w:val="bottom"/>
          </w:tcPr>
          <w:p>
            <w:pPr>
              <w:spacing w:after="0"/>
              <w:rPr>
                <w:sz w:val="17"/>
                <w:szCs w:val="17"/>
                <w:color w:val="auto"/>
              </w:rPr>
            </w:pPr>
          </w:p>
        </w:tc>
        <w:tc>
          <w:tcPr>
            <w:tcW w:w="102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6"/>
              </w:rPr>
              <w:t>0.64</w:t>
            </w:r>
          </w:p>
        </w:tc>
        <w:tc>
          <w:tcPr>
            <w:tcW w:w="80" w:type="dxa"/>
            <w:vAlign w:val="bottom"/>
          </w:tcPr>
          <w:p>
            <w:pPr>
              <w:spacing w:after="0"/>
              <w:rPr>
                <w:sz w:val="17"/>
                <w:szCs w:val="17"/>
                <w:color w:val="auto"/>
              </w:rPr>
            </w:pPr>
          </w:p>
        </w:tc>
        <w:tc>
          <w:tcPr>
            <w:tcW w:w="102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6"/>
              </w:rPr>
              <w:t>0.90</w:t>
            </w:r>
          </w:p>
        </w:tc>
        <w:tc>
          <w:tcPr>
            <w:tcW w:w="80" w:type="dxa"/>
            <w:vAlign w:val="bottom"/>
          </w:tcPr>
          <w:p>
            <w:pPr>
              <w:spacing w:after="0"/>
              <w:rPr>
                <w:sz w:val="17"/>
                <w:szCs w:val="17"/>
                <w:color w:val="auto"/>
              </w:rPr>
            </w:pPr>
          </w:p>
        </w:tc>
        <w:tc>
          <w:tcPr>
            <w:tcW w:w="10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6"/>
              </w:rPr>
              <w:t>0.96</w:t>
            </w:r>
          </w:p>
        </w:tc>
        <w:tc>
          <w:tcPr>
            <w:tcW w:w="100" w:type="dxa"/>
            <w:vAlign w:val="bottom"/>
          </w:tcPr>
          <w:p>
            <w:pPr>
              <w:spacing w:after="0"/>
              <w:rPr>
                <w:sz w:val="17"/>
                <w:szCs w:val="17"/>
                <w:color w:val="auto"/>
              </w:rPr>
            </w:pPr>
          </w:p>
        </w:tc>
        <w:tc>
          <w:tcPr>
            <w:tcW w:w="10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6"/>
              </w:rPr>
              <w:t>1.07</w:t>
            </w:r>
          </w:p>
        </w:tc>
        <w:tc>
          <w:tcPr>
            <w:tcW w:w="100" w:type="dxa"/>
            <w:vAlign w:val="bottom"/>
          </w:tcPr>
          <w:p>
            <w:pPr>
              <w:spacing w:after="0"/>
              <w:rPr>
                <w:sz w:val="17"/>
                <w:szCs w:val="17"/>
                <w:color w:val="auto"/>
              </w:rPr>
            </w:pPr>
          </w:p>
        </w:tc>
        <w:tc>
          <w:tcPr>
            <w:tcW w:w="10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7"/>
                <w:szCs w:val="17"/>
                <w:color w:val="auto"/>
              </w:rPr>
            </w:pPr>
          </w:p>
        </w:tc>
        <w:tc>
          <w:tcPr>
            <w:tcW w:w="1000" w:type="dxa"/>
            <w:vAlign w:val="bottom"/>
            <w:shd w:val="clear" w:color="auto" w:fill="E6E6F0"/>
          </w:tcPr>
          <w:p>
            <w:pPr>
              <w:jc w:val="center"/>
              <w:spacing w:after="0" w:line="199" w:lineRule="exact"/>
              <w:rPr>
                <w:sz w:val="20"/>
                <w:szCs w:val="20"/>
                <w:color w:val="auto"/>
              </w:rPr>
            </w:pPr>
            <w:r>
              <w:rPr>
                <w:rFonts w:ascii="Arial" w:cs="Arial" w:eastAsia="Arial" w:hAnsi="Arial"/>
                <w:sz w:val="18"/>
                <w:szCs w:val="18"/>
                <w:color w:val="auto"/>
              </w:rPr>
              <w:t>0.94</w:t>
            </w:r>
          </w:p>
        </w:tc>
        <w:tc>
          <w:tcPr>
            <w:tcW w:w="100" w:type="dxa"/>
            <w:vAlign w:val="bottom"/>
          </w:tcPr>
          <w:p>
            <w:pPr>
              <w:spacing w:after="0"/>
              <w:rPr>
                <w:sz w:val="17"/>
                <w:szCs w:val="17"/>
                <w:color w:val="auto"/>
              </w:rPr>
            </w:pPr>
          </w:p>
        </w:tc>
        <w:tc>
          <w:tcPr>
            <w:tcW w:w="980" w:type="dxa"/>
            <w:vAlign w:val="bottom"/>
            <w:shd w:val="clear" w:color="auto" w:fill="E6E6F0"/>
          </w:tcPr>
          <w:p>
            <w:pPr>
              <w:jc w:val="center"/>
              <w:ind w:left="112"/>
              <w:spacing w:after="0" w:line="199" w:lineRule="exact"/>
              <w:rPr>
                <w:sz w:val="20"/>
                <w:szCs w:val="20"/>
                <w:color w:val="auto"/>
              </w:rPr>
            </w:pPr>
            <w:r>
              <w:rPr>
                <w:rFonts w:ascii="Arial" w:cs="Arial" w:eastAsia="Arial" w:hAnsi="Arial"/>
                <w:sz w:val="18"/>
                <w:szCs w:val="18"/>
                <w:color w:val="auto"/>
                <w:w w:val="96"/>
              </w:rPr>
              <w:t>0.97</w:t>
            </w:r>
          </w:p>
        </w:tc>
        <w:tc>
          <w:tcPr>
            <w:tcW w:w="0" w:type="dxa"/>
            <w:vAlign w:val="bottom"/>
          </w:tcPr>
          <w:p>
            <w:pPr>
              <w:spacing w:after="0"/>
              <w:rPr>
                <w:sz w:val="1"/>
                <w:szCs w:val="1"/>
                <w:color w:val="auto"/>
              </w:rPr>
            </w:pPr>
          </w:p>
        </w:tc>
      </w:tr>
      <w:tr>
        <w:trPr>
          <w:trHeight w:val="149"/>
        </w:trPr>
        <w:tc>
          <w:tcPr>
            <w:tcW w:w="2260" w:type="dxa"/>
            <w:vAlign w:val="bottom"/>
            <w:vMerge w:val="restart"/>
            <w:shd w:val="clear" w:color="auto" w:fill="E6E6F0"/>
          </w:tcPr>
          <w:p>
            <w:pPr>
              <w:ind w:left="40"/>
              <w:spacing w:after="0"/>
              <w:rPr>
                <w:sz w:val="20"/>
                <w:szCs w:val="20"/>
                <w:color w:val="auto"/>
              </w:rPr>
            </w:pPr>
            <w:r>
              <w:rPr>
                <w:rFonts w:ascii="Arial" w:cs="Arial" w:eastAsia="Arial" w:hAnsi="Arial"/>
                <w:sz w:val="18"/>
                <w:szCs w:val="18"/>
                <w:color w:val="auto"/>
              </w:rPr>
              <w:t>(median)</w:t>
            </w:r>
          </w:p>
        </w:tc>
        <w:tc>
          <w:tcPr>
            <w:tcW w:w="80" w:type="dxa"/>
            <w:vAlign w:val="bottom"/>
          </w:tcPr>
          <w:p>
            <w:pPr>
              <w:spacing w:after="0"/>
              <w:rPr>
                <w:sz w:val="12"/>
                <w:szCs w:val="12"/>
                <w:color w:val="auto"/>
              </w:rPr>
            </w:pPr>
          </w:p>
        </w:tc>
        <w:tc>
          <w:tcPr>
            <w:tcW w:w="1020" w:type="dxa"/>
            <w:vAlign w:val="bottom"/>
            <w:vMerge w:val="continue"/>
            <w:shd w:val="clear" w:color="auto" w:fill="E6E6F0"/>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shd w:val="clear" w:color="auto" w:fill="E6E6F0"/>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3"/>
              </w:rPr>
              <w:t>(n=2)</w:t>
            </w:r>
          </w:p>
        </w:tc>
        <w:tc>
          <w:tcPr>
            <w:tcW w:w="100" w:type="dxa"/>
            <w:vAlign w:val="bottom"/>
          </w:tcPr>
          <w:p>
            <w:pPr>
              <w:spacing w:after="0"/>
              <w:rPr>
                <w:sz w:val="12"/>
                <w:szCs w:val="12"/>
                <w:color w:val="auto"/>
              </w:rPr>
            </w:pPr>
          </w:p>
        </w:tc>
        <w:tc>
          <w:tcPr>
            <w:tcW w:w="980" w:type="dxa"/>
            <w:vAlign w:val="bottom"/>
            <w:vMerge w:val="restart"/>
            <w:shd w:val="clear" w:color="auto" w:fill="E6E6F0"/>
          </w:tcPr>
          <w:p>
            <w:pPr>
              <w:jc w:val="center"/>
              <w:ind w:left="132"/>
              <w:spacing w:after="0"/>
              <w:rPr>
                <w:sz w:val="20"/>
                <w:szCs w:val="20"/>
                <w:color w:val="auto"/>
              </w:rPr>
            </w:pPr>
            <w:r>
              <w:rPr>
                <w:rFonts w:ascii="Arial" w:cs="Arial" w:eastAsia="Arial" w:hAnsi="Arial"/>
                <w:sz w:val="18"/>
                <w:szCs w:val="18"/>
                <w:color w:val="auto"/>
                <w:w w:val="99"/>
              </w:rPr>
              <w:t>(post-op)</w:t>
            </w:r>
          </w:p>
        </w:tc>
        <w:tc>
          <w:tcPr>
            <w:tcW w:w="0" w:type="dxa"/>
            <w:vAlign w:val="bottom"/>
          </w:tcPr>
          <w:p>
            <w:pPr>
              <w:spacing w:after="0"/>
              <w:rPr>
                <w:sz w:val="1"/>
                <w:szCs w:val="1"/>
                <w:color w:val="auto"/>
              </w:rPr>
            </w:pPr>
          </w:p>
        </w:tc>
      </w:tr>
      <w:tr>
        <w:trPr>
          <w:trHeight w:val="106"/>
        </w:trPr>
        <w:tc>
          <w:tcPr>
            <w:tcW w:w="2260" w:type="dxa"/>
            <w:vAlign w:val="bottom"/>
            <w:vMerge w:val="continue"/>
            <w:shd w:val="clear" w:color="auto" w:fill="E6E6F0"/>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shd w:val="clear" w:color="auto" w:fill="E6E6F0"/>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shd w:val="clear" w:color="auto" w:fill="E6E6F0"/>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shd w:val="clear" w:color="auto" w:fill="E6E6F0"/>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2260" w:type="dxa"/>
            <w:vAlign w:val="bottom"/>
            <w:shd w:val="clear" w:color="auto" w:fill="E6E6F0"/>
          </w:tcPr>
          <w:p>
            <w:pPr>
              <w:ind w:left="40"/>
              <w:spacing w:after="0"/>
              <w:rPr>
                <w:sz w:val="20"/>
                <w:szCs w:val="20"/>
                <w:color w:val="auto"/>
              </w:rPr>
            </w:pPr>
            <w:r>
              <w:rPr>
                <w:rFonts w:ascii="Arial" w:cs="Arial" w:eastAsia="Arial" w:hAnsi="Arial"/>
                <w:sz w:val="18"/>
                <w:szCs w:val="18"/>
                <w:color w:val="231F20"/>
              </w:rPr>
              <w:t xml:space="preserve">ATEV </w:t>
            </w:r>
            <w:r>
              <w:rPr>
                <w:rFonts w:ascii="Arial" w:cs="Arial" w:eastAsia="Arial" w:hAnsi="Arial"/>
                <w:sz w:val="18"/>
                <w:szCs w:val="18"/>
                <w:color w:val="000000"/>
              </w:rPr>
              <w:t>Infection Rate</w:t>
            </w:r>
          </w:p>
        </w:tc>
        <w:tc>
          <w:tcPr>
            <w:tcW w:w="80" w:type="dxa"/>
            <w:vAlign w:val="bottom"/>
          </w:tcPr>
          <w:p>
            <w:pPr>
              <w:spacing w:after="0"/>
              <w:rPr>
                <w:sz w:val="22"/>
                <w:szCs w:val="22"/>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2"/>
                <w:szCs w:val="22"/>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80" w:type="dxa"/>
            <w:vAlign w:val="bottom"/>
          </w:tcPr>
          <w:p>
            <w:pPr>
              <w:spacing w:after="0"/>
              <w:rPr>
                <w:sz w:val="22"/>
                <w:szCs w:val="22"/>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2"/>
                <w:szCs w:val="22"/>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2"/>
                <w:szCs w:val="22"/>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2"/>
                <w:szCs w:val="22"/>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2"/>
                <w:szCs w:val="22"/>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2"/>
              </w:rPr>
              <w:t>0%</w:t>
            </w:r>
          </w:p>
        </w:tc>
        <w:tc>
          <w:tcPr>
            <w:tcW w:w="100" w:type="dxa"/>
            <w:vAlign w:val="bottom"/>
          </w:tcPr>
          <w:p>
            <w:pPr>
              <w:spacing w:after="0"/>
              <w:rPr>
                <w:sz w:val="22"/>
                <w:szCs w:val="22"/>
                <w:color w:val="auto"/>
              </w:rPr>
            </w:pPr>
          </w:p>
        </w:tc>
        <w:tc>
          <w:tcPr>
            <w:tcW w:w="980" w:type="dxa"/>
            <w:vAlign w:val="bottom"/>
            <w:shd w:val="clear" w:color="auto" w:fill="E6E6F0"/>
          </w:tcPr>
          <w:p>
            <w:pPr>
              <w:jc w:val="center"/>
              <w:ind w:left="13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-965835</wp:posOffset>
            </wp:positionV>
            <wp:extent cx="6995160" cy="9747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974725"/>
                    </a:xfrm>
                    <a:prstGeom prst="rect">
                      <a:avLst/>
                    </a:prstGeom>
                    <a:noFill/>
                  </pic:spPr>
                </pic:pic>
              </a:graphicData>
            </a:graphic>
          </wp:anchor>
        </w:drawing>
      </w:r>
    </w:p>
    <w:p>
      <w:pPr>
        <w:spacing w:after="0" w:line="240" w:lineRule="exact"/>
        <w:rPr>
          <w:sz w:val="20"/>
          <w:szCs w:val="20"/>
          <w:color w:val="auto"/>
        </w:rPr>
      </w:pPr>
    </w:p>
    <w:p>
      <w:pPr>
        <w:ind w:right="180" w:firstLine="318"/>
        <w:spacing w:after="0" w:line="251" w:lineRule="auto"/>
        <w:rPr>
          <w:sz w:val="20"/>
          <w:szCs w:val="20"/>
          <w:color w:val="auto"/>
        </w:rPr>
      </w:pPr>
      <w:r>
        <w:rPr>
          <w:rFonts w:ascii="Times New Roman" w:cs="Times New Roman" w:eastAsia="Times New Roman" w:hAnsi="Times New Roman"/>
          <w:sz w:val="18"/>
          <w:szCs w:val="18"/>
          <w:color w:val="231F20"/>
        </w:rPr>
        <w:t>The V004 trial enrolled 15 subjects in the United States, with the 12-month follow-up of the last enrolled patient occurring in December 2020. Patients in the V004 trial included Rutherford 4 and 5 subjects, with severe, debilitating limb ischemia. (Rutherford 4 and 5 patients are classified as patients with pain at rest due to limb ischemia (stage 4), and those patients suffering tissue loss in the limb as a result of ischemia (stage 5)). In addition, enrollment in V004 required that no autologous vein be available for bypass. Hence, the subjects enrolled in the V004 trial had severe and debilitating limb ischemia due to PAD and had no autologous vein that was suitable for lesion bypass and revascularization.</w:t>
      </w:r>
    </w:p>
    <w:p>
      <w:pPr>
        <w:spacing w:after="0" w:line="200" w:lineRule="exact"/>
        <w:rPr>
          <w:sz w:val="20"/>
          <w:szCs w:val="20"/>
          <w:color w:val="auto"/>
        </w:rPr>
      </w:pPr>
    </w:p>
    <w:p>
      <w:pPr>
        <w:spacing w:after="0" w:line="35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293" w:right="239" w:bottom="1440" w:gutter="0" w:footer="0" w:header="0"/>
        </w:sectPr>
      </w:pPr>
    </w:p>
    <w:bookmarkStart w:id="32" w:name="page33"/>
    <w:bookmarkEnd w:id="32"/>
    <w:p>
      <w:pPr>
        <w:spacing w:after="0" w:line="204" w:lineRule="auto"/>
        <w:framePr w:w="1140" w:h="128" w:wrap="auto" w:vAnchor="page" w:hAnchor="page" w:x="2440" w:y="1998"/>
        <w:rPr>
          <w:rFonts w:ascii="Arial" w:cs="Arial" w:eastAsia="Arial" w:hAnsi="Arial"/>
          <w:sz w:val="13"/>
          <w:szCs w:val="13"/>
          <w:color w:val="FFFFFF"/>
        </w:rPr>
      </w:pPr>
      <w:r>
        <w:rPr>
          <w:rFonts w:ascii="Arial" w:cs="Arial" w:eastAsia="Arial" w:hAnsi="Arial"/>
          <w:sz w:val="13"/>
          <w:szCs w:val="13"/>
          <w:color w:val="FFFFFF"/>
        </w:rPr>
        <w:t>(as of April 2021)</w:t>
      </w:r>
    </w:p>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rFonts w:ascii="Arial" w:cs="Arial" w:eastAsia="Arial" w:hAnsi="Arial"/>
          <w:sz w:val="13"/>
          <w:szCs w:val="13"/>
          <w:color w:val="FFFFFF"/>
        </w:rPr>
      </w:pPr>
    </w:p>
    <w:p>
      <w:pPr>
        <w:spacing w:after="0" w:line="200" w:lineRule="exact"/>
        <w:rPr>
          <w:rFonts w:ascii="Arial" w:cs="Arial" w:eastAsia="Arial" w:hAnsi="Arial"/>
          <w:sz w:val="13"/>
          <w:szCs w:val="13"/>
          <w:color w:val="FFFFFF"/>
        </w:rPr>
      </w:pPr>
    </w:p>
    <w:p>
      <w:pPr>
        <w:spacing w:after="0" w:line="200" w:lineRule="exact"/>
        <w:rPr>
          <w:rFonts w:ascii="Arial" w:cs="Arial" w:eastAsia="Arial" w:hAnsi="Arial"/>
          <w:sz w:val="13"/>
          <w:szCs w:val="13"/>
          <w:color w:val="FFFFFF"/>
        </w:rPr>
      </w:pPr>
    </w:p>
    <w:p>
      <w:pPr>
        <w:spacing w:after="0" w:line="200" w:lineRule="exact"/>
        <w:rPr>
          <w:rFonts w:ascii="Arial" w:cs="Arial" w:eastAsia="Arial" w:hAnsi="Arial"/>
          <w:sz w:val="13"/>
          <w:szCs w:val="13"/>
          <w:color w:val="FFFFFF"/>
        </w:rPr>
      </w:pPr>
    </w:p>
    <w:p>
      <w:pPr>
        <w:spacing w:after="0" w:line="209" w:lineRule="exact"/>
        <w:rPr>
          <w:rFonts w:ascii="Arial" w:cs="Arial" w:eastAsia="Arial" w:hAnsi="Arial"/>
          <w:sz w:val="13"/>
          <w:szCs w:val="13"/>
          <w:color w:val="FFFFFF"/>
        </w:rPr>
      </w:pPr>
    </w:p>
    <w:p>
      <w:pPr>
        <w:jc w:val="center"/>
        <w:ind w:right="-239"/>
        <w:spacing w:after="0"/>
        <w:rPr>
          <w:sz w:val="20"/>
          <w:szCs w:val="20"/>
          <w:color w:val="auto"/>
        </w:rPr>
      </w:pPr>
      <w:r>
        <w:rPr>
          <w:rFonts w:ascii="Times New Roman" w:cs="Times New Roman" w:eastAsia="Times New Roman" w:hAnsi="Times New Roman"/>
          <w:sz w:val="17"/>
          <w:szCs w:val="17"/>
          <w:i w:val="1"/>
          <w:iCs w:val="1"/>
          <w:color w:val="231F20"/>
        </w:rPr>
        <w:t>12-month results from V004 Phase 2 study in PAD</w:t>
      </w:r>
    </w:p>
    <w:p>
      <w:pPr>
        <w:spacing w:after="0" w:line="20" w:lineRule="exact"/>
        <w:rPr>
          <w:rFonts w:ascii="Arial" w:cs="Arial" w:eastAsia="Arial" w:hAnsi="Arial"/>
          <w:sz w:val="13"/>
          <w:szCs w:val="13"/>
          <w:color w:val="FFFFFF"/>
        </w:rPr>
      </w:pPr>
      <w:r>
        <w:rPr>
          <w:rFonts w:ascii="Arial" w:cs="Arial" w:eastAsia="Arial" w:hAnsi="Arial"/>
          <w:sz w:val="13"/>
          <w:szCs w:val="13"/>
          <w:color w:val="FFFFFF"/>
        </w:rPr>
        <w:drawing>
          <wp:anchor simplePos="0" relativeHeight="251657728" behindDoc="1" locked="0" layoutInCell="0" allowOverlap="1">
            <wp:simplePos x="0" y="0"/>
            <wp:positionH relativeFrom="column">
              <wp:posOffset>205740</wp:posOffset>
            </wp:positionH>
            <wp:positionV relativeFrom="paragraph">
              <wp:posOffset>149225</wp:posOffset>
            </wp:positionV>
            <wp:extent cx="6995160" cy="7645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764540"/>
                    </a:xfrm>
                    <a:prstGeom prst="rect">
                      <a:avLst/>
                    </a:prstGeom>
                    <a:noFill/>
                  </pic:spPr>
                </pic:pic>
              </a:graphicData>
            </a:graphic>
          </wp:anchor>
        </w:drawing>
      </w:r>
    </w:p>
    <w:p>
      <w:pPr>
        <w:sectPr>
          <w:pgSz w:w="11900" w:h="16838" w:orient="portrait"/>
          <w:cols w:equalWidth="0" w:num="1">
            <w:col w:w="11340"/>
          </w:cols>
          <w:pgMar w:left="320" w:top="293" w:right="239" w:bottom="1440" w:gutter="0" w:footer="0" w:header="0"/>
        </w:sectPr>
      </w:pPr>
    </w:p>
    <w:p>
      <w:pPr>
        <w:spacing w:after="0" w:line="245" w:lineRule="exact"/>
        <w:rPr>
          <w:rFonts w:ascii="Arial" w:cs="Arial" w:eastAsia="Arial" w:hAnsi="Arial"/>
          <w:sz w:val="13"/>
          <w:szCs w:val="13"/>
          <w:color w:val="FFFFFF"/>
        </w:rPr>
      </w:pPr>
    </w:p>
    <w:p>
      <w:pPr>
        <w:ind w:left="360"/>
        <w:spacing w:after="0"/>
        <w:rPr>
          <w:sz w:val="20"/>
          <w:szCs w:val="20"/>
          <w:color w:val="auto"/>
        </w:rPr>
      </w:pPr>
      <w:r>
        <w:rPr>
          <w:rFonts w:ascii="Arial" w:cs="Arial" w:eastAsia="Arial" w:hAnsi="Arial"/>
          <w:sz w:val="18"/>
          <w:szCs w:val="18"/>
          <w:color w:val="FFFFFF"/>
        </w:rPr>
        <w:t>Result from V004 Trial</w:t>
      </w:r>
    </w:p>
    <w:p>
      <w:pPr>
        <w:spacing w:after="0" w:line="31" w:lineRule="exact"/>
        <w:rPr>
          <w:rFonts w:ascii="Arial" w:cs="Arial" w:eastAsia="Arial" w:hAnsi="Arial"/>
          <w:sz w:val="13"/>
          <w:szCs w:val="13"/>
          <w:color w:val="FFFFFF"/>
        </w:rPr>
      </w:pPr>
    </w:p>
    <w:p>
      <w:pPr>
        <w:ind w:left="360"/>
        <w:spacing w:after="0"/>
        <w:rPr>
          <w:sz w:val="20"/>
          <w:szCs w:val="20"/>
          <w:color w:val="auto"/>
        </w:rPr>
      </w:pPr>
      <w:r>
        <w:rPr>
          <w:rFonts w:ascii="Arial" w:cs="Arial" w:eastAsia="Arial" w:hAnsi="Arial"/>
          <w:sz w:val="18"/>
          <w:szCs w:val="18"/>
          <w:color w:val="auto"/>
        </w:rPr>
        <w:t>Secondary Patency</w:t>
      </w:r>
    </w:p>
    <w:p>
      <w:pPr>
        <w:spacing w:after="0" w:line="31" w:lineRule="exact"/>
        <w:rPr>
          <w:rFonts w:ascii="Arial" w:cs="Arial" w:eastAsia="Arial" w:hAnsi="Arial"/>
          <w:sz w:val="13"/>
          <w:szCs w:val="13"/>
          <w:color w:val="FFFFFF"/>
        </w:rPr>
      </w:pPr>
    </w:p>
    <w:p>
      <w:pPr>
        <w:ind w:left="360"/>
        <w:spacing w:after="0"/>
        <w:rPr>
          <w:sz w:val="20"/>
          <w:szCs w:val="20"/>
          <w:color w:val="auto"/>
        </w:rPr>
      </w:pPr>
      <w:r>
        <w:rPr>
          <w:rFonts w:ascii="Arial" w:cs="Arial" w:eastAsia="Arial" w:hAnsi="Arial"/>
          <w:sz w:val="18"/>
          <w:szCs w:val="18"/>
          <w:color w:val="auto"/>
        </w:rPr>
        <w:t>Ankle-Brachial Index (median)</w:t>
      </w:r>
    </w:p>
    <w:p>
      <w:pPr>
        <w:spacing w:after="0" w:line="31" w:lineRule="exact"/>
        <w:rPr>
          <w:rFonts w:ascii="Arial" w:cs="Arial" w:eastAsia="Arial" w:hAnsi="Arial"/>
          <w:sz w:val="13"/>
          <w:szCs w:val="13"/>
          <w:color w:val="FFFFFF"/>
        </w:rPr>
      </w:pPr>
    </w:p>
    <w:p>
      <w:pPr>
        <w:ind w:left="360"/>
        <w:spacing w:after="0"/>
        <w:rPr>
          <w:sz w:val="20"/>
          <w:szCs w:val="20"/>
          <w:color w:val="auto"/>
        </w:rPr>
      </w:pPr>
      <w:r>
        <w:rPr>
          <w:rFonts w:ascii="Arial" w:cs="Arial" w:eastAsia="Arial" w:hAnsi="Arial"/>
          <w:sz w:val="18"/>
          <w:szCs w:val="18"/>
          <w:color w:val="auto"/>
        </w:rPr>
        <w:t>Rate of Amputation</w:t>
      </w:r>
    </w:p>
    <w:p>
      <w:pPr>
        <w:spacing w:after="0" w:line="31" w:lineRule="exact"/>
        <w:rPr>
          <w:rFonts w:ascii="Arial" w:cs="Arial" w:eastAsia="Arial" w:hAnsi="Arial"/>
          <w:sz w:val="13"/>
          <w:szCs w:val="13"/>
          <w:color w:val="FFFFFF"/>
        </w:rPr>
      </w:pPr>
    </w:p>
    <w:p>
      <w:pPr>
        <w:ind w:left="360"/>
        <w:spacing w:after="0"/>
        <w:rPr>
          <w:sz w:val="20"/>
          <w:szCs w:val="20"/>
          <w:color w:val="auto"/>
        </w:rPr>
      </w:pPr>
      <w:r>
        <w:rPr>
          <w:rFonts w:ascii="Arial" w:cs="Arial" w:eastAsia="Arial" w:hAnsi="Arial"/>
          <w:sz w:val="17"/>
          <w:szCs w:val="17"/>
          <w:color w:val="auto"/>
        </w:rPr>
        <w:t>VascuQol Quality of Life Assessment</w:t>
      </w:r>
    </w:p>
    <w:p>
      <w:pPr>
        <w:spacing w:after="0" w:line="20" w:lineRule="exact"/>
        <w:rPr>
          <w:rFonts w:ascii="Arial" w:cs="Arial" w:eastAsia="Arial" w:hAnsi="Arial"/>
          <w:sz w:val="13"/>
          <w:szCs w:val="13"/>
          <w:color w:val="FFFFFF"/>
        </w:rPr>
      </w:pPr>
      <w:r>
        <w:rPr>
          <w:rFonts w:ascii="Arial" w:cs="Arial" w:eastAsia="Arial" w:hAnsi="Arial"/>
          <w:sz w:val="13"/>
          <w:szCs w:val="13"/>
          <w:color w:val="FFFFFF"/>
        </w:rPr>
        <w:br w:type="column"/>
      </w:r>
    </w:p>
    <w:p>
      <w:pPr>
        <w:spacing w:after="0" w:line="215" w:lineRule="exact"/>
        <w:rPr>
          <w:rFonts w:ascii="Arial" w:cs="Arial" w:eastAsia="Arial" w:hAnsi="Arial"/>
          <w:sz w:val="13"/>
          <w:szCs w:val="13"/>
          <w:color w:val="FFFFFF"/>
        </w:rPr>
      </w:pPr>
    </w:p>
    <w:p>
      <w:pPr>
        <w:spacing w:after="0" w:line="1" w:lineRule="exact"/>
        <w:rPr>
          <w:rFonts w:ascii="Arial" w:cs="Arial" w:eastAsia="Arial" w:hAnsi="Arial"/>
          <w:sz w:val="1"/>
          <w:szCs w:val="1"/>
          <w:color w:val="FFFFFF"/>
        </w:rPr>
      </w:pPr>
    </w:p>
    <w:tbl>
      <w:tblPr>
        <w:tblLayout w:type="fixed"/>
        <w:tblInd w:w="0" w:type="dxa"/>
        <w:tblCellMar>
          <w:top w:w="0" w:type="dxa"/>
          <w:left w:w="0" w:type="dxa"/>
          <w:bottom w:w="0" w:type="dxa"/>
          <w:right w:w="0" w:type="dxa"/>
        </w:tblCellMar>
      </w:tblPr>
      <w:tr>
        <w:trPr>
          <w:trHeight w:val="238"/>
        </w:trPr>
        <w:tc>
          <w:tcPr>
            <w:tcW w:w="1020" w:type="dxa"/>
            <w:vAlign w:val="bottom"/>
            <w:shd w:val="clear" w:color="auto" w:fill="24428B"/>
          </w:tcPr>
          <w:p>
            <w:pPr>
              <w:ind w:left="220"/>
              <w:spacing w:after="0"/>
              <w:rPr>
                <w:sz w:val="20"/>
                <w:szCs w:val="20"/>
                <w:color w:val="auto"/>
              </w:rPr>
            </w:pPr>
            <w:r>
              <w:rPr>
                <w:rFonts w:ascii="Arial" w:cs="Arial" w:eastAsia="Arial" w:hAnsi="Arial"/>
                <w:sz w:val="18"/>
                <w:szCs w:val="18"/>
                <w:color w:val="FFFFFF"/>
              </w:rPr>
              <w:t>Pre-Op</w:t>
            </w:r>
          </w:p>
        </w:tc>
        <w:tc>
          <w:tcPr>
            <w:tcW w:w="80" w:type="dxa"/>
            <w:vAlign w:val="bottom"/>
          </w:tcPr>
          <w:p>
            <w:pPr>
              <w:spacing w:after="0"/>
              <w:rPr>
                <w:sz w:val="20"/>
                <w:szCs w:val="20"/>
                <w:color w:val="auto"/>
              </w:rPr>
            </w:pPr>
          </w:p>
        </w:tc>
        <w:tc>
          <w:tcPr>
            <w:tcW w:w="1020" w:type="dxa"/>
            <w:vAlign w:val="bottom"/>
            <w:shd w:val="clear" w:color="auto" w:fill="24428B"/>
          </w:tcPr>
          <w:p>
            <w:pPr>
              <w:ind w:left="280"/>
              <w:spacing w:after="0"/>
              <w:rPr>
                <w:sz w:val="20"/>
                <w:szCs w:val="20"/>
                <w:color w:val="auto"/>
              </w:rPr>
            </w:pPr>
            <w:r>
              <w:rPr>
                <w:rFonts w:ascii="Arial" w:cs="Arial" w:eastAsia="Arial" w:hAnsi="Arial"/>
                <w:sz w:val="18"/>
                <w:szCs w:val="18"/>
                <w:color w:val="FFFFFF"/>
              </w:rPr>
              <w:t>6 mos</w:t>
            </w:r>
          </w:p>
        </w:tc>
        <w:tc>
          <w:tcPr>
            <w:tcW w:w="100" w:type="dxa"/>
            <w:vAlign w:val="bottom"/>
          </w:tcPr>
          <w:p>
            <w:pPr>
              <w:spacing w:after="0"/>
              <w:rPr>
                <w:sz w:val="20"/>
                <w:szCs w:val="20"/>
                <w:color w:val="auto"/>
              </w:rPr>
            </w:pPr>
          </w:p>
        </w:tc>
        <w:tc>
          <w:tcPr>
            <w:tcW w:w="800" w:type="dxa"/>
            <w:vAlign w:val="bottom"/>
            <w:shd w:val="clear" w:color="auto" w:fill="24428B"/>
          </w:tcPr>
          <w:p>
            <w:pPr>
              <w:ind w:left="220"/>
              <w:spacing w:after="0"/>
              <w:rPr>
                <w:sz w:val="20"/>
                <w:szCs w:val="20"/>
                <w:color w:val="auto"/>
              </w:rPr>
            </w:pPr>
            <w:r>
              <w:rPr>
                <w:rFonts w:ascii="Arial" w:cs="Arial" w:eastAsia="Arial" w:hAnsi="Arial"/>
                <w:sz w:val="18"/>
                <w:szCs w:val="18"/>
                <w:color w:val="FFFFFF"/>
                <w:w w:val="94"/>
              </w:rPr>
              <w:t>12 mos</w:t>
            </w:r>
          </w:p>
        </w:tc>
      </w:tr>
      <w:tr>
        <w:trPr>
          <w:trHeight w:val="241"/>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86%</w:t>
            </w:r>
          </w:p>
        </w:tc>
        <w:tc>
          <w:tcPr>
            <w:tcW w:w="100" w:type="dxa"/>
            <w:vAlign w:val="bottom"/>
          </w:tcPr>
          <w:p>
            <w:pPr>
              <w:spacing w:after="0"/>
              <w:rPr>
                <w:sz w:val="20"/>
                <w:szCs w:val="20"/>
                <w:color w:val="auto"/>
              </w:rPr>
            </w:pPr>
          </w:p>
        </w:tc>
        <w:tc>
          <w:tcPr>
            <w:tcW w:w="800" w:type="dxa"/>
            <w:vAlign w:val="bottom"/>
            <w:shd w:val="clear" w:color="auto" w:fill="E6E6F0"/>
          </w:tcPr>
          <w:p>
            <w:pPr>
              <w:jc w:val="center"/>
              <w:ind w:left="132"/>
              <w:spacing w:after="0"/>
              <w:rPr>
                <w:sz w:val="20"/>
                <w:szCs w:val="20"/>
                <w:color w:val="auto"/>
              </w:rPr>
            </w:pPr>
            <w:r>
              <w:rPr>
                <w:rFonts w:ascii="Arial" w:cs="Arial" w:eastAsia="Arial" w:hAnsi="Arial"/>
                <w:sz w:val="18"/>
                <w:szCs w:val="18"/>
                <w:color w:val="auto"/>
                <w:w w:val="94"/>
              </w:rPr>
              <w:t>64%</w:t>
            </w:r>
          </w:p>
        </w:tc>
      </w:tr>
      <w:tr>
        <w:trPr>
          <w:trHeight w:val="238"/>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6"/>
              </w:rPr>
              <w:t>0.51</w:t>
            </w:r>
          </w:p>
        </w:tc>
        <w:tc>
          <w:tcPr>
            <w:tcW w:w="80" w:type="dxa"/>
            <w:vAlign w:val="bottom"/>
          </w:tcPr>
          <w:p>
            <w:pPr>
              <w:spacing w:after="0"/>
              <w:rPr>
                <w:sz w:val="20"/>
                <w:szCs w:val="20"/>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0"/>
                <w:szCs w:val="20"/>
                <w:color w:val="auto"/>
              </w:rPr>
            </w:pPr>
          </w:p>
        </w:tc>
        <w:tc>
          <w:tcPr>
            <w:tcW w:w="800" w:type="dxa"/>
            <w:vAlign w:val="bottom"/>
            <w:shd w:val="clear" w:color="auto" w:fill="E6E6F0"/>
          </w:tcPr>
          <w:p>
            <w:pPr>
              <w:jc w:val="center"/>
              <w:ind w:left="132"/>
              <w:spacing w:after="0"/>
              <w:rPr>
                <w:sz w:val="20"/>
                <w:szCs w:val="20"/>
                <w:color w:val="auto"/>
              </w:rPr>
            </w:pPr>
            <w:r>
              <w:rPr>
                <w:rFonts w:ascii="Arial" w:cs="Arial" w:eastAsia="Arial" w:hAnsi="Arial"/>
                <w:sz w:val="18"/>
                <w:szCs w:val="18"/>
                <w:color w:val="auto"/>
                <w:w w:val="96"/>
              </w:rPr>
              <w:t>0.90</w:t>
            </w:r>
          </w:p>
        </w:tc>
      </w:tr>
      <w:tr>
        <w:trPr>
          <w:trHeight w:val="245"/>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2"/>
              </w:rPr>
              <w:t>0%</w:t>
            </w:r>
          </w:p>
        </w:tc>
        <w:tc>
          <w:tcPr>
            <w:tcW w:w="100" w:type="dxa"/>
            <w:vAlign w:val="bottom"/>
          </w:tcPr>
          <w:p>
            <w:pPr>
              <w:spacing w:after="0"/>
              <w:rPr>
                <w:sz w:val="21"/>
                <w:szCs w:val="21"/>
                <w:color w:val="auto"/>
              </w:rPr>
            </w:pPr>
          </w:p>
        </w:tc>
        <w:tc>
          <w:tcPr>
            <w:tcW w:w="800" w:type="dxa"/>
            <w:vAlign w:val="bottom"/>
            <w:shd w:val="clear" w:color="auto" w:fill="E6E6F0"/>
          </w:tcPr>
          <w:p>
            <w:pPr>
              <w:jc w:val="center"/>
              <w:ind w:left="132"/>
              <w:spacing w:after="0"/>
              <w:rPr>
                <w:sz w:val="20"/>
                <w:szCs w:val="20"/>
                <w:color w:val="auto"/>
              </w:rPr>
            </w:pPr>
            <w:r>
              <w:rPr>
                <w:rFonts w:ascii="Arial" w:cs="Arial" w:eastAsia="Arial" w:hAnsi="Arial"/>
                <w:sz w:val="18"/>
                <w:szCs w:val="18"/>
                <w:b w:val="1"/>
                <w:bCs w:val="1"/>
                <w:color w:val="auto"/>
                <w:w w:val="99"/>
              </w:rPr>
              <w:t>0%</w:t>
            </w:r>
          </w:p>
        </w:tc>
      </w:tr>
      <w:tr>
        <w:trPr>
          <w:trHeight w:val="229"/>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19"/>
                <w:szCs w:val="19"/>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5"/>
              </w:rPr>
              <w:t>5.6</w:t>
            </w:r>
          </w:p>
        </w:tc>
        <w:tc>
          <w:tcPr>
            <w:tcW w:w="100" w:type="dxa"/>
            <w:vAlign w:val="bottom"/>
          </w:tcPr>
          <w:p>
            <w:pPr>
              <w:spacing w:after="0"/>
              <w:rPr>
                <w:sz w:val="19"/>
                <w:szCs w:val="19"/>
                <w:color w:val="auto"/>
              </w:rPr>
            </w:pPr>
          </w:p>
        </w:tc>
        <w:tc>
          <w:tcPr>
            <w:tcW w:w="800" w:type="dxa"/>
            <w:vAlign w:val="bottom"/>
            <w:shd w:val="clear" w:color="auto" w:fill="E6E6F0"/>
          </w:tcPr>
          <w:p>
            <w:pPr>
              <w:jc w:val="center"/>
              <w:ind w:left="132"/>
              <w:spacing w:after="0"/>
              <w:rPr>
                <w:sz w:val="20"/>
                <w:szCs w:val="20"/>
                <w:color w:val="auto"/>
              </w:rPr>
            </w:pPr>
            <w:r>
              <w:rPr>
                <w:rFonts w:ascii="Arial" w:cs="Arial" w:eastAsia="Arial" w:hAnsi="Arial"/>
                <w:sz w:val="18"/>
                <w:szCs w:val="18"/>
                <w:color w:val="auto"/>
              </w:rPr>
              <w:t>5.9</w:t>
            </w:r>
          </w:p>
        </w:tc>
      </w:tr>
    </w:tbl>
    <w:p>
      <w:pPr>
        <w:spacing w:after="0" w:line="20" w:lineRule="exact"/>
        <w:rPr>
          <w:rFonts w:ascii="Arial" w:cs="Arial" w:eastAsia="Arial" w:hAnsi="Arial"/>
          <w:sz w:val="13"/>
          <w:szCs w:val="13"/>
          <w:color w:val="FFFFFF"/>
        </w:rPr>
      </w:pPr>
      <w:r>
        <w:rPr>
          <w:rFonts w:ascii="Arial" w:cs="Arial" w:eastAsia="Arial" w:hAnsi="Arial"/>
          <w:sz w:val="13"/>
          <w:szCs w:val="13"/>
          <w:color w:val="FFFFFF"/>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19196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196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-301625</wp:posOffset>
            </wp:positionV>
            <wp:extent cx="19196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196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-453390</wp:posOffset>
            </wp:positionV>
            <wp:extent cx="19196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196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-604520</wp:posOffset>
            </wp:positionV>
            <wp:extent cx="19196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200" w:lineRule="exact"/>
        <w:rPr>
          <w:rFonts w:ascii="Arial" w:cs="Arial" w:eastAsia="Arial" w:hAnsi="Arial"/>
          <w:sz w:val="13"/>
          <w:szCs w:val="13"/>
          <w:color w:val="FFFFFF"/>
        </w:rPr>
      </w:pPr>
    </w:p>
    <w:p>
      <w:pPr>
        <w:sectPr>
          <w:pgSz w:w="11900" w:h="16838" w:orient="portrait"/>
          <w:cols w:equalWidth="0" w:num="2">
            <w:col w:w="7600" w:space="720"/>
            <w:col w:w="3020"/>
          </w:cols>
          <w:pgMar w:left="320" w:top="293" w:right="239" w:bottom="1440" w:gutter="0" w:footer="0" w:header="0"/>
          <w:type w:val="continuous"/>
        </w:sectPr>
      </w:pPr>
    </w:p>
    <w:p>
      <w:pPr>
        <w:spacing w:after="0" w:line="60" w:lineRule="exact"/>
        <w:rPr>
          <w:rFonts w:ascii="Arial" w:cs="Arial" w:eastAsia="Arial" w:hAnsi="Arial"/>
          <w:sz w:val="13"/>
          <w:szCs w:val="13"/>
          <w:color w:val="FFFFFF"/>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231F20"/>
        </w:rPr>
        <w:t>In the V004 trial, ATEV secondary patency was 86% at 6 months, and 64% at 12 months. While lower than patency values observed in the V002 trial, patients in the V004 trial had more severe PAD, which is associated with poorer arterial “run-off” and higher propensity for conduit occlusion. Assessment of Quality of Life by the validated VascuQol assessment demonstrated an increase in overall quality of life for V004 patients at 6 and 12 months. In addition, ankle-brachial index, a measurement of blood pressure in the operative limb, was increased at 6 and 12 months. There were no infections of the ATEV reported in the V004 trial, despite the severity of the PAD and the often-associated tissue infection that can accompany this disease. There were zero reports of clinical ATEV rejection. Lastly, there were zero reported amputations of any operative limb in the first 12 months of follow-up.</w:t>
      </w:r>
    </w:p>
    <w:p>
      <w:pPr>
        <w:spacing w:after="0" w:line="149" w:lineRule="exact"/>
        <w:rPr>
          <w:rFonts w:ascii="Arial" w:cs="Arial" w:eastAsia="Arial" w:hAnsi="Arial"/>
          <w:sz w:val="13"/>
          <w:szCs w:val="13"/>
          <w:color w:val="FFFFFF"/>
        </w:rPr>
      </w:pPr>
    </w:p>
    <w:p>
      <w:pPr>
        <w:ind w:right="200" w:firstLine="318"/>
        <w:spacing w:after="0" w:line="273" w:lineRule="auto"/>
        <w:rPr>
          <w:sz w:val="20"/>
          <w:szCs w:val="20"/>
          <w:color w:val="auto"/>
        </w:rPr>
      </w:pPr>
      <w:r>
        <w:rPr>
          <w:rFonts w:ascii="Times New Roman" w:cs="Times New Roman" w:eastAsia="Times New Roman" w:hAnsi="Times New Roman"/>
          <w:sz w:val="17"/>
          <w:szCs w:val="17"/>
          <w:color w:val="231F20"/>
        </w:rPr>
        <w:t>Published literature reports of patients with Rutherford stage 4 and 5 PAD and no autologous vein available for revascularization show that outcomes can include amputation. For Rutherford 4 and 5 patients with no vein and no revascularization procedure, amputation rates at 6 months are reported at 31%. For stage 4 and 5 patients who do undergo saphenous vein revascularization, the amputation rate at one year is approximately 10%. The lack of amputation for stage 4 and 5 patients in the V004 trial at one year, none of whom had saphenous vein for revascularization, supports the use of the ATEV in severe PAD.</w:t>
      </w:r>
    </w:p>
    <w:p>
      <w:pPr>
        <w:spacing w:after="0" w:line="141" w:lineRule="exact"/>
        <w:rPr>
          <w:rFonts w:ascii="Arial" w:cs="Arial" w:eastAsia="Arial" w:hAnsi="Arial"/>
          <w:sz w:val="13"/>
          <w:szCs w:val="13"/>
          <w:color w:val="FFFFFF"/>
        </w:rPr>
      </w:pPr>
    </w:p>
    <w:p>
      <w:pPr>
        <w:spacing w:after="0"/>
        <w:rPr>
          <w:sz w:val="20"/>
          <w:szCs w:val="20"/>
          <w:color w:val="auto"/>
        </w:rPr>
      </w:pPr>
      <w:r>
        <w:rPr>
          <w:rFonts w:ascii="Times New Roman" w:cs="Times New Roman" w:eastAsia="Times New Roman" w:hAnsi="Times New Roman"/>
          <w:sz w:val="18"/>
          <w:szCs w:val="18"/>
          <w:i w:val="1"/>
          <w:iCs w:val="1"/>
          <w:color w:val="231F20"/>
        </w:rPr>
        <w:t>Examples of the Use of Our 6 millimeter ATEVs in Expanded Access Cases</w:t>
      </w:r>
    </w:p>
    <w:p>
      <w:pPr>
        <w:spacing w:after="0" w:line="179" w:lineRule="exact"/>
        <w:rPr>
          <w:rFonts w:ascii="Arial" w:cs="Arial" w:eastAsia="Arial" w:hAnsi="Arial"/>
          <w:sz w:val="13"/>
          <w:szCs w:val="13"/>
          <w:color w:val="FFFFFF"/>
        </w:rPr>
      </w:pPr>
    </w:p>
    <w:p>
      <w:pPr>
        <w:ind w:right="160" w:firstLine="318"/>
        <w:spacing w:after="0" w:line="258" w:lineRule="auto"/>
        <w:rPr>
          <w:sz w:val="20"/>
          <w:szCs w:val="20"/>
          <w:color w:val="auto"/>
        </w:rPr>
      </w:pPr>
      <w:r>
        <w:rPr>
          <w:rFonts w:ascii="Times New Roman" w:cs="Times New Roman" w:eastAsia="Times New Roman" w:hAnsi="Times New Roman"/>
          <w:sz w:val="18"/>
          <w:szCs w:val="18"/>
          <w:color w:val="231F20"/>
        </w:rPr>
        <w:t>The FDA has granted use of the ATEV in 29 special expanded access cases through December 31, 2024, the majority of which were patients with chronic limb-threatening ischemia (“CLTI”), the end stage of PAD. Each of these compassionate use cases was conducted under an individual, investigator-initiated IND application with the FDA. Two cases are highlighted below.</w:t>
      </w:r>
    </w:p>
    <w:p>
      <w:pPr>
        <w:spacing w:after="0" w:line="138" w:lineRule="exact"/>
        <w:rPr>
          <w:rFonts w:ascii="Arial" w:cs="Arial" w:eastAsia="Arial" w:hAnsi="Arial"/>
          <w:sz w:val="13"/>
          <w:szCs w:val="13"/>
          <w:color w:val="FFFFFF"/>
        </w:rPr>
      </w:pPr>
    </w:p>
    <w:p>
      <w:pPr>
        <w:spacing w:after="0"/>
        <w:rPr>
          <w:sz w:val="20"/>
          <w:szCs w:val="20"/>
          <w:color w:val="auto"/>
        </w:rPr>
      </w:pPr>
      <w:r>
        <w:rPr>
          <w:rFonts w:ascii="Times New Roman" w:cs="Times New Roman" w:eastAsia="Times New Roman" w:hAnsi="Times New Roman"/>
          <w:sz w:val="18"/>
          <w:szCs w:val="18"/>
          <w:i w:val="1"/>
          <w:iCs w:val="1"/>
          <w:color w:val="231F20"/>
        </w:rPr>
        <w:t>70-year-old with Critical Limb Ischemia</w:t>
      </w:r>
    </w:p>
    <w:p>
      <w:pPr>
        <w:spacing w:after="0" w:line="192" w:lineRule="exact"/>
        <w:rPr>
          <w:rFonts w:ascii="Arial" w:cs="Arial" w:eastAsia="Arial" w:hAnsi="Arial"/>
          <w:sz w:val="13"/>
          <w:szCs w:val="13"/>
          <w:color w:val="FFFFFF"/>
        </w:rPr>
      </w:pPr>
    </w:p>
    <w:p>
      <w:pPr>
        <w:ind w:right="240" w:firstLine="318"/>
        <w:spacing w:after="0" w:line="271" w:lineRule="auto"/>
        <w:rPr>
          <w:sz w:val="20"/>
          <w:szCs w:val="20"/>
          <w:color w:val="auto"/>
        </w:rPr>
      </w:pPr>
      <w:r>
        <w:rPr>
          <w:rFonts w:ascii="Times New Roman" w:cs="Times New Roman" w:eastAsia="Times New Roman" w:hAnsi="Times New Roman"/>
          <w:sz w:val="18"/>
          <w:szCs w:val="18"/>
          <w:color w:val="231F20"/>
        </w:rPr>
        <w:t>The patient is a 70-year-old male with critical limb ischemia and no vein available to perform a bypass, as the vein was previously used for a CABG. He underwent a successful bypass with the ATEV. Imaging at one year demonstrated a patent graft as illustrated below.</w:t>
      </w:r>
    </w:p>
    <w:p>
      <w:pPr>
        <w:spacing w:after="0" w:line="200" w:lineRule="exact"/>
        <w:rPr>
          <w:rFonts w:ascii="Arial" w:cs="Arial" w:eastAsia="Arial" w:hAnsi="Arial"/>
          <w:sz w:val="13"/>
          <w:szCs w:val="13"/>
          <w:color w:val="FFFFFF"/>
        </w:rPr>
      </w:pPr>
    </w:p>
    <w:p>
      <w:pPr>
        <w:spacing w:after="0" w:line="200" w:lineRule="exact"/>
        <w:rPr>
          <w:rFonts w:ascii="Arial" w:cs="Arial" w:eastAsia="Arial" w:hAnsi="Arial"/>
          <w:sz w:val="13"/>
          <w:szCs w:val="13"/>
          <w:color w:val="FFFFFF"/>
        </w:rPr>
      </w:pPr>
    </w:p>
    <w:p>
      <w:pPr>
        <w:spacing w:after="0" w:line="200" w:lineRule="exact"/>
        <w:rPr>
          <w:rFonts w:ascii="Arial" w:cs="Arial" w:eastAsia="Arial" w:hAnsi="Arial"/>
          <w:sz w:val="13"/>
          <w:szCs w:val="13"/>
          <w:color w:val="FFFFFF"/>
        </w:rPr>
      </w:pPr>
    </w:p>
    <w:p>
      <w:pPr>
        <w:spacing w:after="0" w:line="349" w:lineRule="exact"/>
        <w:rPr>
          <w:rFonts w:ascii="Arial" w:cs="Arial" w:eastAsia="Arial" w:hAnsi="Arial"/>
          <w:sz w:val="13"/>
          <w:szCs w:val="13"/>
          <w:color w:val="FFFFFF"/>
        </w:rPr>
      </w:pPr>
    </w:p>
    <w:p>
      <w:pPr>
        <w:jc w:val="center"/>
        <w:ind w:right="-2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rFonts w:ascii="Arial" w:cs="Arial" w:eastAsia="Arial" w:hAnsi="Arial"/>
          <w:sz w:val="13"/>
          <w:szCs w:val="13"/>
          <w:color w:val="FFFFFF"/>
        </w:rPr>
      </w:pPr>
      <w:r>
        <w:rPr>
          <w:rFonts w:ascii="Arial" w:cs="Arial" w:eastAsia="Arial" w:hAnsi="Arial"/>
          <w:sz w:val="13"/>
          <w:szCs w:val="13"/>
          <w:color w:val="FFFFFF"/>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293" w:right="2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653415</wp:posOffset>
            </wp:positionV>
            <wp:extent cx="5344795" cy="27400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4795" cy="2740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42-year-old with Infected Dacron Graft</w:t>
      </w:r>
    </w:p>
    <w:p>
      <w:pPr>
        <w:spacing w:after="0" w:line="179"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7"/>
          <w:szCs w:val="17"/>
          <w:color w:val="231F20"/>
        </w:rPr>
        <w:t>An ATEV was used in a 42-year-old female to replace an 8 mm Dacron iliac artery bypass graft that had become infected. The patient refused harvesting of the femoral vein for reconstruction and requested the ATEV. The patient was seen at one, three, six, nine, and 12 months after ATEV implantation. At all visits, the ATEV appeared normal with unobstructed patency. Flow and velocities were normal. At three months, the patient was released to full activity. At six and 12 months, the graft was functioning well. At one-year imaging, the ATEV was patent and appeared remarkably similar to the patient’s native blood vessels. The patient had no signs of infection in the ATEV and continues to have no limitations or complications during normal activity or exercise.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Mayo Clinic Study in Severe PAD</w:t>
      </w:r>
    </w:p>
    <w:p>
      <w:pPr>
        <w:spacing w:after="0" w:line="192"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231F20"/>
        </w:rPr>
        <w:t xml:space="preserve">The Mayo Clinic, Rochester, MN, is conducting a study in patients with CLTI under an investigator-initiated IND filed with the FDA. In February 2024, researchers published interim results in the </w:t>
      </w:r>
      <w:r>
        <w:rPr>
          <w:rFonts w:ascii="Times New Roman" w:cs="Times New Roman" w:eastAsia="Times New Roman" w:hAnsi="Times New Roman"/>
          <w:sz w:val="18"/>
          <w:szCs w:val="18"/>
          <w:i w:val="1"/>
          <w:iCs w:val="1"/>
          <w:color w:val="231F20"/>
        </w:rPr>
        <w:t>Journal of Vascular Surgery</w:t>
      </w:r>
      <w:r>
        <w:rPr>
          <w:rFonts w:ascii="Times New Roman" w:cs="Times New Roman" w:eastAsia="Times New Roman" w:hAnsi="Times New Roman"/>
          <w:sz w:val="18"/>
          <w:szCs w:val="18"/>
          <w:color w:val="231F20"/>
        </w:rPr>
        <w:t>, including their conclusion that in the clinical study the ATEV was a safe, resilient, and effective conduit for arterial bypass and limb salvage. This is an important result since approximately 40% of patients requiring lower extremity bypass do not have saphenous vein available, which is the standard of care for treating this challenging disease state. The presentation reported the outcomes of 29 patients, with a mean age of 71 and having no available vein to use as a bypass graft, who underwent ATEV implantation. Of these 29 patients, 28 (97%) had previously experienced unsuccessful revascularization procedures on the extremity and 21 (72%) had tissue loss or gangrene. Based on the state of this disease, this patient group had a 30-50% one-year risk of amputation. Notably, performing bypass surgery in 24 (83%) of the patients necessitated the fusion of two 42 cm long ATEVs to achieve the required bypass length. Surgeons reported that the operations to implant the ATEV achieved a 100% technical success rate, without any ATEV-related major adverse events reported. At a median follow-up of nine months, the secondary patency rate for patients implanted with the ATEV was 71%. The limb salvage rate was 86%, corresponding to only a 14% amputation rate.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Preclinical Pipeline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Pancreatic Islet Transplantation for Type 1 Diabetes (BioVascular Pancreas)</w:t>
      </w:r>
    </w:p>
    <w:p>
      <w:pPr>
        <w:spacing w:after="0" w:line="192" w:lineRule="exact"/>
        <w:rPr>
          <w:sz w:val="20"/>
          <w:szCs w:val="20"/>
          <w:color w:val="auto"/>
        </w:rPr>
      </w:pPr>
    </w:p>
    <w:p>
      <w:pPr>
        <w:ind w:right="160" w:firstLine="318"/>
        <w:spacing w:after="0" w:line="254" w:lineRule="auto"/>
        <w:rPr>
          <w:sz w:val="20"/>
          <w:szCs w:val="20"/>
          <w:color w:val="auto"/>
        </w:rPr>
      </w:pPr>
      <w:r>
        <w:rPr>
          <w:rFonts w:ascii="Times New Roman" w:cs="Times New Roman" w:eastAsia="Times New Roman" w:hAnsi="Times New Roman"/>
          <w:sz w:val="18"/>
          <w:szCs w:val="18"/>
          <w:color w:val="231F20"/>
        </w:rPr>
        <w:t>The BVP is a modification of Humacyte’s ATEV product, leveraging the ATEV to deliver therapeutic cells within close proximity of the patient’s bloodstream. We believe that the ATEV extracellular matrix material is both highly biocompatible, as evidenced by adaptive cellular repopulation after implantation, and also highly angiogenic, as evidenced by extensive formation of microvessels surrounding the ATEV in vivo. These attributes mean that the ATEV may serve as a suitable conduit for delivering large numbers of therapeutic cells to a patient.</w:t>
      </w:r>
    </w:p>
    <w:p>
      <w:pPr>
        <w:spacing w:after="0" w:line="200" w:lineRule="exact"/>
        <w:rPr>
          <w:sz w:val="20"/>
          <w:szCs w:val="20"/>
          <w:color w:val="auto"/>
        </w:rPr>
      </w:pPr>
    </w:p>
    <w:p>
      <w:pPr>
        <w:spacing w:after="0" w:line="3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160" w:firstLine="318"/>
        <w:spacing w:after="0" w:line="258" w:lineRule="auto"/>
        <w:rPr>
          <w:sz w:val="20"/>
          <w:szCs w:val="20"/>
          <w:color w:val="auto"/>
        </w:rPr>
      </w:pPr>
      <w:r>
        <w:rPr>
          <w:rFonts w:ascii="Times New Roman" w:cs="Times New Roman" w:eastAsia="Times New Roman" w:hAnsi="Times New Roman"/>
          <w:sz w:val="18"/>
          <w:szCs w:val="18"/>
          <w:color w:val="231F20"/>
        </w:rPr>
        <w:t>Pancreatic islets, which sense blood glucose and respond by secreting insulin, are destroyed by an auto-immune attack in patients with Type I diabetes. The outer surface of our 42cm ATEV has sufficient surface area to accommodate a monolayer of approximately 800,000 human pancreatic islets, which is approximately the number in an entire adult pancreas, and can reverse diabetes and restore glucose control.</w:t>
      </w:r>
    </w:p>
    <w:p>
      <w:pPr>
        <w:spacing w:after="0" w:line="140"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We have performed mathematical modelling studies that predict, we believe, that a 42cm ATEV could maintain viability of a therapeutic number of islets after implantation of the ATEV into the arterial bloodstream, or after implantation as an AV conduit similar to that used for hemodialysis access. Bioreactor experiments have confirmed these mathematical conclusions. Furthermore, we have implanted rat-sized BVPs into the aortas of diabetic rats, and observed that the BVP could restore normal glucose levels in all treated animals, while control animals (“No Flow” in red in figure below) did not restore glucose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131445</wp:posOffset>
            </wp:positionV>
            <wp:extent cx="4201795" cy="1672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01795"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231F20"/>
        </w:rPr>
        <w:t>In April 2023, Humacyte and Breakthrough T1D (f/k/a JDRF International) (“JDRF”), the leading global organization funding type 1 diabetes research, announced a collaboration to advance the development of the BVP product candidate. During 2023 and 2024, we performed testing the BVP in primates. In these experiments, researchers observed that insulin-producing cells in the BVP survive for months after implantation into the animal and continue to make insulin after implantation that is measurable in the bloodstream. We consider these results to be extremely encouraging as they support the potential ability of the BVP to deliver a curative number of insulin-producing islets into diabetic subjects. Additional work in large animals is currently ongoing, including using the BVP in diabetic large animals.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Coronary Artery Bypass Graft</w:t>
      </w:r>
    </w:p>
    <w:p>
      <w:pPr>
        <w:spacing w:after="0" w:line="179"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7"/>
          <w:szCs w:val="17"/>
          <w:color w:val="auto"/>
        </w:rPr>
        <w:t>Evaluation of 3.5-4mm diameter ATEVs for CABG has been performed over the last four years at Humacyte. We performed a preclinical study at Duke University to evaluate the use of our small diameter ATEV for CABG in adult primates (baboons), and we have also performed studies of the sdATEV in sheep and pig models of CABG surgery, with follow-up times ranging from 1-3 months. The goal of the primate and other large animal studies is to assess patency and function of the small diameter ATEV, as well as host responses and cellular remodeling. ATEVs are followed by ultrasound imaging of the heart, and angiographic imaging of the conduits. In November 2024, researchers presented preclinical results of the sdATEV in a baboon model of CABG at The American Heart Association’s Scientific Sessions 2024 meeting. In the six-month preclinical CABG model, the sdATEV was observed to sustain patency (blood flow), recellularized with the animals’ host cells, and remodeled to effectively reduce the initial size mismatch between the sdATEV and the animals’ native artery. In the preclinical study, the sdATEV was implanted between the aorta and right coronary artery (“RCA”) in five baboons to simulate a CABG procedure. Animals were followed for six months after sdATEV implantation and all sdATEVs maintained patency throughout the study. The baboon study provided an effective model for demonstrating the feasibility, mechanical durability and capacity for host-cell remodeling of the sdATEV for CABG. After implantation, the sdATEV was observed to recellularize with host cells and remodel to effectively reduce the initial size mismatch with the RCA.</w:t>
      </w:r>
    </w:p>
    <w:p>
      <w:pPr>
        <w:spacing w:after="0" w:line="149" w:lineRule="exact"/>
        <w:rPr>
          <w:sz w:val="20"/>
          <w:szCs w:val="20"/>
          <w:color w:val="auto"/>
        </w:rPr>
      </w:pPr>
    </w:p>
    <w:p>
      <w:pPr>
        <w:ind w:right="180" w:firstLine="318"/>
        <w:spacing w:after="0" w:line="271" w:lineRule="auto"/>
        <w:rPr>
          <w:sz w:val="20"/>
          <w:szCs w:val="20"/>
          <w:color w:val="auto"/>
        </w:rPr>
      </w:pPr>
      <w:r>
        <w:rPr>
          <w:rFonts w:ascii="Times New Roman" w:cs="Times New Roman" w:eastAsia="Times New Roman" w:hAnsi="Times New Roman"/>
          <w:sz w:val="18"/>
          <w:szCs w:val="18"/>
          <w:color w:val="auto"/>
        </w:rPr>
        <w:t>Based on discussions with the FDA, we plan to file an IND with the FDA seeking authorization to commence human clinical testing of the sdATEV in CABG.</w:t>
      </w:r>
    </w:p>
    <w:p>
      <w:pPr>
        <w:spacing w:after="0" w:line="200" w:lineRule="exact"/>
        <w:rPr>
          <w:sz w:val="20"/>
          <w:szCs w:val="20"/>
          <w:color w:val="auto"/>
        </w:rPr>
      </w:pPr>
    </w:p>
    <w:p>
      <w:pPr>
        <w:spacing w:after="0" w:line="33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293"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Angiography showing adaptive remodeling</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of ATEV after implant in baboon CABG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113030</wp:posOffset>
            </wp:positionV>
            <wp:extent cx="5647690" cy="21012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4769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Pediatric Heart Surgery: Modified Blalock-Taussig-Thomas (mBTT) Shunt</w:t>
      </w:r>
    </w:p>
    <w:p>
      <w:pPr>
        <w:spacing w:after="0" w:line="179"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231F20"/>
        </w:rPr>
        <w:t>Tetrology of Fallot is a relatively common congenital heart defect, that is often treated using a modified Blalock-Taussig-Thomas (“mBTT”). To support a potential future IND filing with the FDA, we have evaluated the use of our ATEV as an mBTT shunt for up to six months in juvenile primates at the Research Institute at Nationwide Children’s Hospital in Columbus, Ohio.</w:t>
      </w:r>
    </w:p>
    <w:p>
      <w:pPr>
        <w:spacing w:after="0" w:line="1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231F20"/>
        </w:rPr>
        <w:t>BT Shunt Implant Schematic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125095</wp:posOffset>
            </wp:positionV>
            <wp:extent cx="4201795" cy="1680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01795"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 xml:space="preserve">In October 2023, results of the preclinical study were published in the open-access </w:t>
      </w:r>
      <w:r>
        <w:rPr>
          <w:rFonts w:ascii="Times New Roman" w:cs="Times New Roman" w:eastAsia="Times New Roman" w:hAnsi="Times New Roman"/>
          <w:sz w:val="18"/>
          <w:szCs w:val="18"/>
          <w:i w:val="1"/>
          <w:iCs w:val="1"/>
          <w:color w:val="231F20"/>
        </w:rPr>
        <w:t>Journal of Thoracic and Cardiovascular Surgery (JTCVS Open)</w:t>
      </w:r>
      <w:r>
        <w:rPr>
          <w:rFonts w:ascii="Times New Roman" w:cs="Times New Roman" w:eastAsia="Times New Roman" w:hAnsi="Times New Roman"/>
          <w:sz w:val="18"/>
          <w:szCs w:val="18"/>
          <w:color w:val="231F20"/>
        </w:rPr>
        <w:t>. In the study, researchers implanted 3.5mm diameter ATEVs into a juvenile large-animal model of pediatric heart disease. The 3.5mm ATEV was implanted between the subclavian and pulmonary arteries, to mimic a commonly-performed surgical procedure used to treat babies born with Tetralogy of Fallot, one of the most common pediatric heart conditions. The study assessed the ATEV’s patency, structure, and blood flow from one week to six months after the implant. The 3.5mm diameter ATEV has smaller product dimensions but is manufactured using a similar process as Humacyte's 6mm ATEV system currently being evaluated in clinical trials in vascular trauma, AV access for hemodialysis, and PAD. We believe that the production of the functional 3.5mm ATEV is indicative of the potentially broad application of our proprietary bioengineered tissue platform and manufacturing processes.</w:t>
      </w:r>
    </w:p>
    <w:p>
      <w:pPr>
        <w:spacing w:after="0" w:line="200" w:lineRule="exact"/>
        <w:rPr>
          <w:sz w:val="20"/>
          <w:szCs w:val="20"/>
          <w:color w:val="auto"/>
        </w:rPr>
      </w:pPr>
    </w:p>
    <w:p>
      <w:pPr>
        <w:spacing w:after="0" w:line="3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Engineered Trachea for Treatment of Severe Airway Injuries</w:t>
      </w:r>
    </w:p>
    <w:p>
      <w:pPr>
        <w:spacing w:after="0" w:line="179" w:lineRule="exact"/>
        <w:rPr>
          <w:sz w:val="20"/>
          <w:szCs w:val="20"/>
          <w:color w:val="auto"/>
        </w:rPr>
      </w:pPr>
    </w:p>
    <w:p>
      <w:pPr>
        <w:ind w:right="220" w:firstLine="318"/>
        <w:spacing w:after="0" w:line="254" w:lineRule="auto"/>
        <w:rPr>
          <w:sz w:val="20"/>
          <w:szCs w:val="20"/>
          <w:color w:val="auto"/>
        </w:rPr>
      </w:pPr>
      <w:r>
        <w:rPr>
          <w:rFonts w:ascii="Times New Roman" w:cs="Times New Roman" w:eastAsia="Times New Roman" w:hAnsi="Times New Roman"/>
          <w:sz w:val="18"/>
          <w:szCs w:val="18"/>
          <w:color w:val="231F20"/>
        </w:rPr>
        <w:t>Each year in the United States, approximately 4,000 operations are performed to repair or reconstruct the trachea or mainstem bronchi. But unlike most other connective tissues in the body — such as blood vessel, bone, skin and tendon — there currently are no replacements for tracheal tissue that are in widespread clinical use. For long tracheal or bronchial defects, some sort of tracheal replacement is often needed, yet none exists currently. The lack of a functional tracheal conduit commits patients to, sometimes, slow suffocation.</w:t>
      </w:r>
    </w:p>
    <w:p>
      <w:pPr>
        <w:spacing w:after="0" w:line="143" w:lineRule="exact"/>
        <w:rPr>
          <w:sz w:val="20"/>
          <w:szCs w:val="20"/>
          <w:color w:val="auto"/>
        </w:rPr>
      </w:pPr>
    </w:p>
    <w:p>
      <w:pPr>
        <w:ind w:right="20" w:firstLine="318"/>
        <w:spacing w:after="0" w:line="254" w:lineRule="auto"/>
        <w:rPr>
          <w:sz w:val="20"/>
          <w:szCs w:val="20"/>
          <w:color w:val="auto"/>
        </w:rPr>
      </w:pPr>
      <w:r>
        <w:rPr>
          <w:rFonts w:ascii="Times New Roman" w:cs="Times New Roman" w:eastAsia="Times New Roman" w:hAnsi="Times New Roman"/>
          <w:sz w:val="18"/>
          <w:szCs w:val="18"/>
          <w:color w:val="231F20"/>
        </w:rPr>
        <w:t>We have modified the ATEV production process to enable the embedding of a biocompatible medical-grade stent within the wall of the engineered vessel. Combining a non-degradable stent with the degradable polymer scaffold used for ATEV production results in a composite scaffold that can be seeded with smooth muscle cells and grown in culture. After decellularization, the engineered trachea consists of the extracellular matrix contained in the ATEV, along with an embedded stent that prevents the collapse of the engineered airway with inspiration or neck movements.</w:t>
      </w:r>
    </w:p>
    <w:p>
      <w:pPr>
        <w:spacing w:after="0" w:line="1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231F20"/>
        </w:rPr>
        <w:t>Summary of Process to Generate Engineered Tracheas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125095</wp:posOffset>
            </wp:positionV>
            <wp:extent cx="5462905" cy="924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62905" cy="92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231F20"/>
        </w:rPr>
        <w:t>In models where engineered tracheas were implanted into rats and non-human primates, we have observed that the implants repopulate with cells from the host, including cuboidal respiratory epithelium that lines the native airway progressively from two to eight weeks after implantation. We have further observed that the engineered tracheas can function out to two months. Future studies in large animal models are planned.</w:t>
      </w:r>
    </w:p>
    <w:p>
      <w:pPr>
        <w:spacing w:after="0" w:line="138" w:lineRule="exact"/>
        <w:rPr>
          <w:sz w:val="20"/>
          <w:szCs w:val="20"/>
          <w:color w:val="auto"/>
        </w:rPr>
      </w:pPr>
    </w:p>
    <w:p>
      <w:pPr>
        <w:jc w:val="center"/>
        <w:ind w:left="660" w:right="20"/>
        <w:spacing w:after="0" w:line="273" w:lineRule="auto"/>
        <w:rPr>
          <w:sz w:val="20"/>
          <w:szCs w:val="20"/>
          <w:color w:val="auto"/>
        </w:rPr>
      </w:pPr>
      <w:r>
        <w:rPr>
          <w:rFonts w:ascii="Times New Roman" w:cs="Times New Roman" w:eastAsia="Times New Roman" w:hAnsi="Times New Roman"/>
          <w:sz w:val="18"/>
          <w:szCs w:val="18"/>
          <w:i w:val="1"/>
          <w:iCs w:val="1"/>
          <w:color w:val="231F20"/>
        </w:rPr>
        <w:t>Photograph (A) of Implantation of Engineered Trachea into Non-Human Primate Airway; Microscope Imaging of Cells Repopulating the Trachea after 2 and 8 weeks (B,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100330</wp:posOffset>
            </wp:positionV>
            <wp:extent cx="5042535" cy="8401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4253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Engineered Whole Lung Organs</w:t>
      </w:r>
    </w:p>
    <w:p>
      <w:pPr>
        <w:spacing w:after="0" w:line="179" w:lineRule="exact"/>
        <w:rPr>
          <w:sz w:val="20"/>
          <w:szCs w:val="20"/>
          <w:color w:val="auto"/>
        </w:rPr>
      </w:pPr>
    </w:p>
    <w:p>
      <w:pPr>
        <w:ind w:right="20" w:firstLine="318"/>
        <w:spacing w:after="0" w:line="254" w:lineRule="auto"/>
        <w:rPr>
          <w:sz w:val="20"/>
          <w:szCs w:val="20"/>
          <w:color w:val="auto"/>
        </w:rPr>
      </w:pPr>
      <w:r>
        <w:rPr>
          <w:rFonts w:ascii="Times New Roman" w:cs="Times New Roman" w:eastAsia="Times New Roman" w:hAnsi="Times New Roman"/>
          <w:sz w:val="18"/>
          <w:szCs w:val="18"/>
          <w:color w:val="231F20"/>
        </w:rPr>
        <w:t>End-stage lung disease is the fourth leading cause of death in the U.S., and lung transplantation remains severely limited by donor organ shortages. Dr. Niklason’s laboratory at Yale University has pioneered the development of using decellularized native lungs, combined with targeted recellularization of the lung scaffolds within biomimetic bioreactors, to produce whole lungs that are capable of exchanging gas. Gas exchange for several hours has been observed in studies in rodents. Efforts to scale-up the technology to human-sized organs are ongoing.</w:t>
      </w:r>
    </w:p>
    <w:p>
      <w:pPr>
        <w:spacing w:after="0" w:line="200" w:lineRule="exact"/>
        <w:rPr>
          <w:sz w:val="20"/>
          <w:szCs w:val="20"/>
          <w:color w:val="auto"/>
        </w:rPr>
      </w:pPr>
    </w:p>
    <w:p>
      <w:pPr>
        <w:spacing w:after="0" w:line="3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231F20"/>
        </w:rPr>
        <w:t>Structure of Lung, Scaffold for Lung Engineering, and Implanted Engineered 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125095</wp:posOffset>
            </wp:positionV>
            <wp:extent cx="5042535" cy="1680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42535"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Manufacturing</w:t>
      </w:r>
    </w:p>
    <w:p>
      <w:pPr>
        <w:spacing w:after="0" w:line="181"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8"/>
          <w:szCs w:val="18"/>
          <w:color w:val="231F20"/>
        </w:rPr>
        <w:t>We have developed a novel paradigm for manufacturing human tissues that mimics key aspects of human physiology. Recognizing that commercial scale production capacity of bioengineered tissue has been non-existent, we prioritized the development of a scalable, reproduceable, commercial biomanufacturing process. At our 83,000 square foot manufacturing facility in Durham, North Carolina, we have industrialized this concept and created a scalable modular manufacturing process that enables us to engineer our ATEVs in commercial quantities in a system designed for cGMP compliance.</w:t>
      </w:r>
    </w:p>
    <w:p>
      <w:pPr>
        <w:spacing w:after="0" w:line="156"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Our proprietary manufacturing process was designed with a modular approach allowing us to produce ATEVs in smaller batches for clinical trials and scale out to larger batches for commercial manufacturing. The current, commercial-scale LUNA200 system utilizes 20 growth drawers holding ten ATEVs each for a total of 200 ATEVs per batch. Since 2021 this system has been utilized to produce clinical product for use in our ongoing Phase 3 trials. The FDA inspected our manufacturing facility in April 2024 as part of its review and approval of our BLA in extremity vascular trauma, and we are using this facility to provide product for the United States commercial launch in that indication which commenced in the first quarter of 2025.</w:t>
      </w:r>
    </w:p>
    <w:p>
      <w:pPr>
        <w:spacing w:after="0" w:line="14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Our manufacturing process utilizes our LUNA200 system, consisting of 20 “growth drawers.” Each growth drawer is capable of producing ten 42cm ATEVs and each ATEV remains contained within an individual bioreactor bag. Inside a LUNA200, a closed tubing network connects all 20 growth drawers as well as the ten bioreactor bags in each drawer, allowing the entire system to share cells and nutritive media. In this way, a single LUNA200 can produce up to 200 ATEVs per batch while maintaining the critical operating parameters that direct growth, creating a gross capacity of approximately 900 ATEVs per system annually.</w:t>
      </w:r>
    </w:p>
    <w:p>
      <w:pPr>
        <w:spacing w:after="0" w:line="148"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We have designed the LUNA200 to have the ability to produce ATEVs in diameter sizes from 3mm to 10mm and lengths from 10cm to 42cm, making the equipment suitable for the varied array of product candidates in our pipeline. We intend to introduce a 13cm ATEV line extension after commercial launch of the 42cm ATEV. Using our existing LUNA manufacturing equipment, we can generate 400 13cm ATEVs per batch. Our modular manufacturing platform can be scaled without impacting the operating parameters that support the ATEV growth process. We have designed our manufacturing system to be functionally closed, to utilize single-use disposable materials with aseptic connections, and to be fully automated.</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231F20"/>
        </w:rPr>
        <w:t>Modular Manufacturing Platform Allows for Production of Multiple Product Lengths Using the Same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125095</wp:posOffset>
            </wp:positionV>
            <wp:extent cx="3151505" cy="16135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51505" cy="161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318"/>
        <w:spacing w:after="0" w:line="254" w:lineRule="auto"/>
        <w:rPr>
          <w:sz w:val="20"/>
          <w:szCs w:val="20"/>
          <w:color w:val="auto"/>
        </w:rPr>
      </w:pPr>
      <w:r>
        <w:rPr>
          <w:rFonts w:ascii="Times New Roman" w:cs="Times New Roman" w:eastAsia="Times New Roman" w:hAnsi="Times New Roman"/>
          <w:sz w:val="18"/>
          <w:szCs w:val="18"/>
          <w:color w:val="231F20"/>
        </w:rPr>
        <w:t>We currently have eight LUNA200 systems installed, commissioned and qualified in our manufacturing facility, creating an annual gross ATEV capacity of approximately 7,200 ATEVs. Our manufacturing facility contains space to increase capacity in future years to approximately 40 LUNA200 systems in total. As we continue to expand production, we believe that we will have the ability to take advantage of economies of scale and reduce production costs. The initiation and pace of the expansion of vessel capacity will be determined based on our assessment of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102235</wp:posOffset>
            </wp:positionV>
            <wp:extent cx="4639310" cy="8401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63931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8"/>
          <w:szCs w:val="18"/>
          <w:color w:val="231F20"/>
        </w:rPr>
        <w:t>We initiate ATEV production using primary human aortic vascular cells from a working cell stock (“WCS”) that is isolated from FDA-compliant donor tissues and cryopreserved. The WCS vials are stored at two separate qualified facilities to mitigate the risk of single site storage. We qualify all new WCSs for use in ATEV manufacturing utilizing biochemical and gene expression assays. Each qualified primary isolation can produce approximately 500,000 to one million ATEVs.</w:t>
      </w:r>
    </w:p>
    <w:p>
      <w:pPr>
        <w:spacing w:after="0" w:line="156"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231F20"/>
        </w:rPr>
        <w:t>The WCS expanded using traditional cell culture techniques, and the cells are transferred onto a biocompatible, biodegradable polymer mesh within a flexible, single-use bioreactor bag. Cells inoculated onto this tubular mesh are cultured utilizing a proprietary culture medium and subjected to cyclic mechanical stretch for a period of approximately eight weeks. During this period, the cells proliferate and build extracellular matrix while the polymer mesh degrades. The resulting bioengineered vessel is comprised of the aortic vascular cells and their deposited extracellular matrix. After completion of the culture period, we decellularize the bioengineered vessel using a proprietary combination of salts, enzymes and detergents, followed by numerous washes in excipient grade neutral pH buffered saline. The resulting ATEV retains the human extracellular matrix constituents and, therefore, the biomechanical properties of the bioengineered vessel, but cells and cellular components, which could induce a foreign body response or immune rejection following implantation, are removed. After decellularization, our ATEVs are packaged for distribution inside the same flexible bioreactor bag in which they were produced, with sterile phosphate buffered saline as the excipient. Once the package is delivered to the operating room, the ATEV is removed from the bioreactor bag by the surgical staff.</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Suppliers</w:t>
      </w:r>
    </w:p>
    <w:p>
      <w:pPr>
        <w:spacing w:after="0" w:line="18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231F20"/>
        </w:rPr>
        <w:t>We source critical components and necessary raw materials from vendors that have been approved and qualified through our vendor management program. SeraCare, which was subsequently acquired by LGC Clinical Diagnostics, Inc. (“SeraCare”), is the current single source supplier of human plasma used in our manufacturing process and Confluent Medical Technologies, Inc. (“Confluent”) is the current single source supplier of the polymer mesh we use. We source custom, Humacyte-designed, pre-sterilized (gamma irradiated) assemblies and single-use tubing sets through multiple approved vendors. We source bioprocess solutions, including culture media and decellularization buffers, from a division of Thermo Fisher Scientific, which has a second production site to provide redundant media/buffer production capacity. We continue to explore the development redundant vendors for all critical materials and we manage all vendor changes through a robust change control process.</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Supply Agreement with SeraCare</w:t>
      </w:r>
    </w:p>
    <w:p>
      <w:pPr>
        <w:spacing w:after="0" w:line="179"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231F20"/>
        </w:rPr>
        <w:t>In January 2014, we entered into a supply agreement with SeraCare for the supply of human plasma, which was amended in October 2018 (as amended, the “SeraCare Agreement”). Under the SeraCare Agreement, we agreed to purchase at least a substantial majority of our human plasma requirements from SeraCare. In the event SeraCare is unable to fulfill our requirements, and subject to certain conditions, we may engage another plasma supplier during the period in which SeraCare is unable to fulfill our requirements. The SeraCare Agreement is subject to annual price modifications in the case of significant changes in SeraCare’s cost of raw materials, with any modification to be determined at least three months prior to the end of the relevant year. The initial term of the SeraCare Agreement expired on October 12, 2023, but automatically extends for subsequent one-year periods unless terminated by either party at least 18 months prior to the end of the initial term. Either party may terminate the SeraCare Agreement for uncured material breach or for the insolvency of the other party at any time. In addition, either party may terminate the SeraCare Agreement without cause upon 12 months’ written notice. We may also terminate the agreement in the event of certain supply interruptions. Each party also agreed to indemnify the other against certain third-party claims up to a specified cap.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Supply Agreement with Confluent</w:t>
      </w:r>
    </w:p>
    <w:p>
      <w:pPr>
        <w:spacing w:after="0" w:line="192"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231F20"/>
        </w:rPr>
        <w:t>In August 2015, we entered into an agreement for the supply of polymer mesh, which we refer to as the mesh supply agreement, with Biomedical Structures LLC (“Biomedical Structures”). Biomedical Structures’ rights and obligations under the mesh supply agreement were subsequently assigned to Confluent in connection with Confluent’s acquisition of Biomedical Structures in 2016. In 2020, the agreement was amended to align with the growth expected with the transition to commercial distribution following FDA approval. Pursuant to the mesh supply agreement, the price of polymer mesh we purchase from Confluent is subject to potential adjustment if Confluent’s cost of raw materials increases above a specified threshold pursuant to good faith negotiations from both parties, which negotiation Confluent may not request more than once in a 12-month period. The 2020 amendment also provided volume driven discounts. Confluent is obligated to partner with Humacyte in order to establish redundant facilities for the manufacture of the polymer mesh at established contractual volume thresholds. The amended mesh supply agreement has a term of three years, which can be automatically extended for subsequent one-year periods and will continue to do so unless either party provides notice of non-renewal at least 120 days prior to the end of the then-current term or otherwise terminates in accordance with the agreement. We and Confluent are each also permitted to terminate the mesh supply agreement for convenience, however Confluent must provide us with at least 365 days written notice and we are obligated to provide 180 days’ notice, prior to such a termination. In addition, each party is permitted to terminate the mesh supply agreement for an uncured material breach by the other party following failure to remedy the breach during a sixty-day cure period. Both parties have agreed to indemnify one another for certain third-party claims.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Distribution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Commercialization Strategy Within United States and for Earlier-Stage Pipeline Programs</w:t>
      </w:r>
    </w:p>
    <w:p>
      <w:pPr>
        <w:spacing w:after="0" w:line="192" w:lineRule="exact"/>
        <w:rPr>
          <w:sz w:val="20"/>
          <w:szCs w:val="20"/>
          <w:color w:val="auto"/>
        </w:rPr>
      </w:pPr>
    </w:p>
    <w:p>
      <w:pPr>
        <w:ind w:right="440" w:firstLine="318"/>
        <w:spacing w:after="0" w:line="250" w:lineRule="auto"/>
        <w:rPr>
          <w:sz w:val="20"/>
          <w:szCs w:val="20"/>
          <w:color w:val="auto"/>
        </w:rPr>
      </w:pPr>
      <w:r>
        <w:rPr>
          <w:rFonts w:ascii="Times New Roman" w:cs="Times New Roman" w:eastAsia="Times New Roman" w:hAnsi="Times New Roman"/>
          <w:sz w:val="18"/>
          <w:szCs w:val="18"/>
          <w:color w:val="auto"/>
        </w:rPr>
        <w:t>Following the December 2024 FDA approval of Symvess in extremity vascular trauma, we commenced the United States commercial launch in that indication in the first quarter of 2025. For our vascular repair and replacement applications of our technology, including vascular trauma, AV access for dialysis, and the treatment of PAD, we have retained the right to commercialize our ATEV within the United States. In the United States we are commercializing the ATEV through our own direct sales and marketing team and expect to do so also for any additional ATEV indications that may be approved. We own end-to-end commercialization and are pursuing collaborations with appropriate strategic partners who have established distribution channels for specialized markets.</w:t>
      </w:r>
    </w:p>
    <w:p>
      <w:pPr>
        <w:spacing w:after="0" w:line="149"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Our first market launch of Symvess for the treatment of extremity vascular trauma in the United States involves a highly concentrated market of approximately 200 Level I Trauma Centers that may be reached with a small field sales forces. Many of the major trauma centers already have familiarity with our ATEVs through their participation in our clinical trials. Our sales launch commenced in the first quarter of 2025 and includes dual targeting of surgeons to create pull-through demand and hospital administration (trauma center Value Analysis Committees) to ensure adoption and uptake of the ATEV in vascular trauma. We have recruited and trained a highly experienced sales team for the commercial launch of Symvess. All ten sales team members are multi-year President’s Club winners, representing the top 10% of achievers in their prior sales organizations. The average hospital medical device and biotech experience of our sales team members exceeds 15 years, all sales team members have experience in vascular surgery and/or trauma surgery, and 80% have previous experience selling regenerative therapies. All team members have experience selling clinically differentiated disruptive technologies and premium priced portfolios.</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have developed and published a Budget Impact Model based on the clinical results supporting the approval of Symvess, and the estimated reduction in clinical complications potentially achievable by treating specific patients with Symvess versus current standard of care. Based on the model, the per-patient cost of treating patients with Symvess is estimated to be less than the cost of treating trauma patients with synthetic grafts, cryopreserved allografts, or xenografts, as well as other patients at high risk of complications. Major drivers of cost savings associated with Symvess were attributed to reductions in the rate of amputation and vascular conduit infection.</w:t>
      </w:r>
    </w:p>
    <w:p>
      <w:pPr>
        <w:spacing w:after="0" w:line="148"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8"/>
          <w:szCs w:val="18"/>
          <w:color w:val="auto"/>
        </w:rPr>
        <w:t>Additionally, we submitted a New Technology Add-On Payment (“NTAP”) application for Symvess to the Centers for Medicare and Medicaid Services (“CMS”) in October 2024. We presented Symvess data at a public Town Hall with the CMS in December 2024. If successful, NTAP reimbursement will begin for discharges on October 1, 2025, offering hospitals additional payment to cover a portion of the costs associated with Symvess.</w:t>
      </w:r>
    </w:p>
    <w:p>
      <w:pPr>
        <w:spacing w:after="0" w:line="140" w:lineRule="exact"/>
        <w:rPr>
          <w:sz w:val="20"/>
          <w:szCs w:val="20"/>
          <w:color w:val="auto"/>
        </w:rPr>
      </w:pPr>
    </w:p>
    <w:p>
      <w:pPr>
        <w:ind w:right="260" w:firstLine="318"/>
        <w:spacing w:after="0" w:line="258" w:lineRule="auto"/>
        <w:rPr>
          <w:sz w:val="20"/>
          <w:szCs w:val="20"/>
          <w:color w:val="auto"/>
        </w:rPr>
      </w:pPr>
      <w:r>
        <w:rPr>
          <w:rFonts w:ascii="Times New Roman" w:cs="Times New Roman" w:eastAsia="Times New Roman" w:hAnsi="Times New Roman"/>
          <w:sz w:val="18"/>
          <w:szCs w:val="18"/>
          <w:color w:val="231F20"/>
        </w:rPr>
        <w:t>We expect that the large market potential of earlier-stage applications of our technology platform such as CABG and BVP for diabetes will provide additional collaboration opportunities, and we expect explore strategic partnerships for these product candidates as preclinical and clinical results providing additional proof of concept are generated.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Distribution Agreement with Fresenius Medical Care</w:t>
      </w:r>
    </w:p>
    <w:p>
      <w:pPr>
        <w:spacing w:after="0" w:line="179"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231F20"/>
        </w:rPr>
        <w:t>We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our 6 millimeter x 42cm ATEV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PAD,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Humacyte in its commercialization of the product in the field, including adoption of the distribution product as a standard of care in patients for which such use is supported by clinical results and health economic analyses.</w:t>
      </w:r>
    </w:p>
    <w:p>
      <w:pPr>
        <w:spacing w:after="0" w:line="14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We are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we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we agreed to use commercially reasonable efforts to support Fresenius Medical Care in its efforts.</w:t>
      </w:r>
    </w:p>
    <w:p>
      <w:pPr>
        <w:spacing w:after="0" w:line="166"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231F20"/>
        </w:rPr>
        <w:t>Under the distribution agreement, we grant an exclusive, sublicensable license to Fresenius Medical Care under the patents, know-how and regulatory materials controlled by us during the term to commercialize the distribution product in the field outside the United States, subject to our retained rights to carry out our obligations under the distribution agreement. We also grant a non-exclusive, sublicensable license to Fresenius Medical Care under the patents, know-how and regulatory materials controlled by us during the term to develop the distribution product in accordance with the terms of the distribution agreement.</w:t>
      </w:r>
    </w:p>
    <w:p>
      <w:pPr>
        <w:spacing w:after="0" w:line="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231F20"/>
        </w:rPr>
        <w:t>In addition, we grant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48"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8"/>
          <w:szCs w:val="18"/>
          <w:color w:val="231F20"/>
        </w:rPr>
        <w:t>The distribution agreement provides that we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200" w:lineRule="exact"/>
        <w:rPr>
          <w:sz w:val="20"/>
          <w:szCs w:val="20"/>
          <w:color w:val="auto"/>
        </w:rPr>
      </w:pPr>
    </w:p>
    <w:p>
      <w:pPr>
        <w:spacing w:after="0" w:line="3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20" w:firstLine="318"/>
        <w:spacing w:after="0" w:line="265" w:lineRule="auto"/>
        <w:rPr>
          <w:sz w:val="20"/>
          <w:szCs w:val="20"/>
          <w:color w:val="auto"/>
        </w:rPr>
      </w:pPr>
      <w:r>
        <w:rPr>
          <w:rFonts w:ascii="Times New Roman" w:cs="Times New Roman" w:eastAsia="Times New Roman" w:hAnsi="Times New Roman"/>
          <w:sz w:val="17"/>
          <w:szCs w:val="17"/>
          <w:color w:val="231F20"/>
        </w:rPr>
        <w:t>We are obligated to make payments to Fresenius Medical Care based on a share of aggregate net sales by or on behalf of us of the distribution product in the United States in the field. Such revenue-share payments will be a percentage of net sales in the low double digits, without regard to the calendar year in which such net sales are attributable, until such time that we have paid to Fresenius Medical Care a certain total amount, at which time the revenue-share will decrease to a percentage of net sales in the mid-single digits. The amounts that Fresenius Medical Care will be obligated to pay us under the distribution agreement for sales of the distribution product in the field outside of the United States will vary. Fresenius Medical Care agreed to pay us initially, on a country-by-country basis for sales outside of the United States, the amount equal to the average cost of manufacturing our distribution product plus a fixed dollar amount per unit. Following a specified period, on a country-by-country basis outside of the United States, Fresenius Medical Care will pay us a fixed percentage of net sales for each unit sold in such country, such that the Company will receive more than half of such net sales.</w:t>
      </w:r>
    </w:p>
    <w:p>
      <w:pPr>
        <w:spacing w:after="0" w:line="139"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231F20"/>
        </w:rPr>
        <w:t>The distribution agreement will generally continue on a country-by-country basis until the later of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 (i) 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us,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Third-Party Reimbursement</w:t>
      </w:r>
    </w:p>
    <w:p>
      <w:pPr>
        <w:spacing w:after="0" w:line="194"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231F20"/>
        </w:rPr>
        <w:t>We anticipate that coverage and reimbursement by the CMS and private payors will be essential for most patients and health care providers to afford our treatments, particularly in the applications of renal replacement therapy for dialysis access and the treatment of PAD. Accordingly, sales of our products will depend substantially, both domestically and abroad, on reimbursement by government authorities, private health coverage insurers and other third-party payors. Our strategy around ATEV reimbursement focuses on achieving alignment and agreement from CMS on coding and payment pathways; both are critical to influencing and achieving optimal reimbursement payment from private payor sources. Therefore, Humacyte continues to develop a comprehensive reimbursement strategy including CMS, private payors, and other key stakeholders to ensure a clear and sustainable reimbursement path for all ATEV product opportunities.</w:t>
      </w:r>
    </w:p>
    <w:p>
      <w:pPr>
        <w:spacing w:after="0" w:line="151"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231F20"/>
        </w:rPr>
        <w:t>We are pursuing a dual regulatory and legislative reimbursement strategy to ensure separate Medicare payment for the ATEV at an appropriate price. The regulatory strategy includes (1) engaging CMS political and career staff directly on coverage, payment, and coding followed by (2) submission of formal applications in these areas once FDA approval is obtained. Currently, no RMAT tissue engineered product has established coverage and reimbursement by CMS, and it is difficult to predict what CMS will decide with respect to coverage and reimbursement for fundamentally novel products. See “Risk Factors — Risks Related to the Development and Commercialization of Our Product Candidates” for further information. Even if we receive marketing approval for our ATEVs, there is uncertainty with respect to third-party coverage and reimbursement of our ATEVs. They may also be subject to unfavorable pricing regulations, third-party reimbursement practices or healthcare reform initiatives, any of which could harm our business, prospects, operating results and financial condition.</w:t>
      </w:r>
    </w:p>
    <w:p>
      <w:pPr>
        <w:spacing w:after="0" w:line="14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Containment of healthcare costs has been a priority of federal, state, and foreign governments, and the prices of drug products have been a focus of this effort. Governments have shown significant interest in implementing cost-containment programs. This interest has resulted in significant proposed and enacted reform measures affecting healthcare reimbursement and drug pricing, including the enactment in August 2022 of significant changes to potential Medicare drug product reimbursement through government negotiation of certain drug prices, as well as manufacturer discount and inflation rebate obligations under the Inflation Reduction Act (the “IRA”).</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Intellectual Property</w:t>
      </w:r>
    </w:p>
    <w:p>
      <w:pPr>
        <w:spacing w:after="0" w:line="181"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that may be important for the development of our business. We additionally may rely on regulatory protection afforded through data exclusivity, market exclusivity and patent term extensions where available.</w:t>
      </w:r>
    </w:p>
    <w:p>
      <w:pPr>
        <w:spacing w:after="0" w:line="148"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231F20"/>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w:t>
      </w:r>
    </w:p>
    <w:p>
      <w:pPr>
        <w:spacing w:after="0" w:line="153" w:lineRule="exact"/>
        <w:rPr>
          <w:sz w:val="20"/>
          <w:szCs w:val="20"/>
          <w:color w:val="auto"/>
        </w:rPr>
      </w:pPr>
    </w:p>
    <w:p>
      <w:pPr>
        <w:ind w:right="20" w:firstLine="318"/>
        <w:spacing w:after="0" w:line="254" w:lineRule="auto"/>
        <w:rPr>
          <w:sz w:val="20"/>
          <w:szCs w:val="20"/>
          <w:color w:val="auto"/>
        </w:rPr>
      </w:pPr>
      <w:r>
        <w:rPr>
          <w:rFonts w:ascii="Times New Roman" w:cs="Times New Roman" w:eastAsia="Times New Roman" w:hAnsi="Times New Roman"/>
          <w:sz w:val="18"/>
          <w:szCs w:val="18"/>
          <w:color w:val="231F20"/>
        </w:rPr>
        <w:t>As of December 31, 2024, our patent estate is comprised of 15 families of patents. Of these families, 12 are solely owned by Humacyte, one is jointly owned by Humacyte and Global Life Sciences Solutions USA LLC, one is jointly owned by Humacyte and Yale University, one is exclusively licensed to Humacyte from Duke University and one is exclusively licensed to Humacyte from Yale University. For more information regarding these license agreements, see “— License Agreement with Duke University” and “— License Agreements with Yale University.”</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Our 15 families of patents are comprised of:</w:t>
      </w:r>
    </w:p>
    <w:p>
      <w:pPr>
        <w:spacing w:after="0" w:line="177" w:lineRule="exact"/>
        <w:rPr>
          <w:sz w:val="20"/>
          <w:szCs w:val="20"/>
          <w:color w:val="auto"/>
        </w:rPr>
      </w:pPr>
    </w:p>
    <w:p>
      <w:pPr>
        <w:ind w:left="640" w:right="140" w:hanging="316"/>
        <w:spacing w:after="0" w:line="280" w:lineRule="auto"/>
        <w:tabs>
          <w:tab w:leader="none" w:pos="634" w:val="left"/>
        </w:tabs>
        <w:numPr>
          <w:ilvl w:val="0"/>
          <w:numId w:val="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Twelve issued U.S. patents, 73 foreign patents in Austria, Australia, Belgium, Canada, China, Cyprus, Denmark, France, Germany, Greece, Hong Kong, Hungary, Ireland, Italy, Japan, Netherlands, Portugal, Spain, Sweden, Switzerland, Turkey, and the UK, seven pending U.S. non-provisional patent applications, and 12 pending foreign applications in Australia, Canada, China, Europe, Japan and Hong Kong, which are solely owned by us,</w:t>
      </w:r>
    </w:p>
    <w:p>
      <w:pPr>
        <w:spacing w:after="0" w:line="136" w:lineRule="exact"/>
        <w:rPr>
          <w:rFonts w:ascii="Times New Roman" w:cs="Times New Roman" w:eastAsia="Times New Roman" w:hAnsi="Times New Roman"/>
          <w:sz w:val="17"/>
          <w:szCs w:val="17"/>
          <w:color w:val="231F20"/>
        </w:rPr>
      </w:pPr>
    </w:p>
    <w:p>
      <w:pPr>
        <w:ind w:left="640" w:right="80" w:hanging="316"/>
        <w:spacing w:after="0" w:line="258" w:lineRule="auto"/>
        <w:tabs>
          <w:tab w:leader="none" w:pos="63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three issued U.S. patents, 18 issued foreign patents in Australia, Austria, Belgium, Canada, Denmark, France, Germany, Ireland, Italy, Japan, Netherlands, Spain, Sweden, Switzerland, Turkey, and the UK, one pending U.S. non-provisional patent application, and four pending foreign patent applications in Europe and Canada, which we co-own, and</w:t>
      </w:r>
    </w:p>
    <w:p>
      <w:pPr>
        <w:spacing w:after="0" w:line="139" w:lineRule="exact"/>
        <w:rPr>
          <w:rFonts w:ascii="Times New Roman" w:cs="Times New Roman" w:eastAsia="Times New Roman" w:hAnsi="Times New Roman"/>
          <w:sz w:val="18"/>
          <w:szCs w:val="18"/>
          <w:color w:val="231F20"/>
        </w:rPr>
      </w:pPr>
    </w:p>
    <w:p>
      <w:pPr>
        <w:ind w:left="640" w:right="440" w:hanging="316"/>
        <w:spacing w:after="0" w:line="271" w:lineRule="auto"/>
        <w:tabs>
          <w:tab w:leader="none" w:pos="6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one issued U.S. patent, one issued foreign patent in Japan, one pending U.S. non-provisional patent application, and five pending foreign patent applications in Australia, Canada, Europe, Japan, and Hong Kong, which we exclusively license.</w:t>
      </w:r>
    </w:p>
    <w:p>
      <w:pPr>
        <w:spacing w:after="0" w:line="128"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231F20"/>
        </w:rPr>
        <w:t>Many of these patents and patent applications generally relate to the scaffolds used to make Symvess and our product candidates, the composition of Symvess and our product candidates, and systems and methods of manufacturing Symvess and our product candidates. Excluding any patent term adjustment or patent term extension, the U.S. patent relating to the scaffold used to make Symvess and our product candidates expires in 2032, the U.S. patents relating to the composition of our vessels expire in 2032 and the U.S. patents relating to the systems and methods of manufacturing Symvess and our product candidates expires in 2032. Based on the FDA approval of the ATEV in December 2024, in February 2025 we filed with the U.S. Patent and Trademark Office an application for extension of patent term on one of our U.S. patents relating to the composition of Symvess and our product candidates under 35 U.S.C. § 156. If granted, we estimate that the expiration of the patent will be extended by approximately 50 months. The U.S. patent relating to the entangler machinery used to make tubular scaffolds expires in 2035. Included in our patent portfolio is one U.S. patent expiring in 2040, and multiple pending, Humacyte-owned non-provisional applications relating to the manufacturing of engineered tissues at commercial scale, as well as other technologies and product candidates. If these non-provisional applications are allowed, such additional patents issuing therefrom would be expected to expire around 2043.</w:t>
      </w:r>
    </w:p>
    <w:p>
      <w:pPr>
        <w:spacing w:after="0" w:line="153" w:lineRule="exact"/>
        <w:rPr>
          <w:sz w:val="20"/>
          <w:szCs w:val="20"/>
          <w:color w:val="auto"/>
        </w:rPr>
      </w:pPr>
    </w:p>
    <w:p>
      <w:pPr>
        <w:ind w:right="100" w:firstLine="318"/>
        <w:spacing w:after="0" w:line="254" w:lineRule="auto"/>
        <w:rPr>
          <w:sz w:val="20"/>
          <w:szCs w:val="20"/>
          <w:color w:val="auto"/>
        </w:rPr>
      </w:pPr>
      <w:r>
        <w:rPr>
          <w:rFonts w:ascii="Times New Roman" w:cs="Times New Roman" w:eastAsia="Times New Roman" w:hAnsi="Times New Roman"/>
          <w:sz w:val="18"/>
          <w:szCs w:val="18"/>
          <w:color w:val="231F20"/>
        </w:rPr>
        <w:t>As with other biotechnology and pharmaceutical companies, our ability to maintain and solidify our proprietary and intellectual property position for our product candidates will depend on our success in obtaining effective patent claims and enforcing those claims if granted. However, our owned and licensed pending patent applications, and any patent applications that we may in the future file or license from third parties, may not result in the issuance of patents. For more information, see “Risk Factors — Risks Related to Our Intellectual Property.”</w:t>
      </w:r>
    </w:p>
    <w:p>
      <w:pPr>
        <w:spacing w:after="0" w:line="200" w:lineRule="exact"/>
        <w:rPr>
          <w:sz w:val="20"/>
          <w:szCs w:val="20"/>
          <w:color w:val="auto"/>
        </w:rPr>
      </w:pPr>
    </w:p>
    <w:p>
      <w:pPr>
        <w:spacing w:after="0" w:line="3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20" w:firstLine="318"/>
        <w:spacing w:after="0" w:line="254" w:lineRule="auto"/>
        <w:rPr>
          <w:sz w:val="20"/>
          <w:szCs w:val="20"/>
          <w:color w:val="auto"/>
        </w:rPr>
      </w:pPr>
      <w:r>
        <w:rPr>
          <w:rFonts w:ascii="Times New Roman" w:cs="Times New Roman" w:eastAsia="Times New Roman" w:hAnsi="Times New Roman"/>
          <w:sz w:val="18"/>
          <w:szCs w:val="18"/>
          <w:color w:val="231F20"/>
        </w:rPr>
        <w:t>We have also registered trademarks for use in connection with our products. These include registrations for Symvess™ in the United States, Europe, United Kingdom and Ukraine, HUMACYL™ in the United States, Europe, Australia, Canada, China, and Israel; HUMAGRAFT™ in Australia, China, Europe, and Israel; HUMAPASS™ in Europe, Australia, and Israel; and HUMACYTE, in the United States, Europe, Australia, Canada, and Israel. We may pursue additional registrations for future products in markets of interest.</w:t>
      </w:r>
    </w:p>
    <w:p>
      <w:pPr>
        <w:spacing w:after="0" w:line="143" w:lineRule="exact"/>
        <w:rPr>
          <w:sz w:val="20"/>
          <w:szCs w:val="20"/>
          <w:color w:val="auto"/>
        </w:rPr>
      </w:pPr>
    </w:p>
    <w:p>
      <w:pPr>
        <w:ind w:right="360" w:firstLine="318"/>
        <w:spacing w:after="0" w:line="254" w:lineRule="auto"/>
        <w:rPr>
          <w:sz w:val="20"/>
          <w:szCs w:val="20"/>
          <w:color w:val="auto"/>
        </w:rPr>
      </w:pPr>
      <w:r>
        <w:rPr>
          <w:rFonts w:ascii="Times New Roman" w:cs="Times New Roman" w:eastAsia="Times New Roman" w:hAnsi="Times New Roman"/>
          <w:sz w:val="18"/>
          <w:szCs w:val="18"/>
          <w:color w:val="231F20"/>
        </w:rPr>
        <w:t>In addition to the above, we have established expertise and development capabilities focused in the areas of preclinical research and development, manufacturing process scale-up, cGMP manufacturing, quality control, quality assurance, compliance, regulatory affairs and clinical trial design and execution. We believe that our focus and expertise will help us develop and expand technology-based applications leveraging our proprietary intellectual property.</w:t>
      </w:r>
    </w:p>
    <w:p>
      <w:pPr>
        <w:spacing w:after="0" w:line="143" w:lineRule="exact"/>
        <w:rPr>
          <w:sz w:val="20"/>
          <w:szCs w:val="20"/>
          <w:color w:val="auto"/>
        </w:rPr>
      </w:pPr>
    </w:p>
    <w:p>
      <w:pPr>
        <w:ind w:right="120" w:firstLine="318"/>
        <w:spacing w:after="0" w:line="254" w:lineRule="auto"/>
        <w:rPr>
          <w:sz w:val="20"/>
          <w:szCs w:val="20"/>
          <w:color w:val="auto"/>
        </w:rPr>
      </w:pPr>
      <w:r>
        <w:rPr>
          <w:rFonts w:ascii="Times New Roman" w:cs="Times New Roman" w:eastAsia="Times New Roman" w:hAnsi="Times New Roman"/>
          <w:sz w:val="18"/>
          <w:szCs w:val="18"/>
          <w:color w:val="231F20"/>
        </w:rPr>
        <w:t>Finally, we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56"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8"/>
          <w:szCs w:val="18"/>
          <w:color w:val="231F20"/>
        </w:rPr>
        <w:t>In addition to the intellectual property that we have developed internally, we license rights to certain intellectual property that is material to our business prospects. We have summarized our material license agreements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License Agreement with Duke University</w:t>
      </w:r>
    </w:p>
    <w:p>
      <w:pPr>
        <w:spacing w:after="0" w:line="179"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231F20"/>
        </w:rPr>
        <w:t>In March 2006, we entered into a license agreement with Duke University (“Duke”), which was subsequently amended in 2011, 2014, 2015, 2018, 2019 and January 2022 (as amended, the “Duke License Agreement”). Under the Duke License Agreement, Duke granted us a worldwide, exclusive, sublicensable license to certain patents related to decellularized tissue engineering, which we refer to as the patent rights, as well as a non-exclusive license to use and practice certain know-how related to the patent rights. The relevant licensed patent on decellularization of tissue expired in 2021. We have agreed to use commercially reasonable efforts to develop, register, market and sell products utilizing the patent rights, which we refer to as the licensed products. Any services provided to a third party utilizing licensed products are referred to as licensed services. We have also agreed to meet certain benchmarks in our development efforts, including as to development events, clinical trials, regulatory submissions and marketing approval, within specified timeframes. Under the Duke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48"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In connection with our entry into the Duke License Agreement, we granted equity consideration to Duke in the form of 52,693 shares of our post-Merger common stock. Under the Duke License Agreement, we have also agreed to pay Duke: a low single-digit percentage royalty on eligible sales of licensed products and licensed services, plus a low double-digit percentage of any sublicensing revenue; an annual minimum royalty beginning in 2012, which increases in the calendar year immediately following the first commercial sale of licensed products or licensed services (whichever occurs first); and an additional amount in license fees, as certain scientific milestones are met.</w:t>
      </w:r>
    </w:p>
    <w:p>
      <w:pPr>
        <w:spacing w:after="0" w:line="148" w:lineRule="exact"/>
        <w:rPr>
          <w:sz w:val="20"/>
          <w:szCs w:val="20"/>
          <w:color w:val="auto"/>
        </w:rPr>
      </w:pPr>
    </w:p>
    <w:p>
      <w:pPr>
        <w:ind w:right="100" w:firstLine="318"/>
        <w:spacing w:after="0" w:line="268" w:lineRule="auto"/>
        <w:rPr>
          <w:sz w:val="20"/>
          <w:szCs w:val="20"/>
          <w:color w:val="auto"/>
        </w:rPr>
      </w:pPr>
      <w:r>
        <w:rPr>
          <w:rFonts w:ascii="Times New Roman" w:cs="Times New Roman" w:eastAsia="Times New Roman" w:hAnsi="Times New Roman"/>
          <w:sz w:val="17"/>
          <w:szCs w:val="17"/>
          <w:color w:val="231F20"/>
        </w:rPr>
        <w:t>The Duke License Agreement remains effective until the latter of (i) the last of the patent rights expires or (ii) four years after our first commercial sale, unless earlier terminated. Either party may terminate the agreement for fraud, willful misconduct or illegal conduct, or uncured material breach. Duke may terminate the agreement if we become insolvent. Duke may also terminate the license, convert the license into a non-exclusive license or seek assignment of any sublicense if we fail to reach diligence milestones within the applicable time period. If we abandon any claim, patent or patent application, our rights under the license with respect to such patent rights will be terminated in the territory in which we abandon such rights. We may terminate the Duke License Agreement unilaterally upon three months’ prior notice to Duke. We agree to indemnify Duke against certain third-party claims.</w:t>
      </w:r>
    </w:p>
    <w:p>
      <w:pPr>
        <w:spacing w:after="0" w:line="200" w:lineRule="exact"/>
        <w:rPr>
          <w:sz w:val="20"/>
          <w:szCs w:val="20"/>
          <w:color w:val="auto"/>
        </w:rPr>
      </w:pPr>
    </w:p>
    <w:p>
      <w:pPr>
        <w:spacing w:after="0" w:line="34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293"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License Agreements with Yale University</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Large Diameter ATEV</w:t>
      </w:r>
    </w:p>
    <w:p>
      <w:pPr>
        <w:spacing w:after="0" w:line="179" w:lineRule="exact"/>
        <w:rPr>
          <w:sz w:val="20"/>
          <w:szCs w:val="20"/>
          <w:color w:val="auto"/>
        </w:rPr>
      </w:pPr>
    </w:p>
    <w:p>
      <w:pPr>
        <w:ind w:right="140" w:firstLine="318"/>
        <w:spacing w:after="0" w:line="248" w:lineRule="auto"/>
        <w:rPr>
          <w:sz w:val="20"/>
          <w:szCs w:val="20"/>
          <w:color w:val="auto"/>
        </w:rPr>
      </w:pPr>
      <w:r>
        <w:rPr>
          <w:rFonts w:ascii="Times New Roman" w:cs="Times New Roman" w:eastAsia="Times New Roman" w:hAnsi="Times New Roman"/>
          <w:sz w:val="18"/>
          <w:szCs w:val="18"/>
          <w:color w:val="231F20"/>
        </w:rPr>
        <w:t>In August 2019, we entered into a license agreement with Yale University (“Yale”) that granted us a worldwide license to the patents jointly owned with us related to tubular prostheses which are large diameter versions of our ATEVs, which may or may not contain a stent (the “Tubular Prothesis License Agreement”). The license granted under the Tubular Prothesis License Agreement is exclusive in the field of engineered urinary conduits, engineered tracheae/airways and engineered esophagi, except that it is subject to Yale’s non-exclusive right, on behalf of itself and all other non-profit academic institutions, to use the licensed products for research, teaching, and other non-commercial purposes. We have agreed to use reasonable commercial efforts to develop and commercialize the licensed patents and any licensed products and methods, and to use reasonable efforts to make the licensed products available to patients in low and low-middle income countries. We are also obligated to provide Yale periodically an updated and revised copy of our plan, which must indicate progress of our development and commercialization. We may also sublicense our rights without Yale’s prior written consent, but such sublicense is subject to certain conditions.</w:t>
      </w:r>
    </w:p>
    <w:p>
      <w:pPr>
        <w:spacing w:after="0" w:line="166"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In connection with our entry into the Tubular Prothesis License Agreement, we paid Yale an upfront cash fee of less than $0.1 million. We have also agreed to pay to Yale: an annual maintenance fee, increasing between the first anniversary of the agreement until the fifth anniversary up to a maximum of less than $0.1 million per year; milestone payments upon achievement of certain regulatory and commercial milestones of $0.2 million and $0.6 million for this license; a low single-digit percentage royalty on worldwide net sales, subject to reductions for third-party license fees; and a low double-digit percentage of sublicensing income.</w:t>
      </w:r>
    </w:p>
    <w:p>
      <w:pPr>
        <w:spacing w:after="0" w:line="148"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231F20"/>
        </w:rPr>
        <w:t>If we or any of our future sublicensees bring a patent challenge against Yale or assist another party in bringing a patent challenge against Yale, the license fees described above will be subject to certain increases and penalties.</w:t>
      </w:r>
    </w:p>
    <w:p>
      <w:pPr>
        <w:spacing w:after="0" w:line="128"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231F20"/>
        </w:rPr>
        <w:t>The Tubular Prothesis License Agreement expires on a country-by-country basis on the date on which the last of the patents in such country expires, lapses or is declared invalid. Issued patents and additional patents issuing from this licensed portfolio will expire no earlier than 2032, and the term of each patent may be extended by patent term adjustment, patent term extension, or foreign equivalents thereof. Issued U.S. patent No. 10,172,707 will expire no earlier than 2035. Issued patents and additional patents issuing from this licensed portfolio will expire no earlier than 2032, and the term of each patent may be extended by patent term adjustment, patent term extension, or foreign equivalents thereof. Issued U.S. patent No. 10,172,707 will expire no earlier than 2035. Yale may terminate the Tubular Prothesis License Agreement if we fail to (i) provide written diligence reports, (ii) provide a commercially reasonable diligence plan, (iii) implement the plan in accordance with the obligations under the agreement, or (iv) reach certain research and development milestones within the scheduled timeframe set forth in the agreement; however, any such termination right would be limited in scope to the country or countries to which such failure relates. Yale may also terminate for our non-payment, uncured material breach, failure to obtain adequate insurance, bringing or assisting in bringing of a patent challenge against Yale, abandonment of the research and development of our product or insolvency. We may terminate the Tubular Prothesis License Agreement (i) on 90 days’ prior written notice to Yale, provided we are not in breach of the license agreement and have made all required payments to Yale thereunder and (ii) on written notice to Yale following an uncured material breach. Under certain circumstances, Yale may, at its option, convert the exclusive license to a non-exclusive license if we decline to initiate certain infringement or interference proceedings with respect to the licensed patents. We have agreed to indemnify Yale against certain third-party claims.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BioVascular Pancreas</w:t>
      </w:r>
    </w:p>
    <w:p>
      <w:pPr>
        <w:spacing w:after="0" w:line="179"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231F20"/>
        </w:rPr>
        <w:t>In August 2019, we entered into a license agreement with Yale that granted us a worldwide license to its patents related to a BVP (the “BVP License Agreement”). The license granted under the BVP License Agreement is exclusive in the field of acellular vascular tissues that deliver pancreatic islet cells to patients, except that it is subject to Yale’s non-exclusive right, on behalf of itself and all other non-profit academic institutions, to use the licensed products for research, teaching, and other non-commercial purposes. We have agreed to use reasonable commercial efforts to develop and commercialize the licensed patents and any licensed products and methods, and to use reasonable efforts to make the licensed products available to patients in low and low-middle income countries. We are also obligated to provide Yale periodically an updated and revised copy of our plan, which must indicate progress of our development and commercialization. We may also sublicense our rights without Yale’s prior written consent, but such sublicense is subject to certain conditions.</w:t>
      </w: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231F20"/>
        </w:rPr>
        <w:t>In connection with our entry into the BVP License Agreement, we paid Yale an upfront cash fee of less than $0.1 million. We have also agreed to pay to Yale: an annual maintenance fee, increasing between the first anniversary of the agreement until the fifth anniversary up to a maximum of less than $0.1 million per year; milestone payments upon achievement of certain regulatory and commercial milestones of $0.1 million and $0.2 million for this license; a low single-digit percentage royalty on worldwide net sales, subject to reductions for third-party license fees; and a low double-digit percentage of sublicensing income.</w:t>
      </w:r>
    </w:p>
    <w:p>
      <w:pPr>
        <w:spacing w:after="0" w:line="148" w:lineRule="exact"/>
        <w:rPr>
          <w:sz w:val="20"/>
          <w:szCs w:val="20"/>
          <w:color w:val="auto"/>
        </w:rPr>
      </w:pPr>
    </w:p>
    <w:p>
      <w:pPr>
        <w:ind w:right="220" w:firstLine="318"/>
        <w:spacing w:after="0" w:line="271" w:lineRule="auto"/>
        <w:rPr>
          <w:sz w:val="20"/>
          <w:szCs w:val="20"/>
          <w:color w:val="auto"/>
        </w:rPr>
      </w:pPr>
      <w:r>
        <w:rPr>
          <w:rFonts w:ascii="Times New Roman" w:cs="Times New Roman" w:eastAsia="Times New Roman" w:hAnsi="Times New Roman"/>
          <w:sz w:val="18"/>
          <w:szCs w:val="18"/>
          <w:color w:val="231F20"/>
        </w:rPr>
        <w:t>If we or any future sublicensees bring a patent challenge against Yale or assist another party in bringing a patent challenge against Yale, the license fees described above will be subject to certain increases and penalties.</w:t>
      </w:r>
    </w:p>
    <w:p>
      <w:pPr>
        <w:spacing w:after="0" w:line="128"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231F20"/>
        </w:rPr>
        <w:t>The BVP License Agreement expires on a country-by-country basis on the date on which the last of the patents in such country expires, lapses or is declared invalid. Patents issuing from this licensed portfolio will expire no earlier than 2039, and the term of each patent may be extended by patent term adjustment, patent term extension, or foreign equivalents thereof. Patents issuing from this licensed portfolio will expire no earlier than 2039, and the term of each patent may be extended by patent term adjustment, patent term extension, or foreign equivalents thereof. Yale may terminate the BVP License Agreement if we fail to (i) provide written diligence reports, (ii) provide a commercially reasonable diligence plan, (iii) implement the plan in accordance with the obligations under the agreement, or (iv) reach certain research and development milestones within the scheduled timeframe set forth in the agreement; however, any such termination right would be limited in scope to the country or countries to which such failure relates. Yale may also terminate for our non-payment, uncured material breach, failure to obtain adequate insurance, bringing or assisting in bringing of a patent challenge against Yale, abandonment of the research and development of our product or insolvency. We may terminate the BVP License Agreement (i) on 90 days’ prior written notice to Yale, provided we are not in breach of the license agreement and have made all required payments to Yale thereunder and on written notice to Yale following an uncured material breach. Our rights under the BVP License Agreement will also terminate automatically with respect to a patent application or patent within the licensed patents in a specified country if, upon receipt of written notice from Yale, we do not agree to pay the patent filing, prosecution and maintenance fees incurred by Yale for such patent applications or patents in the specified country. Under certain circumstances, Yale may, at its option, convert the exclusive license to a non-exclusive license if we decline to initiate certain infringement or interference proceedings with respect to the licensed patents. We have agreed to indemnify Yale against certain third-party claims.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Competition</w:t>
      </w:r>
    </w:p>
    <w:p>
      <w:pPr>
        <w:spacing w:after="0" w:line="181"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8"/>
          <w:szCs w:val="18"/>
          <w:color w:val="231F20"/>
        </w:rPr>
        <w:t>Despite the magnitude and critical nature of the diseases and conditions we are targeting, no significant advances in the open surgical market have been made in the last 35 years, and current treatment and products used in vascular repair, reconstruction and replacement suffer from various drawbacks. The large majority of vascular repair, reconstruction and replacement procedures rely on either harvesting autologous veins or using synthetic grafts. However, each method presents significant limitations as discussed below: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Autologous Veins</w:t>
      </w:r>
    </w:p>
    <w:p>
      <w:pPr>
        <w:spacing w:after="0" w:line="192"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231F20"/>
        </w:rPr>
        <w:t>The harvest of autologous veins is a serious operation that can result in numerous complications, including infection, chronic pain, and limb swelling that severely impact the patient’s quality of life. In addition, this procedure can often result in long recovery times, increased hospital stays, and increased risk of hospital readmission. In order to obtain an autologous vein, such as a saphenous vein, for use in a surgical procedure, a second operation must be performed on the patient to harvest the vein. The harvesting process must be completed before the bypass procedure occurs and can take significant time to complete, which increases costs related to the additional operative time and staff required to perform the operation. Even if successful, the patient’s recovery time could increase as the patient must recover from two surgical procedures instead of one, further increasing morbidity and cost. Additionally, a significant percentage of patients are not suitable for vein harvesting either due to vein or limb damage, limited vein supply from prior harvest, venous disease or the surgeon’s desire to preserve the vein for future coronary or other bypass procedures. In acute trauma, the time to restore blood flow to injured limbs is delayed when a vein must be harvested from the patient, which puts the limbs at greater risk of reduced function or amputation. For patients suffering from vascular trauma, some types of injury preclude the harvesting of autologous saphenous vein due to concomitant injuries of one or both legs. Furthermore, time is required to prepare the vein harvest site and to remove the vein from the leg, which adds to ischemia time and can increase the risk of tissue and limb loss. Rates of traumatic limb loss are strongly tied to ischemia time, and therefore rapid revascularization using an off-the-shelf ATEV conduit may decrease ischemia time and lead to better outcomes.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20" w:firstLine="318"/>
        <w:spacing w:after="0" w:line="254" w:lineRule="auto"/>
        <w:rPr>
          <w:sz w:val="20"/>
          <w:szCs w:val="20"/>
          <w:color w:val="auto"/>
        </w:rPr>
      </w:pPr>
      <w:r>
        <w:rPr>
          <w:rFonts w:ascii="Times New Roman" w:cs="Times New Roman" w:eastAsia="Times New Roman" w:hAnsi="Times New Roman"/>
          <w:sz w:val="18"/>
          <w:szCs w:val="18"/>
          <w:color w:val="231F20"/>
        </w:rPr>
        <w:t>The use of autologous vein for creating an AV fistula for use in hemodialysis is often limited by vein size and location. The vast majority of veins must go through a process of enlargement, known as maturation, prior to use for hemodialysis. For approximately 40% of patients receiving fistulae, the vein does not mature sufficiently to allow for hemodialysis even after six months. Even in patients having adequate veins for fistula creation, the fistula often becomes large, tortuous and disfiguring and can be at risk for sometimes fatal rupture.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Synthetic Grafts</w:t>
      </w:r>
    </w:p>
    <w:p>
      <w:pPr>
        <w:spacing w:after="0" w:line="179" w:lineRule="exact"/>
        <w:rPr>
          <w:sz w:val="20"/>
          <w:szCs w:val="20"/>
          <w:color w:val="auto"/>
        </w:rPr>
      </w:pPr>
    </w:p>
    <w:p>
      <w:pPr>
        <w:ind w:right="120" w:firstLine="318"/>
        <w:spacing w:after="0" w:line="273" w:lineRule="auto"/>
        <w:rPr>
          <w:sz w:val="20"/>
          <w:szCs w:val="20"/>
          <w:color w:val="auto"/>
        </w:rPr>
      </w:pPr>
      <w:r>
        <w:rPr>
          <w:rFonts w:ascii="Times New Roman" w:cs="Times New Roman" w:eastAsia="Times New Roman" w:hAnsi="Times New Roman"/>
          <w:sz w:val="17"/>
          <w:szCs w:val="17"/>
          <w:color w:val="231F20"/>
        </w:rPr>
        <w:t>Use of synthetic materials, such as ePTFE and Dacron, while widely available, have known complications, such as continuous chronic risk of infection and clotting inside the graft. Risk of infection is significantly increased in acute battlefield and civilian injuries, as well as in contaminated wounds. The body recognizes any synthetic materials as foreign and, therefore, can mount a host foreign body response following implantation. Synthetic materials also have been shown to be inferior to autologous vein in resisting infection, and generally only are used for vascular repair when autologous vein is not an option.</w:t>
      </w:r>
    </w:p>
    <w:p>
      <w:pPr>
        <w:spacing w:after="0" w:line="143" w:lineRule="exact"/>
        <w:rPr>
          <w:sz w:val="20"/>
          <w:szCs w:val="20"/>
          <w:color w:val="auto"/>
        </w:rPr>
      </w:pPr>
    </w:p>
    <w:p>
      <w:pPr>
        <w:ind w:right="120" w:firstLine="318"/>
        <w:spacing w:after="0" w:line="254" w:lineRule="auto"/>
        <w:rPr>
          <w:sz w:val="20"/>
          <w:szCs w:val="20"/>
          <w:color w:val="auto"/>
        </w:rPr>
      </w:pPr>
      <w:r>
        <w:rPr>
          <w:rFonts w:ascii="Times New Roman" w:cs="Times New Roman" w:eastAsia="Times New Roman" w:hAnsi="Times New Roman"/>
          <w:sz w:val="18"/>
          <w:szCs w:val="18"/>
          <w:color w:val="231F20"/>
        </w:rPr>
        <w:t>In hemodialysis access, persistent puncture presents an ongoing risk of graft infection. The annual risk of infection of ePTFE grafts in hemodialysis patients can be as high as 10% – 15% per patient-year. Furthermore, gradual degradation of the non-healing ePTFE graft material caused by persistent needle punctures can eventually lead to graft failure. In traumatic vascular injury, ePTFE grafts are generally contraindicated, due to the high rates of contamination of the wound that can lead to synthetic graft infection and failure.</w:t>
      </w:r>
    </w:p>
    <w:p>
      <w:pPr>
        <w:spacing w:after="0" w:line="143" w:lineRule="exact"/>
        <w:rPr>
          <w:sz w:val="20"/>
          <w:szCs w:val="20"/>
          <w:color w:val="auto"/>
        </w:rPr>
      </w:pPr>
    </w:p>
    <w:p>
      <w:pPr>
        <w:ind w:right="580" w:firstLine="318"/>
        <w:spacing w:after="0" w:line="271" w:lineRule="auto"/>
        <w:rPr>
          <w:sz w:val="20"/>
          <w:szCs w:val="20"/>
          <w:color w:val="auto"/>
        </w:rPr>
      </w:pPr>
      <w:r>
        <w:rPr>
          <w:rFonts w:ascii="Times New Roman" w:cs="Times New Roman" w:eastAsia="Times New Roman" w:hAnsi="Times New Roman"/>
          <w:sz w:val="18"/>
          <w:szCs w:val="18"/>
          <w:color w:val="231F20"/>
        </w:rPr>
        <w:t>Two lesser used products, cryopreserved human blood vessels, known as allografts, and animal-derived vessels, known as xenografts, also involve significant limitations.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Cryopreserved Blood Vessels</w:t>
      </w:r>
    </w:p>
    <w:p>
      <w:pPr>
        <w:spacing w:after="0" w:line="192"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231F20"/>
        </w:rPr>
        <w:t>To eliminate the need for harvesting autologous vein, some surgeons use allogeneic vessels that have been previously harvested from cadavers and cryogenically preserved. These allogeneic vessels are stored at -80 degrees Celsius and must be thawed prior to use, which can take up to 60 minutes. The supply of cryopreserved vessels is limited by the number of cadaveric donors available, and the vessels are often non-uniform in size. In addition, because the vessels contain human cells from a donor, they can generate an immune rejection response that can lead to aneurismal degradation or catastrophic failure. Furthermore, development of antibodies to the implanted cryopreserved human vessel frequently has a detrimental impact on the ability of the patient to receive a transplant in the future. Cryopreserved blood vessels are only rarely used in the treatment of vascular trauma, due to the time required for procurement and thawing, and the high rates of rejection response.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Animal-Derived Vessels</w:t>
      </w:r>
    </w:p>
    <w:p>
      <w:pPr>
        <w:spacing w:after="0" w:line="179" w:lineRule="exact"/>
        <w:rPr>
          <w:sz w:val="20"/>
          <w:szCs w:val="20"/>
          <w:color w:val="auto"/>
        </w:rPr>
      </w:pPr>
    </w:p>
    <w:p>
      <w:pPr>
        <w:ind w:right="260" w:firstLine="318"/>
        <w:spacing w:after="0" w:line="273" w:lineRule="auto"/>
        <w:rPr>
          <w:sz w:val="20"/>
          <w:szCs w:val="20"/>
          <w:color w:val="auto"/>
        </w:rPr>
      </w:pPr>
      <w:r>
        <w:rPr>
          <w:rFonts w:ascii="Times New Roman" w:cs="Times New Roman" w:eastAsia="Times New Roman" w:hAnsi="Times New Roman"/>
          <w:sz w:val="17"/>
          <w:szCs w:val="17"/>
          <w:color w:val="231F20"/>
        </w:rPr>
        <w:t>Xenogeneic tissues, including cow, pig or sheep-derived vessels, are used less frequently in vascular surgery, in part due to the risk of thrombosis and structural deterioration over time. The limited clinical data that are available for existing xenografts in vascular reconstruction indicates lower patency rates and higher incidence of complications when compared to autologous vein. Xenografts are all chemically treated in efforts to minimize rejection to animal components, and therefore do not respond like living tissue. Some of these products require rinsing to remove toxic chemicals used for storage.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Our Solution</w:t>
      </w:r>
    </w:p>
    <w:p>
      <w:pPr>
        <w:spacing w:after="0" w:line="179"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8"/>
          <w:szCs w:val="18"/>
          <w:color w:val="231F20"/>
        </w:rPr>
        <w:t>We believe our ATEVs combine the off-the-shelf availability of synthetic grafts with the regenerative capabilities of autologous vessels. We believe these and other attributes have the potential to address unmet clinical needs in a range of disease states, including atherosclerosis, end-stage kidney disease, coronary artery disease, vascular trauma, pediatric congenital heart disease, airway disease, and others. We believe that the ATEVs multiple key characteristics will drive rapid clinical adoption amongst surgeons and the broader healthcare community:</w:t>
      </w:r>
    </w:p>
    <w:p>
      <w:pPr>
        <w:spacing w:after="0" w:line="143" w:lineRule="exact"/>
        <w:rPr>
          <w:sz w:val="20"/>
          <w:szCs w:val="20"/>
          <w:color w:val="auto"/>
        </w:rPr>
      </w:pPr>
    </w:p>
    <w:p>
      <w:pPr>
        <w:ind w:left="640" w:right="80" w:hanging="316"/>
        <w:spacing w:after="0" w:line="271" w:lineRule="auto"/>
        <w:tabs>
          <w:tab w:leader="none" w:pos="635"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Off-the-Shelf</w:t>
      </w:r>
      <w:r>
        <w:rPr>
          <w:rFonts w:ascii="Times New Roman" w:cs="Times New Roman" w:eastAsia="Times New Roman" w:hAnsi="Times New Roman"/>
          <w:sz w:val="18"/>
          <w:szCs w:val="18"/>
          <w:color w:val="231F20"/>
        </w:rPr>
        <w:t>: Our “cabinet” of ATEVs of varying diameters and lengths is designed to be stored on-site at facilities such as hospitals, trauma centers and outpatient surgical centers.</w:t>
      </w:r>
    </w:p>
    <w:p>
      <w:pPr>
        <w:spacing w:after="0" w:line="200" w:lineRule="exact"/>
        <w:rPr>
          <w:sz w:val="20"/>
          <w:szCs w:val="20"/>
          <w:color w:val="auto"/>
        </w:rPr>
      </w:pPr>
    </w:p>
    <w:p>
      <w:pPr>
        <w:spacing w:after="0" w:line="3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40" w:right="160" w:hanging="316"/>
        <w:spacing w:after="0" w:line="280" w:lineRule="auto"/>
        <w:tabs>
          <w:tab w:leader="none" w:pos="635" w:val="left"/>
        </w:tabs>
        <w:numPr>
          <w:ilvl w:val="0"/>
          <w:numId w:val="1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Immediately Available</w:t>
      </w:r>
      <w:r>
        <w:rPr>
          <w:rFonts w:ascii="Times New Roman" w:cs="Times New Roman" w:eastAsia="Times New Roman" w:hAnsi="Times New Roman"/>
          <w:sz w:val="17"/>
          <w:szCs w:val="17"/>
          <w:color w:val="231F20"/>
        </w:rPr>
        <w:t>: When needed, our ATEVs are available for immediate use by opening and removing the ATEV from its original flexible bioreactor bag. Since our ATEV does not need flushing, harvesting or thawing, as is common with other vascular substitute alternatives, we believe hospitals will be able to use our ATEVs for vascular surgery more quickly with smaller surgical teams, reduced logistics and decreased overall cost.</w:t>
      </w:r>
    </w:p>
    <w:p>
      <w:pPr>
        <w:spacing w:after="0" w:line="123" w:lineRule="exact"/>
        <w:rPr>
          <w:rFonts w:ascii="Times New Roman" w:cs="Times New Roman" w:eastAsia="Times New Roman" w:hAnsi="Times New Roman"/>
          <w:sz w:val="17"/>
          <w:szCs w:val="17"/>
          <w:color w:val="231F20"/>
        </w:rPr>
      </w:pPr>
    </w:p>
    <w:p>
      <w:pPr>
        <w:ind w:left="640" w:hanging="316"/>
        <w:spacing w:after="0" w:line="271" w:lineRule="auto"/>
        <w:tabs>
          <w:tab w:leader="none" w:pos="635"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No Surgical Harvesting</w:t>
      </w:r>
      <w:r>
        <w:rPr>
          <w:rFonts w:ascii="Times New Roman" w:cs="Times New Roman" w:eastAsia="Times New Roman" w:hAnsi="Times New Roman"/>
          <w:sz w:val="18"/>
          <w:szCs w:val="18"/>
          <w:color w:val="231F20"/>
        </w:rPr>
        <w:t>: The use of our ATEVs does not subject patients to the serious operation of harvesting an autologous vein, which can result in greater procedure and recovery time, potential scarring and disfigurement, increased costs, and numerous potential health complications.</w:t>
      </w:r>
    </w:p>
    <w:p>
      <w:pPr>
        <w:spacing w:after="0" w:line="128" w:lineRule="exact"/>
        <w:rPr>
          <w:rFonts w:ascii="Times New Roman" w:cs="Times New Roman" w:eastAsia="Times New Roman" w:hAnsi="Times New Roman"/>
          <w:sz w:val="18"/>
          <w:szCs w:val="18"/>
          <w:color w:val="231F20"/>
        </w:rPr>
      </w:pPr>
    </w:p>
    <w:p>
      <w:pPr>
        <w:ind w:left="640" w:right="100" w:hanging="316"/>
        <w:spacing w:after="0" w:line="254" w:lineRule="auto"/>
        <w:tabs>
          <w:tab w:leader="none" w:pos="635"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Non-Immunogenic and No Foreign Body Response</w:t>
      </w:r>
      <w:r>
        <w:rPr>
          <w:rFonts w:ascii="Times New Roman" w:cs="Times New Roman" w:eastAsia="Times New Roman" w:hAnsi="Times New Roman"/>
          <w:sz w:val="18"/>
          <w:szCs w:val="18"/>
          <w:color w:val="231F20"/>
        </w:rPr>
        <w:t>: Given their acellular nature, our ATEVs have the potential to be universally implantable and durable across patients. Because our ATEVs are derived from human tissue (but cleansed of all cells and cellular components), we believe (and have observed in clinical trials to date) that they do not generate the foreign body response associated with the use of synthetic grafts, or the immune response associated with cryopreserved vessels.</w:t>
      </w:r>
    </w:p>
    <w:p>
      <w:pPr>
        <w:spacing w:after="0" w:line="156" w:lineRule="exact"/>
        <w:rPr>
          <w:rFonts w:ascii="Times New Roman" w:cs="Times New Roman" w:eastAsia="Times New Roman" w:hAnsi="Times New Roman"/>
          <w:sz w:val="18"/>
          <w:szCs w:val="18"/>
          <w:color w:val="231F20"/>
        </w:rPr>
      </w:pPr>
    </w:p>
    <w:p>
      <w:pPr>
        <w:jc w:val="both"/>
        <w:ind w:left="640" w:right="80" w:hanging="316"/>
        <w:spacing w:after="0" w:line="258" w:lineRule="auto"/>
        <w:tabs>
          <w:tab w:leader="none" w:pos="635"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Low Infection Susceptibility</w:t>
      </w:r>
      <w:r>
        <w:rPr>
          <w:rFonts w:ascii="Times New Roman" w:cs="Times New Roman" w:eastAsia="Times New Roman" w:hAnsi="Times New Roman"/>
          <w:sz w:val="18"/>
          <w:szCs w:val="18"/>
          <w:color w:val="231F20"/>
        </w:rPr>
        <w:t>: In clinical trials to date, we have observed reduced rates of infection in our ATEVs as compared to synthetic materials. As a result, we believe our ATEVs may be used in complicated and potentially contaminated wounds with fewer patient complications following the initial procedure.</w:t>
      </w:r>
    </w:p>
    <w:p>
      <w:pPr>
        <w:spacing w:after="0" w:line="139" w:lineRule="exact"/>
        <w:rPr>
          <w:rFonts w:ascii="Times New Roman" w:cs="Times New Roman" w:eastAsia="Times New Roman" w:hAnsi="Times New Roman"/>
          <w:sz w:val="18"/>
          <w:szCs w:val="18"/>
          <w:color w:val="231F20"/>
        </w:rPr>
      </w:pPr>
    </w:p>
    <w:p>
      <w:pPr>
        <w:ind w:left="640" w:right="340" w:hanging="316"/>
        <w:spacing w:after="0" w:line="258" w:lineRule="auto"/>
        <w:tabs>
          <w:tab w:leader="none" w:pos="635"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Uniform and Predictable Size, Structure and Quality</w:t>
      </w:r>
      <w:r>
        <w:rPr>
          <w:rFonts w:ascii="Times New Roman" w:cs="Times New Roman" w:eastAsia="Times New Roman" w:hAnsi="Times New Roman"/>
          <w:sz w:val="18"/>
          <w:szCs w:val="18"/>
          <w:color w:val="231F20"/>
        </w:rPr>
        <w:t>: Harvested veins vary in size, structure and quality by donor. We manufacture our ATEVs to precise specifications under controlled quality standards, which will allow surgeons the flexibility to quickly and easily select an ATEV in the appropriate size and shape for each indication.</w:t>
      </w:r>
    </w:p>
    <w:p>
      <w:pPr>
        <w:spacing w:after="0" w:line="139" w:lineRule="exact"/>
        <w:rPr>
          <w:rFonts w:ascii="Times New Roman" w:cs="Times New Roman" w:eastAsia="Times New Roman" w:hAnsi="Times New Roman"/>
          <w:sz w:val="18"/>
          <w:szCs w:val="18"/>
          <w:color w:val="231F20"/>
        </w:rPr>
      </w:pPr>
    </w:p>
    <w:p>
      <w:pPr>
        <w:ind w:left="640" w:right="220" w:hanging="316"/>
        <w:spacing w:after="0" w:line="271" w:lineRule="auto"/>
        <w:tabs>
          <w:tab w:leader="none" w:pos="635"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Regenerative Potential</w:t>
      </w:r>
      <w:r>
        <w:rPr>
          <w:rFonts w:ascii="Times New Roman" w:cs="Times New Roman" w:eastAsia="Times New Roman" w:hAnsi="Times New Roman"/>
          <w:sz w:val="18"/>
          <w:szCs w:val="18"/>
          <w:color w:val="231F20"/>
        </w:rPr>
        <w:t>: Our ATEVs repopulate with the patient’s own vascular cells, creating a living vascular tissue with the associated long-term benefits of self-healing and infection resistance.</w:t>
      </w:r>
    </w:p>
    <w:p>
      <w:pPr>
        <w:spacing w:after="0" w:line="141"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8"/>
          <w:szCs w:val="18"/>
          <w:color w:val="231F20"/>
        </w:rPr>
        <w:t>We expect our ATEVs will compete with the use of a patient’s own blood vessels, as well as a variety of marketed products, such as conventional synthetic grafts, xenografts, and allografts, as well as developing technologies. We expect the key competitive factors affecting the commercial success of our ATEVs to likely be efficacy, safety, convenience, pricing and reimbursement.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Commercial Entities</w:t>
      </w:r>
    </w:p>
    <w:p>
      <w:pPr>
        <w:spacing w:after="0" w:line="179"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231F20"/>
        </w:rPr>
        <w:t>There are several conventional synthetic grafts made of ePTFE or Dacron presently on the market from companies such as Bard Peripheral Vascular, Inc., W.L. Gore &amp; Associates, Inc., Terumo Medical Systems, and Atrium (Maquet Getinge Group) that are used for both AV access for hemodialysis and vascular repair. Xenograft and allograft products are also available, but not widely used. Xenografts, such as Artegraft</w:t>
      </w:r>
      <w:r>
        <w:rPr>
          <w:rFonts w:ascii="Times New Roman" w:cs="Times New Roman" w:eastAsia="Times New Roman" w:hAnsi="Times New Roman"/>
          <w:sz w:val="22"/>
          <w:szCs w:val="22"/>
          <w:color w:val="231F20"/>
          <w:vertAlign w:val="superscript"/>
        </w:rPr>
        <w:t>®</w:t>
      </w:r>
      <w:r>
        <w:rPr>
          <w:rFonts w:ascii="Times New Roman" w:cs="Times New Roman" w:eastAsia="Times New Roman" w:hAnsi="Times New Roman"/>
          <w:sz w:val="18"/>
          <w:szCs w:val="18"/>
          <w:color w:val="231F20"/>
        </w:rPr>
        <w:t xml:space="preserve"> and Procol</w:t>
      </w:r>
      <w:r>
        <w:rPr>
          <w:rFonts w:ascii="Times New Roman" w:cs="Times New Roman" w:eastAsia="Times New Roman" w:hAnsi="Times New Roman"/>
          <w:sz w:val="22"/>
          <w:szCs w:val="22"/>
          <w:color w:val="231F20"/>
          <w:vertAlign w:val="superscript"/>
        </w:rPr>
        <w:t>®</w:t>
      </w:r>
      <w:r>
        <w:rPr>
          <w:rFonts w:ascii="Times New Roman" w:cs="Times New Roman" w:eastAsia="Times New Roman" w:hAnsi="Times New Roman"/>
          <w:sz w:val="18"/>
          <w:szCs w:val="18"/>
          <w:color w:val="231F20"/>
        </w:rPr>
        <w:t>, are processed animal-derived vessels, while allografts are processed allogeneic cellular vessels, such as CryoVein</w:t>
      </w:r>
      <w:r>
        <w:rPr>
          <w:rFonts w:ascii="Times New Roman" w:cs="Times New Roman" w:eastAsia="Times New Roman" w:hAnsi="Times New Roman"/>
          <w:sz w:val="22"/>
          <w:szCs w:val="22"/>
          <w:color w:val="231F20"/>
          <w:vertAlign w:val="superscript"/>
        </w:rPr>
        <w:t>®</w:t>
      </w:r>
      <w:r>
        <w:rPr>
          <w:rFonts w:ascii="Times New Roman" w:cs="Times New Roman" w:eastAsia="Times New Roman" w:hAnsi="Times New Roman"/>
          <w:sz w:val="18"/>
          <w:szCs w:val="18"/>
          <w:color w:val="231F20"/>
        </w:rPr>
        <w:t xml:space="preserve"> and AngioGRAFT</w:t>
      </w:r>
      <w:r>
        <w:rPr>
          <w:rFonts w:ascii="Times New Roman" w:cs="Times New Roman" w:eastAsia="Times New Roman" w:hAnsi="Times New Roman"/>
          <w:sz w:val="22"/>
          <w:szCs w:val="22"/>
          <w:color w:val="231F20"/>
          <w:vertAlign w:val="superscript"/>
        </w:rPr>
        <w:t>®</w:t>
      </w:r>
      <w:r>
        <w:rPr>
          <w:rFonts w:ascii="Times New Roman" w:cs="Times New Roman" w:eastAsia="Times New Roman" w:hAnsi="Times New Roman"/>
          <w:sz w:val="18"/>
          <w:szCs w:val="18"/>
          <w:color w:val="231F20"/>
        </w:rPr>
        <w:t>.</w:t>
      </w:r>
    </w:p>
    <w:p>
      <w:pPr>
        <w:spacing w:after="0" w:line="78" w:lineRule="exact"/>
        <w:rPr>
          <w:sz w:val="20"/>
          <w:szCs w:val="20"/>
          <w:color w:val="auto"/>
        </w:rPr>
      </w:pPr>
    </w:p>
    <w:p>
      <w:pPr>
        <w:ind w:right="240" w:firstLine="318"/>
        <w:spacing w:after="0" w:line="258" w:lineRule="auto"/>
        <w:rPr>
          <w:sz w:val="20"/>
          <w:szCs w:val="20"/>
          <w:color w:val="auto"/>
        </w:rPr>
      </w:pPr>
      <w:r>
        <w:rPr>
          <w:rFonts w:ascii="Times New Roman" w:cs="Times New Roman" w:eastAsia="Times New Roman" w:hAnsi="Times New Roman"/>
          <w:sz w:val="18"/>
          <w:szCs w:val="18"/>
          <w:color w:val="231F20"/>
        </w:rPr>
        <w:t>There are also a number of companies of which we are aware that have preclinical and early clinical-stage research programs underway to develop products that could potentially compete with our ATEVs, including NovaHep AB, Xeltis AG, Hancock Jaffe, and Vascudyne Inc. We may face competition from these and other emerging technologies such as bioabsorbable polymetric implants and electrospun or 3D printed tubular conduits.</w:t>
      </w:r>
    </w:p>
    <w:p>
      <w:pPr>
        <w:spacing w:after="0" w:line="140"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more effective, safer, have fewer or less severe side effects, are more convenient or are less expensive than the products that we develop. Our competitors also may obtain FDA or other marketing approval for their products more rapidly than we may obtain the same approval for ours, which could result in our competitors establishing a strong market position before we are able to enter the market.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Government Regulation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Overview</w:t>
      </w:r>
    </w:p>
    <w:p>
      <w:pPr>
        <w:spacing w:after="0" w:line="179" w:lineRule="exact"/>
        <w:rPr>
          <w:sz w:val="20"/>
          <w:szCs w:val="20"/>
          <w:color w:val="auto"/>
        </w:rPr>
      </w:pPr>
    </w:p>
    <w:p>
      <w:pPr>
        <w:jc w:val="both"/>
        <w:ind w:right="40" w:firstLine="318"/>
        <w:spacing w:after="0" w:line="258" w:lineRule="auto"/>
        <w:rPr>
          <w:sz w:val="20"/>
          <w:szCs w:val="20"/>
          <w:color w:val="auto"/>
        </w:rPr>
      </w:pPr>
      <w:r>
        <w:rPr>
          <w:rFonts w:ascii="Times New Roman" w:cs="Times New Roman" w:eastAsia="Times New Roman" w:hAnsi="Times New Roman"/>
          <w:sz w:val="18"/>
          <w:szCs w:val="18"/>
          <w:color w:val="231F20"/>
        </w:rPr>
        <w:t>The FDA and comparable regulatory authorities in state and local jurisdictions and in other countries impose substantial and burdensome requirements on the research, development, testing, manufacture, quality control, safety, effectiveness, packaging, labeling, storage, record keeping, marketing, advertising and promotion, import/export, and distribution of Symvess and our product candidates.</w:t>
      </w:r>
    </w:p>
    <w:p>
      <w:pPr>
        <w:spacing w:after="0" w:line="200" w:lineRule="exact"/>
        <w:rPr>
          <w:sz w:val="20"/>
          <w:szCs w:val="20"/>
          <w:color w:val="auto"/>
        </w:rPr>
      </w:pPr>
    </w:p>
    <w:p>
      <w:pPr>
        <w:spacing w:after="0" w:line="3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8"/>
          <w:szCs w:val="18"/>
          <w:color w:val="231F20"/>
        </w:rPr>
        <w:t>In the United States, the FDA regulates pharmaceutical drugs, medical devices and biologic products under the Federal Food, Drug, and Cosmetic Act (“FDCA”), the Public Health Service Act (“PHSA”), FDA implementing regulations, and other laws. Symvess and our product candidates are subject to regulation by the FDA as biologics. Biologics require the submission of a BLA and approval by the FDA before being marketed in the United States. Our first vessel product, Symvess, received approval of its BLA on December 19, 2024 for use as a vascular conduit for extremity arterial injury when urgent</w:t>
      </w:r>
    </w:p>
    <w:p>
      <w:pPr>
        <w:spacing w:after="0" w:line="1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231F20"/>
        </w:rPr>
        <w:t>revascularization is needed to avoid imminent limb loss, and autologous vein graft is not feasible. None of our other vessel products or other investigational products have received FDA approval. If we fail to comply with applicable FDA or other requirements at any time during the product development process, clinical testing, and the approval process or after approval, we may become subject to administrative or judicial sanctions. These sanctions could include the FDA’s refusal to approve pending applications, license suspension or revocation, withdrawal of an approval, warning letters, product recalls, product seizures, total or partial suspension of production or distribution, injunctions, fines, civil penalties or criminal prosecution. Any FDA enforcement action could have a material adverse effect on 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Marketing Approval — Biological Products in the United States</w:t>
      </w:r>
    </w:p>
    <w:p>
      <w:pPr>
        <w:spacing w:after="0" w:line="192" w:lineRule="exact"/>
        <w:rPr>
          <w:sz w:val="20"/>
          <w:szCs w:val="20"/>
          <w:color w:val="auto"/>
        </w:rPr>
      </w:pPr>
    </w:p>
    <w:p>
      <w:pPr>
        <w:ind w:right="240" w:firstLine="318"/>
        <w:spacing w:after="0" w:line="251" w:lineRule="auto"/>
        <w:rPr>
          <w:sz w:val="20"/>
          <w:szCs w:val="20"/>
          <w:color w:val="auto"/>
        </w:rPr>
      </w:pPr>
      <w:r>
        <w:rPr>
          <w:rFonts w:ascii="Times New Roman" w:cs="Times New Roman" w:eastAsia="Times New Roman" w:hAnsi="Times New Roman"/>
          <w:sz w:val="18"/>
          <w:szCs w:val="18"/>
          <w:color w:val="231F20"/>
        </w:rPr>
        <w:t>Before a biologic is approved in the United States, an applicant must submit a BLA that includes sufficient evidence to establish the safety, purity, and potency of the product candidate for its intended indications, including from the results of preclinical studies and clinical trials. A BLA must also contain extensive information about manufacturing and product quality control testing, and the applicant must pass an FDA preapproval inspection of the manufacturing facility or facilities at which the biologic product is produced and distributed from to assess compliance with current good manufacturing practices (“cGMPs”).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steps for obtaining FDA approval of a BLA to market a biologic product in the United States generally include:</w:t>
      </w:r>
    </w:p>
    <w:p>
      <w:pPr>
        <w:spacing w:after="0" w:line="177" w:lineRule="exact"/>
        <w:rPr>
          <w:sz w:val="20"/>
          <w:szCs w:val="20"/>
          <w:color w:val="auto"/>
        </w:rPr>
      </w:pPr>
    </w:p>
    <w:p>
      <w:pPr>
        <w:ind w:left="640" w:right="120" w:hanging="316"/>
        <w:spacing w:after="0" w:line="271" w:lineRule="auto"/>
        <w:tabs>
          <w:tab w:leader="none" w:pos="63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Completion of extensive preclinical laboratory tests and preclinical animal studies performed in accordance with the FDA’s current good laboratory practice (“GLP”) regulations;</w:t>
      </w:r>
    </w:p>
    <w:p>
      <w:pPr>
        <w:spacing w:after="0" w:line="128"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to the FDA of an IND, which must become effective before human clinical trials in the United States may begin;</w:t>
      </w:r>
    </w:p>
    <w:p>
      <w:pPr>
        <w:spacing w:after="0" w:line="190" w:lineRule="exact"/>
        <w:rPr>
          <w:rFonts w:ascii="Times New Roman" w:cs="Times New Roman" w:eastAsia="Times New Roman" w:hAnsi="Times New Roman"/>
          <w:sz w:val="18"/>
          <w:szCs w:val="18"/>
          <w:color w:val="231F20"/>
        </w:rPr>
      </w:pPr>
    </w:p>
    <w:p>
      <w:pPr>
        <w:ind w:left="640" w:right="320" w:hanging="316"/>
        <w:spacing w:after="0" w:line="271" w:lineRule="auto"/>
        <w:tabs>
          <w:tab w:leader="none" w:pos="63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Approval of the protocol and related documentation by an Institutional Review Board (“IRB”) or ethics committee representing each clinical site before each clinical trial may be initiated;</w:t>
      </w:r>
    </w:p>
    <w:p>
      <w:pPr>
        <w:spacing w:after="0" w:line="128" w:lineRule="exact"/>
        <w:rPr>
          <w:rFonts w:ascii="Times New Roman" w:cs="Times New Roman" w:eastAsia="Times New Roman" w:hAnsi="Times New Roman"/>
          <w:sz w:val="18"/>
          <w:szCs w:val="18"/>
          <w:color w:val="231F20"/>
        </w:rPr>
      </w:pPr>
    </w:p>
    <w:p>
      <w:pPr>
        <w:ind w:left="640" w:right="60" w:hanging="316"/>
        <w:spacing w:after="0" w:line="258" w:lineRule="auto"/>
        <w:tabs>
          <w:tab w:leader="none" w:pos="63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 of adequate and well-controlled human clinical trials according to the FDA’s regulations commonly referred to as GCPs and any additional requirements for the protection of human research subjects and their health information, to establish the safety and efficacy of the product candidate for each proposed indication;</w:t>
      </w:r>
    </w:p>
    <w:p>
      <w:pPr>
        <w:spacing w:after="0" w:line="139"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to the FDA of a BLA;</w:t>
      </w:r>
    </w:p>
    <w:p>
      <w:pPr>
        <w:spacing w:after="0" w:line="190" w:lineRule="exact"/>
        <w:rPr>
          <w:rFonts w:ascii="Times New Roman" w:cs="Times New Roman" w:eastAsia="Times New Roman" w:hAnsi="Times New Roman"/>
          <w:sz w:val="18"/>
          <w:szCs w:val="18"/>
          <w:color w:val="231F20"/>
        </w:rPr>
      </w:pPr>
    </w:p>
    <w:p>
      <w:pPr>
        <w:ind w:left="640" w:right="200" w:hanging="316"/>
        <w:spacing w:after="0" w:line="258" w:lineRule="auto"/>
        <w:tabs>
          <w:tab w:leader="none" w:pos="63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Satisfactory completion of an FDA inspection of the manufacturing facility or facilities and distribution site at which the product is produced: to assess compliance with cGMP regulations; to assure that the facilities, production methods, testing and controls are adequate; and, if applicable, to assure compliance with current good tissue practice (“cGTP”) requirements for human cellular and tissue-derived products;</w:t>
      </w:r>
    </w:p>
    <w:p>
      <w:pPr>
        <w:spacing w:after="0" w:line="139"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FDA audit of the nonclinical study and clinical trial sites that generated the data in support of the BLA;</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 of the product candidate by an FDA advisory committee, if applicable;</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Payment of user fees for FDA review of the BLA (unless a fee waiver applies); and</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review and approval, or licensure, of the BLA prior to any commercial marketing, sale or shipment of the product.</w:t>
      </w:r>
    </w:p>
    <w:p>
      <w:pPr>
        <w:spacing w:after="0" w:line="200" w:lineRule="exact"/>
        <w:rPr>
          <w:sz w:val="20"/>
          <w:szCs w:val="20"/>
          <w:color w:val="auto"/>
        </w:rPr>
      </w:pPr>
    </w:p>
    <w:p>
      <w:pPr>
        <w:spacing w:after="0" w:line="3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293"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U.S. Biological Products Development Process</w:t>
      </w:r>
    </w:p>
    <w:p>
      <w:pPr>
        <w:spacing w:after="0" w:line="179" w:lineRule="exact"/>
        <w:rPr>
          <w:sz w:val="20"/>
          <w:szCs w:val="20"/>
          <w:color w:val="auto"/>
        </w:rPr>
      </w:pPr>
    </w:p>
    <w:p>
      <w:pPr>
        <w:ind w:right="60" w:firstLine="318"/>
        <w:spacing w:after="0" w:line="271" w:lineRule="auto"/>
        <w:rPr>
          <w:sz w:val="20"/>
          <w:szCs w:val="20"/>
          <w:color w:val="auto"/>
        </w:rPr>
      </w:pPr>
      <w:r>
        <w:rPr>
          <w:rFonts w:ascii="Times New Roman" w:cs="Times New Roman" w:eastAsia="Times New Roman" w:hAnsi="Times New Roman"/>
          <w:sz w:val="18"/>
          <w:szCs w:val="18"/>
          <w:color w:val="231F20"/>
        </w:rPr>
        <w:t>The testing and approval process requires substantial time, effort and financial resources, and we cannot be certain that any further approvals for Symvess and/or our product candidates will be granted on a timely basis, if at all.</w:t>
      </w:r>
    </w:p>
    <w:p>
      <w:pPr>
        <w:spacing w:after="0" w:line="128"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231F20"/>
        </w:rPr>
        <w:t>Once a product candidate is identified for development, that biologic candidate enters the preclinical testing stage. Preclinical studies include laboratory evaluations of product chemistry, toxicity, formulation and stability, as well as animal studies to evaluate the product’s potential safety and activity. The results of the preclinical studies, together with manufacturing information, analytical data, and at least one protocol for clinical study, are submitted to the FDA as part of an IND.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This is known as a “clinical hold.” In such a case, the IND sponsor must resolve all of the FDA’s concerns to the agency’s satisfaction before the clinical trial can begin. Submission of an IND may result in the FDA not allowing the clinical trials to commence or not allowing the clinical trials to commence on the terms originally specified in the IND. A separate submission to an existing IND must also be made for each successive clinical trial conducted during product development, and the FDA must grant permission, either explicitly or implicitly by not objecting, before each clinical trial can begin. Even after a clinical trial has begun, the FDA can issue a clinical hold at any time if it concludes that certain conditions exist, such as patients may be exposed to an unreasonable and significant risk of illness or injury.</w:t>
      </w:r>
    </w:p>
    <w:p>
      <w:pPr>
        <w:spacing w:after="0" w:line="162"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231F20"/>
        </w:rPr>
        <w:t>Clinical trials involve the use of the product candidate in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FDA as part of the IND. An independent IRB for each medical center proposing to conduct a clinical trial must also review and approve a plan for any clinical trial before it can begin at that center and the IRB must monitor the clinical trial until it is completed. The IRB must review and approve, among other things, the study protocol and informed consent information to be provided to study subjects.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 Clinical testing also must satisfy extensive GCP requirements, including the requirements for informed consent. Information about clinical trials must be submitted within specific timeframes to the National Institutes of Health (“NIH”) for public dissemination on its ClinicalTrials.gov website.</w:t>
      </w:r>
    </w:p>
    <w:p>
      <w:pPr>
        <w:spacing w:after="0" w:line="135"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8"/>
          <w:szCs w:val="18"/>
          <w:color w:val="231F20"/>
        </w:rPr>
        <w:t>For purposes of BLA submission and approval, clinical trials are typically, though not always, conducted in three sequential phases, which may overlap or be combined. For certain of Humacyte’s development of product candidates, Phase 1 and Phase 2 trials have heretofore been combined into a single trial design.</w:t>
      </w:r>
    </w:p>
    <w:p>
      <w:pPr>
        <w:spacing w:after="0" w:line="138" w:lineRule="exact"/>
        <w:rPr>
          <w:sz w:val="20"/>
          <w:szCs w:val="20"/>
          <w:color w:val="auto"/>
        </w:rPr>
      </w:pPr>
    </w:p>
    <w:p>
      <w:pPr>
        <w:ind w:left="640" w:right="200" w:hanging="316"/>
        <w:spacing w:after="0" w:line="259" w:lineRule="auto"/>
        <w:tabs>
          <w:tab w:leader="none" w:pos="63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Phase 1. </w:t>
      </w:r>
      <w:r>
        <w:rPr>
          <w:rFonts w:ascii="Times New Roman" w:cs="Times New Roman" w:eastAsia="Times New Roman" w:hAnsi="Times New Roman"/>
          <w:sz w:val="18"/>
          <w:szCs w:val="18"/>
          <w:color w:val="231F20"/>
        </w:rPr>
        <w:t>The biological product is initially introduced into human subjects and tested for safety. These initial trials to evaluate the potential toxicity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and pharmacological activity of the investigational product (including pharmacokinetics, if applicable), and, if possible, gain early evidence on effectiveness.</w:t>
      </w:r>
    </w:p>
    <w:p>
      <w:pPr>
        <w:spacing w:after="0" w:line="150" w:lineRule="exact"/>
        <w:rPr>
          <w:rFonts w:ascii="Times New Roman" w:cs="Times New Roman" w:eastAsia="Times New Roman" w:hAnsi="Times New Roman"/>
          <w:sz w:val="18"/>
          <w:szCs w:val="18"/>
          <w:color w:val="231F20"/>
        </w:rPr>
      </w:pPr>
    </w:p>
    <w:p>
      <w:pPr>
        <w:ind w:left="640" w:right="360" w:hanging="316"/>
        <w:spacing w:after="0" w:line="259" w:lineRule="auto"/>
        <w:tabs>
          <w:tab w:leader="none" w:pos="63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Phase 2</w:t>
      </w:r>
      <w:r>
        <w:rPr>
          <w:rFonts w:ascii="Times New Roman" w:cs="Times New Roman" w:eastAsia="Times New Roman" w:hAnsi="Times New Roman"/>
          <w:sz w:val="18"/>
          <w:szCs w:val="18"/>
          <w:color w:val="231F20"/>
        </w:rPr>
        <w:t>. The biological product is evaluated in a limited patient population to identify potential adverse events and safety risks, to evaluate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preliminarily the efficacy of the product candidate for specific targeted indications in patients with the disease or condition under trial, and, when applicable, to evaluate dosage tolerance and appropriate dosage.</w:t>
      </w:r>
    </w:p>
    <w:p>
      <w:pPr>
        <w:spacing w:after="0" w:line="137" w:lineRule="exact"/>
        <w:rPr>
          <w:rFonts w:ascii="Times New Roman" w:cs="Times New Roman" w:eastAsia="Times New Roman" w:hAnsi="Times New Roman"/>
          <w:sz w:val="18"/>
          <w:szCs w:val="18"/>
          <w:color w:val="231F20"/>
        </w:rPr>
      </w:pPr>
    </w:p>
    <w:p>
      <w:pPr>
        <w:ind w:left="640" w:right="40" w:hanging="316"/>
        <w:spacing w:after="0" w:line="251" w:lineRule="auto"/>
        <w:tabs>
          <w:tab w:leader="none" w:pos="63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Phase 3. </w:t>
      </w:r>
      <w:r>
        <w:rPr>
          <w:rFonts w:ascii="Times New Roman" w:cs="Times New Roman" w:eastAsia="Times New Roman" w:hAnsi="Times New Roman"/>
          <w:sz w:val="18"/>
          <w:szCs w:val="18"/>
          <w:color w:val="231F20"/>
        </w:rPr>
        <w:t>The biological product is administered to an expanded patient population, often large numbers of patients of several hundred to several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thousand and generally at geographically dispersed clinical trial sites. These trials are designed to generate enough data to statistically evaluate clinical effectiveness and safety as well as to establish the overall benefit-risk relationship of the investigational new biological product, and to provide an adequate basis for product approval. FDA typically requires at least two Phase 3 trials to support approval, but in some cases may approve an application on the basis of one trial. For example, FDA’s approval of our BLA for Symvess for extremity arterial injury was based on a single pivotal trial with supporting evidence from humanitarian use of the product in Ukraine.</w:t>
      </w:r>
    </w:p>
    <w:p>
      <w:pPr>
        <w:spacing w:after="0" w:line="146" w:lineRule="exact"/>
        <w:rPr>
          <w:sz w:val="20"/>
          <w:szCs w:val="20"/>
          <w:color w:val="auto"/>
        </w:rPr>
      </w:pPr>
    </w:p>
    <w:p>
      <w:pPr>
        <w:ind w:right="160" w:firstLine="318"/>
        <w:spacing w:after="0" w:line="271" w:lineRule="auto"/>
        <w:rPr>
          <w:sz w:val="20"/>
          <w:szCs w:val="20"/>
          <w:color w:val="auto"/>
        </w:rPr>
      </w:pPr>
      <w:r>
        <w:rPr>
          <w:rFonts w:ascii="Times New Roman" w:cs="Times New Roman" w:eastAsia="Times New Roman" w:hAnsi="Times New Roman"/>
          <w:sz w:val="18"/>
          <w:szCs w:val="18"/>
          <w:color w:val="231F20"/>
        </w:rPr>
        <w:t>In some cases, the FDA may condition approval of a BLA on the sponsor’s agreement to conduct additional clinical trials to further assess the biologic’s safety and effectiveness after BLA approval. Such post-approval clinical trials are typically referred to as Phase 4 clinical trials.</w:t>
      </w:r>
    </w:p>
    <w:p>
      <w:pPr>
        <w:spacing w:after="0" w:line="200" w:lineRule="exact"/>
        <w:rPr>
          <w:sz w:val="20"/>
          <w:szCs w:val="20"/>
          <w:color w:val="auto"/>
        </w:rPr>
      </w:pPr>
    </w:p>
    <w:p>
      <w:pPr>
        <w:spacing w:after="0" w:line="3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231F20"/>
        </w:rPr>
        <w:t>During all phases of clinical development, regulatory agencies require extensive monitoring and auditing of all clinical activities, clinical data, and clinical trial investigators. Annual progress reports detailing the progress of the clinical trials must be submitted to the FDA. Written IND safety reports must be promptly submitted to the FDA and the investigators detailing serious and unexpected adverse events, any findings from other studies that suggest a significant risk to human patients, tests in laboratory animals or in vitro testing that suggest a significant risk for human patients,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51" w:lineRule="exact"/>
        <w:rPr>
          <w:sz w:val="20"/>
          <w:szCs w:val="20"/>
          <w:color w:val="auto"/>
        </w:rPr>
      </w:pPr>
    </w:p>
    <w:p>
      <w:pPr>
        <w:ind w:right="180" w:firstLine="318"/>
        <w:spacing w:after="0" w:line="254" w:lineRule="auto"/>
        <w:rPr>
          <w:sz w:val="20"/>
          <w:szCs w:val="20"/>
          <w:color w:val="auto"/>
        </w:rPr>
      </w:pPr>
      <w:r>
        <w:rPr>
          <w:rFonts w:ascii="Times New Roman" w:cs="Times New Roman" w:eastAsia="Times New Roman" w:hAnsi="Times New Roman"/>
          <w:sz w:val="18"/>
          <w:szCs w:val="18"/>
          <w:color w:val="231F20"/>
        </w:rPr>
        <w:t>The FDA or the sponsor may suspend or terminate a clinical trial at any time on various grounds, including a finding that the research patients are being exposed to an unacceptable health risk, including risks inferred from other trials on other products.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43"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231F20"/>
        </w:rPr>
        <w:t>Concurrent with clinical trials, companies usually complete additional animal trials and must also develop additional information about the characteristics of the biologic and finalize a process for manufacturing the biologic in commercial quantities in accordance with cGMP and, when applicable, GTP requirements. The manufacturing process must be capable of consistently producing quality batches of the product candidate. Additionally, appropriate packaging must be selected and tested and stability studies must be conducted to demonstrate that the product candidate does not undergo unacceptable deterioration over its shelf life.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BLA Review Process</w:t>
      </w:r>
    </w:p>
    <w:p>
      <w:pPr>
        <w:spacing w:after="0" w:line="179" w:lineRule="exact"/>
        <w:rPr>
          <w:sz w:val="20"/>
          <w:szCs w:val="20"/>
          <w:color w:val="auto"/>
        </w:rPr>
      </w:pPr>
    </w:p>
    <w:p>
      <w:pPr>
        <w:ind w:right="140" w:firstLine="318"/>
        <w:spacing w:after="0" w:line="254" w:lineRule="auto"/>
        <w:rPr>
          <w:sz w:val="20"/>
          <w:szCs w:val="20"/>
          <w:color w:val="auto"/>
        </w:rPr>
      </w:pPr>
      <w:r>
        <w:rPr>
          <w:rFonts w:ascii="Times New Roman" w:cs="Times New Roman" w:eastAsia="Times New Roman" w:hAnsi="Times New Roman"/>
          <w:sz w:val="18"/>
          <w:szCs w:val="18"/>
          <w:color w:val="231F20"/>
        </w:rPr>
        <w:t>The results of preclinical studies and of the clinical trials, together with other detailed information, including extensive manufacturing information, information on the composition of the biologic, and proposed labeling, are submitted to the FDA in the form of a BLA requesting approval to market the biologic in the United States for one or more specified indications. The FDA reviews a BLA to determine, among other things, whether a biologic is safe and effective for its intended use.</w:t>
      </w:r>
    </w:p>
    <w:p>
      <w:pPr>
        <w:spacing w:after="0" w:line="143"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231F20"/>
        </w:rPr>
        <w:t>The FDA has 60 days from its receipt of a BLA to determine whether the application will be accepted for filing based on the FDA’s threshold determination that the application is sufficiently complete to permit substantive review.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After the BLA submission is accepted for filing, the FDA reviews the BLA to determine, among other things, whether the proposed product is safe and potent, or effective, for its intended use, and has an acceptable purity profile, and whether the product is being manufactured in accordance with cGMPs (and, where applicable, GTPs) to assure and preserve the product’s identity, safety, strength, quality, potency, and purity, and biological product standards. The FDA may refer applications for novel biological products or biological products that present difficult questions of safety or efficacy to an advisory committee, typically a panel that includes outside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53"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231F20"/>
        </w:rPr>
        <w:t>Before approving an application, the FDA will, among other things, inspect the facility or the facilities at which the biologic product is manufactured and distributed, and will not approve the product unless cGMP compliance is satisfactory. The FDA may also inspect the sites at which the clinical trials were conducted to assess their compliance, and may refuse to approve the biologic if compliance with GCP requirements is found to be unsatisfactory. For a human cellular or tissue product the FDA also may refuse to approve the product if the manufacturer is not in compliance with GTP requirements, in addition to cGMPs.</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231F20"/>
        </w:rPr>
        <w:t>The FDA also has authority to require a Risk Evaluation and Mitigation Strategy (“REMS”) from manufacturers to ensure that the benefits of a biological product outweigh its risks. A sponsor may also voluntarily propose a REMS as part of the BLA submission. The need for a REMS is determined as part of the review of the BLA. Based on statutory standards, elements of a REMS may include “dear doctor letters,” a medication guide, more elaborate targeted educational programs, and in some cases restrictions on distribution and/or use. These elements are negotiated as part of the BLA approval, and in some cases may delay the approval date. Once adopted, REMS are subject to periodic assessment and modification.</w:t>
      </w:r>
    </w:p>
    <w:p>
      <w:pPr>
        <w:spacing w:after="0" w:line="148" w:lineRule="exact"/>
        <w:rPr>
          <w:sz w:val="20"/>
          <w:szCs w:val="20"/>
          <w:color w:val="auto"/>
        </w:rPr>
      </w:pPr>
    </w:p>
    <w:p>
      <w:pPr>
        <w:ind w:right="180" w:firstLine="318"/>
        <w:spacing w:after="0" w:line="250" w:lineRule="auto"/>
        <w:rPr>
          <w:sz w:val="20"/>
          <w:szCs w:val="20"/>
          <w:color w:val="auto"/>
        </w:rPr>
      </w:pPr>
      <w:r>
        <w:rPr>
          <w:rFonts w:ascii="Times New Roman" w:cs="Times New Roman" w:eastAsia="Times New Roman" w:hAnsi="Times New Roman"/>
          <w:sz w:val="18"/>
          <w:szCs w:val="18"/>
          <w:color w:val="231F20"/>
        </w:rPr>
        <w:t>The testing and approval processes require substantial time, effort and financial resources, and each may take several years to complete. The FDA may not grant approval on a timely basis, or at all. Even if we believe a clinical trial has demonstrated safety and efficacy of one of our product candidates for the treatment of a disease, the results may not be satisfactory to the FDA. Preclinical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new indications for Symvess and/or our product candidates. The FDA may limit the indications for use or place other conditions on any approvals that could restrict the commercial application of the products.</w:t>
      </w:r>
    </w:p>
    <w:p>
      <w:pPr>
        <w:spacing w:after="0" w:line="149" w:lineRule="exact"/>
        <w:rPr>
          <w:sz w:val="20"/>
          <w:szCs w:val="20"/>
          <w:color w:val="auto"/>
        </w:rPr>
      </w:pPr>
    </w:p>
    <w:p>
      <w:pPr>
        <w:ind w:right="120" w:firstLine="318"/>
        <w:spacing w:after="0" w:line="273" w:lineRule="auto"/>
        <w:rPr>
          <w:sz w:val="20"/>
          <w:szCs w:val="20"/>
          <w:color w:val="auto"/>
        </w:rPr>
      </w:pPr>
      <w:r>
        <w:rPr>
          <w:rFonts w:ascii="Times New Roman" w:cs="Times New Roman" w:eastAsia="Times New Roman" w:hAnsi="Times New Roman"/>
          <w:sz w:val="17"/>
          <w:szCs w:val="17"/>
          <w:color w:val="231F20"/>
        </w:rPr>
        <w:t>Biologics may be marketed only for the FDA approved indications and in accordance with the provisions of the approved labeling. Further, if there are any modifications to the biologic, including changes in indications, labeling, or manufacturing processes or facilities, the applicant may be required to submit and obtain FDA approval of a new BLA or BLA supplement, which may require developing additional data or conducting additional preclinical studies and clinical trials. As with new BLAs, the review process is often significantly extended by FDA requests for additional information or clarification.</w:t>
      </w:r>
    </w:p>
    <w:p>
      <w:pPr>
        <w:spacing w:after="0" w:line="143" w:lineRule="exact"/>
        <w:rPr>
          <w:sz w:val="20"/>
          <w:szCs w:val="20"/>
          <w:color w:val="auto"/>
        </w:rPr>
      </w:pPr>
    </w:p>
    <w:p>
      <w:pPr>
        <w:ind w:right="120" w:firstLine="318"/>
        <w:spacing w:after="0" w:line="268" w:lineRule="auto"/>
        <w:rPr>
          <w:sz w:val="20"/>
          <w:szCs w:val="20"/>
          <w:color w:val="auto"/>
        </w:rPr>
      </w:pPr>
      <w:r>
        <w:rPr>
          <w:rFonts w:ascii="Times New Roman" w:cs="Times New Roman" w:eastAsia="Times New Roman" w:hAnsi="Times New Roman"/>
          <w:sz w:val="17"/>
          <w:szCs w:val="17"/>
          <w:color w:val="231F20"/>
        </w:rPr>
        <w:t>The Biologics Price Competition and Innovation Act (“BPCIA”), amended the PHSA to authorize the FDA to approve similar versions of innovative biologics, commonly known as biosimilars. A competitor seeking approval of a biosimilar must file an application to establish its product as highly similar to an approved innovator biologic, among other requirements. The BPCIA, however, bars the FDA from approving biosimilar applications for 12 years after an innovator biological product receives initial marketing approval. This bar does not apply to submission or approval of full BLAs. Because Symvess received its initial approval for marketing via a BLA, we believe that it will be entitled to 12 years of exclusivity. Nevertheless, the BPCIA is complex and is only beginning to be interpreted and implemented by the FDA. As a result, its ultimate impact, implementation and meaning is subject to uncertainty.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Expedited Development and Review Programs</w:t>
      </w:r>
    </w:p>
    <w:p>
      <w:pPr>
        <w:spacing w:after="0" w:line="179"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231F20"/>
        </w:rPr>
        <w:t>The FDA offers various programs, including Fast Track designation, Breakthrough Therapy Designation, accelerated approval, priority review and RMAT designation, that are intended to expedite the process for the development and FDA review of biological products that are intended for the treatment of serious or life-threatening diseases or conditions. To be eligible for Fast Track designation, biological product candidates must be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biological product candidate may request the FDA to designate the biologic as a Fast Track product at any time during the clinical development of the product.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62"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231F20"/>
        </w:rPr>
        <w:t>A biological product candidate may be eligible for Breakthrough Therapy Designation if it is intended to treat a serious or life-threatening disease or condition and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231F20"/>
        </w:rPr>
        <w:t>Any marketing application for a biological product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Any product candidate is eligible for priority review if it is designed to treat a serious or life-threatening disease or condition, and if approved, would provide a significant improvement in safety or effectiveness compared to available alternatives for such disease or condition. The FDA will attempt to direct additional resources to the evaluation of an application for a biological product candidate designated for priority review in an effort to facilitate the review. Under priority review, the FDA’s goal is to review an application within six months of the 60-day filing date, compared to ten months for a standard review.</w:t>
      </w:r>
    </w:p>
    <w:p>
      <w:pPr>
        <w:spacing w:after="0" w:line="151"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color w:val="231F20"/>
        </w:rPr>
        <w:t>Additionally, FDA may grant accelerated approval to a product candidate intended to treat a serious or life-threatening disease or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receiving accelerated approval perform adequate and well-controlled post-marketing clinical trials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53"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In 2017, the FDA established a new RMAT designation as part of its implementation of the 21st Century Cures Act. The RMAT designation program is intended to fulfill the 21st Century Cures Act requirement that the FDA facilitate an efficient development program for, and expedite review of, any biological product that meets the following criteria: (i) the biological product qualifies as an RMAT, which is defined as a cell therapy, therapeutic tissue engineering product, human cell and tissue product, or any combination product using such therapies or products, with limited exceptions; (ii) the biological product is intended to treat, modify, reverse, or cure a serious or life-threatening disease or condition; and preliminary clinical evidence indicates that the biological product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w:t>
      </w:r>
    </w:p>
    <w:p>
      <w:pPr>
        <w:spacing w:after="0" w:line="164" w:lineRule="exact"/>
        <w:rPr>
          <w:sz w:val="20"/>
          <w:szCs w:val="20"/>
          <w:color w:val="auto"/>
        </w:rPr>
      </w:pPr>
    </w:p>
    <w:p>
      <w:pPr>
        <w:ind w:right="60" w:firstLine="318"/>
        <w:spacing w:after="0" w:line="280" w:lineRule="auto"/>
        <w:rPr>
          <w:sz w:val="20"/>
          <w:szCs w:val="20"/>
          <w:color w:val="auto"/>
        </w:rPr>
      </w:pPr>
      <w:r>
        <w:rPr>
          <w:rFonts w:ascii="Times New Roman" w:cs="Times New Roman" w:eastAsia="Times New Roman" w:hAnsi="Times New Roman"/>
          <w:sz w:val="17"/>
          <w:szCs w:val="17"/>
          <w:color w:val="231F20"/>
        </w:rPr>
        <w:t>Fast Track designation, Breakthrough Therapy Designation, priority review, accelerated approval, and RMAT designation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23" w:lineRule="exact"/>
        <w:rPr>
          <w:sz w:val="20"/>
          <w:szCs w:val="20"/>
          <w:color w:val="auto"/>
        </w:rPr>
      </w:pPr>
    </w:p>
    <w:p>
      <w:pPr>
        <w:ind w:right="160" w:firstLine="318"/>
        <w:spacing w:after="0" w:line="254" w:lineRule="auto"/>
        <w:rPr>
          <w:sz w:val="20"/>
          <w:szCs w:val="20"/>
          <w:color w:val="auto"/>
        </w:rPr>
      </w:pPr>
      <w:r>
        <w:rPr>
          <w:rFonts w:ascii="Times New Roman" w:cs="Times New Roman" w:eastAsia="Times New Roman" w:hAnsi="Times New Roman"/>
          <w:sz w:val="18"/>
          <w:szCs w:val="18"/>
          <w:color w:val="231F20"/>
        </w:rPr>
        <w:t>Additionally, on December 12, 2017, Public Law No. 115-92 amended the FDCA to, among other things, allow the DoD to request, and FDA to provide assistance to expedite development and the FDA’s review of products to diagnose, prevent, treat or mitigate a specific and life-threatening risk to the U.S. military. Similar to the designations described above that FDA may grant, a priority designation by the DoD does not change the standards for approval but may expedite the development or approval process.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Orphan Drug Designation</w:t>
      </w:r>
    </w:p>
    <w:p>
      <w:pPr>
        <w:spacing w:after="0" w:line="19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231F20"/>
        </w:rPr>
        <w:t>Under the Orphan Drug Act, the FDA may grant orphan designation to a biological product intended to treat a rare disease or condition, which is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231F20"/>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including a full BLA, to market the same biological product for the same indication for seven years, except in limited circumstances, such as a showing of clinical superiority to the product with orphan exclusivity, or if the FDA finds that the holder of the orphan drug exclusivity has not shown that it can assure the availability of sufficient quantities of the orphan drug to meet the needs of patients with the disease or condition for which the drug was designated. Competitors, however, may receive approval of different products for the indication for which the orphan product has exclusivity or obtain approval for the same product but for a different indication for which the orphan product has exclusivity.</w:t>
      </w:r>
    </w:p>
    <w:p>
      <w:pPr>
        <w:spacing w:after="0" w:line="148"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231F20"/>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U.S. Regulatory Requirements</w:t>
      </w:r>
    </w:p>
    <w:p>
      <w:pPr>
        <w:spacing w:after="0" w:line="192" w:lineRule="exact"/>
        <w:rPr>
          <w:sz w:val="20"/>
          <w:szCs w:val="20"/>
          <w:color w:val="auto"/>
        </w:rPr>
      </w:pPr>
    </w:p>
    <w:p>
      <w:pPr>
        <w:ind w:right="260" w:firstLine="318"/>
        <w:spacing w:after="0" w:line="271" w:lineRule="auto"/>
        <w:rPr>
          <w:sz w:val="20"/>
          <w:szCs w:val="20"/>
          <w:color w:val="auto"/>
        </w:rPr>
      </w:pPr>
      <w:r>
        <w:rPr>
          <w:rFonts w:ascii="Times New Roman" w:cs="Times New Roman" w:eastAsia="Times New Roman" w:hAnsi="Times New Roman"/>
          <w:sz w:val="18"/>
          <w:szCs w:val="18"/>
          <w:color w:val="231F20"/>
        </w:rPr>
        <w:t>For biologics that are human cells, tissues, and cellular and tissue-based products (“HTC/Ps”), manufacturers must also comply with the FDA’s HCT/P regulations at 21 C.F.R. Part 1271. These regulations impose a variety of specialized requirements as follows:</w:t>
      </w:r>
    </w:p>
    <w:p>
      <w:pPr>
        <w:spacing w:after="0" w:line="126" w:lineRule="exact"/>
        <w:rPr>
          <w:sz w:val="20"/>
          <w:szCs w:val="20"/>
          <w:color w:val="auto"/>
        </w:rPr>
      </w:pPr>
    </w:p>
    <w:p>
      <w:pPr>
        <w:jc w:val="both"/>
        <w:ind w:right="120" w:firstLine="318"/>
        <w:spacing w:after="0" w:line="259" w:lineRule="auto"/>
        <w:rPr>
          <w:sz w:val="20"/>
          <w:szCs w:val="20"/>
          <w:color w:val="auto"/>
        </w:rPr>
      </w:pPr>
      <w:r>
        <w:rPr>
          <w:rFonts w:ascii="Times New Roman" w:cs="Times New Roman" w:eastAsia="Times New Roman" w:hAnsi="Times New Roman"/>
          <w:sz w:val="18"/>
          <w:szCs w:val="18"/>
          <w:i w:val="1"/>
          <w:iCs w:val="1"/>
          <w:color w:val="231F20"/>
        </w:rPr>
        <w:t xml:space="preserve">HCT/P registration and listing. </w:t>
      </w:r>
      <w:r>
        <w:rPr>
          <w:rFonts w:ascii="Times New Roman" w:cs="Times New Roman" w:eastAsia="Times New Roman" w:hAnsi="Times New Roman"/>
          <w:sz w:val="18"/>
          <w:szCs w:val="18"/>
          <w:color w:val="231F20"/>
        </w:rPr>
        <w:t>Every establishment that manufactures an HCT/P must register with the FDA and provide a list of every HCT/P that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establishment manufactures. The definition of manufacture is broad and includes any and all steps in the recovery, processing, storage, labeling, packaging or distribution of any human cell or tissue and the screening or testing of the cell or tissue donor.</w:t>
      </w:r>
    </w:p>
    <w:p>
      <w:pPr>
        <w:spacing w:after="0" w:line="137"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Donor eligibility. </w:t>
      </w:r>
      <w:r>
        <w:rPr>
          <w:rFonts w:ascii="Times New Roman" w:cs="Times New Roman" w:eastAsia="Times New Roman" w:hAnsi="Times New Roman"/>
          <w:sz w:val="18"/>
          <w:szCs w:val="18"/>
          <w:color w:val="231F20"/>
        </w:rPr>
        <w:t>HCT/P manufacturers must maintain procedures for testing, screening and determining the eligibility of donors of cells and tissues used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in HCT/Ps. An HCT/P may not be transferred or implanted into an individual until the donor has been determined to be eligible under these procedures. These procedures must involve, among other things, testing donors for certain communicable diseases and the use of quarantines for HCT/Ps that have not yet been shown to meet the eligibility requirements. Manufacturers must keep detailed records regarding donor eligibility determinations.</w:t>
      </w:r>
    </w:p>
    <w:p>
      <w:pPr>
        <w:spacing w:after="0" w:line="156"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i w:val="1"/>
          <w:iCs w:val="1"/>
          <w:color w:val="231F20"/>
        </w:rPr>
        <w:t xml:space="preserve">Current Good Tissue Practices. </w:t>
      </w:r>
      <w:r>
        <w:rPr>
          <w:rFonts w:ascii="Times New Roman" w:cs="Times New Roman" w:eastAsia="Times New Roman" w:hAnsi="Times New Roman"/>
          <w:sz w:val="18"/>
          <w:szCs w:val="18"/>
          <w:color w:val="231F20"/>
        </w:rPr>
        <w:t>HCT/Ps must be recovered, processed, stored, labeled, packaged and distributed in a manner that is consistent with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FDA’s cGTP regulations. Cells and tissues must also be screened and tested according to these regulations. The goal of cGTPs is to prevent the introduction, transmission or spread of communicable diseases. The FDA’s cGTPs regulations require companies to establish a comprehensive quality program and to comply with rules related to personnel, facilities and equipment used to manufacture HCT/Ps, as well as rules on how these HCT/Ps are processed, labeled and stored. Companies must also keep detailed manufacturing records and product complaint files.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 xml:space="preserve">Adverse Reaction Reports. </w:t>
      </w:r>
      <w:r>
        <w:rPr>
          <w:rFonts w:ascii="Times New Roman" w:cs="Times New Roman" w:eastAsia="Times New Roman" w:hAnsi="Times New Roman"/>
          <w:sz w:val="18"/>
          <w:szCs w:val="18"/>
          <w:color w:val="231F20"/>
        </w:rPr>
        <w:t>Manufacturers of nonreproductive HCT/Ps must investigate and report to the FDA certain adverse reactions.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 xml:space="preserve">Inspections. </w:t>
      </w:r>
      <w:r>
        <w:rPr>
          <w:rFonts w:ascii="Times New Roman" w:cs="Times New Roman" w:eastAsia="Times New Roman" w:hAnsi="Times New Roman"/>
          <w:sz w:val="18"/>
          <w:szCs w:val="18"/>
          <w:color w:val="231F20"/>
        </w:rPr>
        <w:t>Establishments that manufacture HCT/Ps must allow the FDA to inspect the establishment and company records.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Post-Approval Requirements</w:t>
      </w:r>
    </w:p>
    <w:p>
      <w:pPr>
        <w:spacing w:after="0" w:line="179"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7"/>
          <w:szCs w:val="17"/>
          <w:color w:val="231F20"/>
        </w:rPr>
        <w:t>Any biologics manufactured or distributed by us or our collaborators pursuant to FDA approvals, such as Symvess, are subject to continuing post-approval regulation by the FDA, including recordkeeping requirements and reporting of adverse experiences associated with the product, as well as any post-marketing surveillance requested by the FDA as a condition to BLA approval. As a condition of approval of our BLA for Symvess in extremity arterial injury, we are obligated to conduct post-approval studies and trials, and report the results to the FDA.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upon us and our third-party manufacturers. Failure to comply with the statutory and regulatory requirements can subject a manufacturer to possible legal or regulatory action, such as</w:t>
      </w: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231F20"/>
        </w:rPr>
        <w:t>warning letters, suspension of manufacturing, seizure of product, injunctive action or possible civil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halt our clinical trials, require us to recall our product from distribution or withdraw approval of the BLA for that product.</w:t>
      </w:r>
    </w:p>
    <w:p>
      <w:pPr>
        <w:spacing w:after="0" w:line="143"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231F20"/>
        </w:rPr>
        <w:t>The FDA closely regulates the post-approval marketing and promotion of biologics to healthcare professionals, including standards and regulations for direct-to-consumer advertising, false or misleading claims, off-label promotion, industry-sponsored scientific and educational activities, and promotional activities involving the Internet. Failure to comply with these requirements can result in adverse publicity, warning letters, corrective advertising, and potential civil and criminal penalties. Physicians may prescribe legally available biologics for uses that are not described in the product’s labelling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U.S. Healthcare Reform</w:t>
      </w:r>
    </w:p>
    <w:p>
      <w:pPr>
        <w:spacing w:after="0" w:line="192"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231F20"/>
        </w:rPr>
        <w:t>Political, economic and regulatory influences are subjecting the healthcare industry in the United States to fundamental changes. There have been, and we expect there will continue to be, legislative and regulatory proposals to significantly change the healthcare system. For example, the Patient Protection and Affordable Care Act (the “ACA”) was enacted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In December 2017, portions of the ACA dealing with the individual mandate insurance requirement were effectively repealed by the Tax Cuts and Jobs Act of 2017.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U.S. Third-Party Payor Coverage and Reimbursement</w:t>
      </w:r>
    </w:p>
    <w:p>
      <w:pPr>
        <w:spacing w:after="0" w:line="179"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The commercial success of Symvess and our product candidates, if they are approved for marketing, will depend, in part, upon the availability of coverage and reimbursement from third-party payors at the federal, state and private levels. Government payor programs, including Medicare and Medicaid, private health care insurance companies and managed-care plans have attempted to control costs by limiting coverage and the amount of reimbursement for particular procedures or treatments. The U.S. Congress and state legislatures from time to time propose and adopt initiatives aimed at cost-containment. Ongoing federal and state government initiatives directed at lowering the total cost of health care will likely continue to focus on health care reform and on the reform of the Medicare and Medicaid payment systems. Examples of how limits on coverage and reimbursement in the United States may cause reduced payments for products in the future include: changing Medicare reimbursement methodologies; fluctuating decisions on which drugs to include in formularies; allowing the federal government to negotiate drug prices for federal healthcare programs; revising drug rebate calculations under the Medicaid program; and reforming drug importation laws.</w:t>
      </w:r>
    </w:p>
    <w:p>
      <w:pPr>
        <w:spacing w:after="0" w:line="166"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Some third-party payors also require pre-approval of coverage for new or innovative devices or therapies before they will reimburse health care providers who use such therapies. While we cannot predict whether any proposed cost-containment measures will be adopted or otherwise implemented in the future, the announcement or adoption of these proposals could have a material adverse effect on our ability to obtain adequate prices for Symvess and our product candidates and operate profitably. Significant cost containment pressure and downward pricing pressures exist in the U.S. and around the world, which may negatively affect reimbursement at any 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Healthcare Laws and Regulations</w:t>
      </w:r>
    </w:p>
    <w:p>
      <w:pPr>
        <w:spacing w:after="0" w:line="17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231F20"/>
        </w:rPr>
        <w:t>We are also subject to healthcare regulation and enforcement by the federal government and the states and foreign governments in which we conduct our business. The laws that may affect our ability to operate include but are not limited to:</w:t>
      </w:r>
    </w:p>
    <w:p>
      <w:pPr>
        <w:spacing w:after="0" w:line="141" w:lineRule="exact"/>
        <w:rPr>
          <w:sz w:val="20"/>
          <w:szCs w:val="20"/>
          <w:color w:val="auto"/>
        </w:rPr>
      </w:pPr>
    </w:p>
    <w:p>
      <w:pPr>
        <w:ind w:left="640" w:right="20" w:hanging="316"/>
        <w:spacing w:after="0" w:line="280" w:lineRule="auto"/>
        <w:tabs>
          <w:tab w:leader="none" w:pos="635" w:val="left"/>
        </w:tabs>
        <w:numPr>
          <w:ilvl w:val="0"/>
          <w:numId w:val="1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200" w:lineRule="exact"/>
        <w:rPr>
          <w:sz w:val="20"/>
          <w:szCs w:val="20"/>
          <w:color w:val="auto"/>
        </w:rPr>
      </w:pP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40" w:hanging="316"/>
        <w:spacing w:after="0" w:line="271" w:lineRule="auto"/>
        <w:tabs>
          <w:tab w:leader="none" w:pos="63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28" w:lineRule="exact"/>
        <w:rPr>
          <w:rFonts w:ascii="Times New Roman" w:cs="Times New Roman" w:eastAsia="Times New Roman" w:hAnsi="Times New Roman"/>
          <w:sz w:val="18"/>
          <w:szCs w:val="18"/>
          <w:color w:val="231F20"/>
        </w:rPr>
      </w:pPr>
    </w:p>
    <w:p>
      <w:pPr>
        <w:ind w:left="640" w:right="280" w:hanging="316"/>
        <w:spacing w:after="0" w:line="271" w:lineRule="auto"/>
        <w:tabs>
          <w:tab w:leader="none" w:pos="63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criminal laws that prohibit executing a scheme to defraud any healthcare benefit program or making false statements relating to healthcare matters;</w:t>
      </w:r>
    </w:p>
    <w:p>
      <w:pPr>
        <w:spacing w:after="0" w:line="128" w:lineRule="exact"/>
        <w:rPr>
          <w:rFonts w:ascii="Times New Roman" w:cs="Times New Roman" w:eastAsia="Times New Roman" w:hAnsi="Times New Roman"/>
          <w:sz w:val="18"/>
          <w:szCs w:val="18"/>
          <w:color w:val="231F20"/>
        </w:rPr>
      </w:pPr>
    </w:p>
    <w:p>
      <w:pPr>
        <w:ind w:left="640" w:right="320" w:hanging="316"/>
        <w:spacing w:after="0" w:line="258" w:lineRule="auto"/>
        <w:tabs>
          <w:tab w:leader="none" w:pos="63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Health Insurance Portability and Accountability Act of 1996, as amended by the Health Information Technology for Economic and Clinical Health Act (collectively, “HIPAA”), which governs the conduct of certain electronic healthcare transactions and protects the security and privacy of protected health information;</w:t>
      </w:r>
    </w:p>
    <w:p>
      <w:pPr>
        <w:spacing w:after="0" w:line="153" w:lineRule="exact"/>
        <w:rPr>
          <w:rFonts w:ascii="Times New Roman" w:cs="Times New Roman" w:eastAsia="Times New Roman" w:hAnsi="Times New Roman"/>
          <w:sz w:val="18"/>
          <w:szCs w:val="18"/>
          <w:color w:val="231F20"/>
        </w:rPr>
      </w:pPr>
    </w:p>
    <w:p>
      <w:pPr>
        <w:ind w:left="640" w:right="300" w:hanging="316"/>
        <w:spacing w:after="0" w:line="271" w:lineRule="auto"/>
        <w:tabs>
          <w:tab w:leader="none" w:pos="63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Physician Payments Sunshine Act, which requires drug and device companies to annually report to CMS all payments and transfers of value provided to physicians and teaching hospitals for posting on a public website; and</w:t>
      </w:r>
    </w:p>
    <w:p>
      <w:pPr>
        <w:spacing w:after="0" w:line="128" w:lineRule="exact"/>
        <w:rPr>
          <w:rFonts w:ascii="Times New Roman" w:cs="Times New Roman" w:eastAsia="Times New Roman" w:hAnsi="Times New Roman"/>
          <w:sz w:val="18"/>
          <w:szCs w:val="18"/>
          <w:color w:val="231F20"/>
        </w:rPr>
      </w:pPr>
    </w:p>
    <w:p>
      <w:pPr>
        <w:ind w:left="640" w:right="20" w:hanging="316"/>
        <w:spacing w:after="0" w:line="271" w:lineRule="auto"/>
        <w:tabs>
          <w:tab w:leader="none" w:pos="63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state law equivalents of many of the above federal laws, including anti-kickback and false claims laws that may apply to items or services reimbursed by any third-party payor, including commercial insurers.</w:t>
      </w:r>
    </w:p>
    <w:p>
      <w:pPr>
        <w:spacing w:after="0" w:line="128"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8"/>
          <w:szCs w:val="18"/>
          <w:color w:val="231F20"/>
        </w:rPr>
        <w:t>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operate our business and impact our financial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International Regulation</w:t>
      </w:r>
    </w:p>
    <w:p>
      <w:pPr>
        <w:spacing w:after="0" w:line="179"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231F20"/>
        </w:rPr>
        <w:t>In addition to regulations in the United States, we will be subject to a variety of foreign regulations governing clinical trials and commercial sales and distribution of our future products.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EU Requirements Applicable to Medicinal Products</w:t>
      </w:r>
    </w:p>
    <w:p>
      <w:pPr>
        <w:spacing w:after="0" w:line="192" w:lineRule="exact"/>
        <w:rPr>
          <w:sz w:val="20"/>
          <w:szCs w:val="20"/>
          <w:color w:val="auto"/>
        </w:rPr>
      </w:pPr>
    </w:p>
    <w:p>
      <w:pPr>
        <w:ind w:left="320" w:right="600"/>
        <w:spacing w:after="0" w:line="445" w:lineRule="auto"/>
        <w:rPr>
          <w:sz w:val="20"/>
          <w:szCs w:val="20"/>
          <w:color w:val="auto"/>
        </w:rPr>
      </w:pPr>
      <w:r>
        <w:rPr>
          <w:rFonts w:ascii="Times New Roman" w:cs="Times New Roman" w:eastAsia="Times New Roman" w:hAnsi="Times New Roman"/>
          <w:sz w:val="18"/>
          <w:szCs w:val="18"/>
          <w:color w:val="231F20"/>
        </w:rPr>
        <w:t xml:space="preserve">In the EU, medicinal products are subject to extensive pre-and post-market regulation by regulatory authorities at both the EU and national levels. </w:t>
      </w:r>
      <w:r>
        <w:rPr>
          <w:rFonts w:ascii="Times New Roman" w:cs="Times New Roman" w:eastAsia="Times New Roman" w:hAnsi="Times New Roman"/>
          <w:sz w:val="18"/>
          <w:szCs w:val="18"/>
          <w:i w:val="1"/>
          <w:iCs w:val="1"/>
          <w:color w:val="231F20"/>
        </w:rPr>
        <w:t>Clinical Trials</w:t>
      </w:r>
    </w:p>
    <w:p>
      <w:pPr>
        <w:ind w:right="280" w:firstLine="318"/>
        <w:spacing w:after="0" w:line="301" w:lineRule="auto"/>
        <w:rPr>
          <w:sz w:val="20"/>
          <w:szCs w:val="20"/>
          <w:color w:val="auto"/>
        </w:rPr>
      </w:pPr>
      <w:r>
        <w:rPr>
          <w:rFonts w:ascii="Times New Roman" w:cs="Times New Roman" w:eastAsia="Times New Roman" w:hAnsi="Times New Roman"/>
          <w:sz w:val="17"/>
          <w:szCs w:val="17"/>
          <w:color w:val="231F20"/>
        </w:rPr>
        <w:t>Clinical trials of medicinal products in the EU must be conducted in accordance with EU (previously, Directive 2001/20/EC applied; as of January 31, 2022, Regulation EU No 536/2014 applies) and national regulations and the International Conference on Harmonization (“ICH”) guidelines on GCP.</w:t>
      </w:r>
    </w:p>
    <w:p>
      <w:pPr>
        <w:spacing w:after="0" w:line="118" w:lineRule="exact"/>
        <w:rPr>
          <w:sz w:val="20"/>
          <w:szCs w:val="20"/>
          <w:color w:val="auto"/>
        </w:rPr>
      </w:pPr>
    </w:p>
    <w:p>
      <w:pPr>
        <w:ind w:right="200" w:firstLine="318"/>
        <w:spacing w:after="0" w:line="280" w:lineRule="auto"/>
        <w:rPr>
          <w:sz w:val="20"/>
          <w:szCs w:val="20"/>
          <w:color w:val="auto"/>
        </w:rPr>
      </w:pPr>
      <w:r>
        <w:rPr>
          <w:rFonts w:ascii="Times New Roman" w:cs="Times New Roman" w:eastAsia="Times New Roman" w:hAnsi="Times New Roman"/>
          <w:sz w:val="17"/>
          <w:szCs w:val="17"/>
          <w:color w:val="231F20"/>
        </w:rPr>
        <w:t>Prior to commencing a clinical trial, the sponsor must obtain a clinical trial authorization from the competent authority, and a positive opinion from an independent ethics committee of the relevant EU Member State in which the clinical trial will be carried out. Any substantial changes to the trial protocol or other information submitted with the clinical trial applications must be notified to or approved by the relevant competent authorities and ethics committees.</w:t>
      </w:r>
    </w:p>
    <w:p>
      <w:pPr>
        <w:spacing w:after="0" w:line="123" w:lineRule="exact"/>
        <w:rPr>
          <w:sz w:val="20"/>
          <w:szCs w:val="20"/>
          <w:color w:val="auto"/>
        </w:rPr>
      </w:pPr>
    </w:p>
    <w:p>
      <w:pPr>
        <w:jc w:val="both"/>
        <w:ind w:right="160" w:firstLine="318"/>
        <w:spacing w:after="0" w:line="258" w:lineRule="auto"/>
        <w:rPr>
          <w:sz w:val="20"/>
          <w:szCs w:val="20"/>
          <w:color w:val="auto"/>
        </w:rPr>
      </w:pPr>
      <w:r>
        <w:rPr>
          <w:rFonts w:ascii="Times New Roman" w:cs="Times New Roman" w:eastAsia="Times New Roman" w:hAnsi="Times New Roman"/>
          <w:sz w:val="18"/>
          <w:szCs w:val="18"/>
          <w:color w:val="231F20"/>
        </w:rPr>
        <w:t>The sponsor of a clinical trial must register the clinical trial in advance, and certain information related to the clinical trial will be made public as part of the registration. The results of the clinical trial must be submitted to the competent authorities and, with the exception of non-pediatric Phase 1 trials, will be made public at the latest within 12 months after the end of the trial.</w:t>
      </w:r>
    </w:p>
    <w:p>
      <w:pPr>
        <w:spacing w:after="0" w:line="140" w:lineRule="exact"/>
        <w:rPr>
          <w:sz w:val="20"/>
          <w:szCs w:val="20"/>
          <w:color w:val="auto"/>
        </w:rPr>
      </w:pPr>
    </w:p>
    <w:p>
      <w:pPr>
        <w:ind w:right="440" w:firstLine="318"/>
        <w:spacing w:after="0" w:line="251" w:lineRule="auto"/>
        <w:rPr>
          <w:sz w:val="20"/>
          <w:szCs w:val="20"/>
          <w:color w:val="auto"/>
        </w:rPr>
      </w:pPr>
      <w:r>
        <w:rPr>
          <w:rFonts w:ascii="Times New Roman" w:cs="Times New Roman" w:eastAsia="Times New Roman" w:hAnsi="Times New Roman"/>
          <w:sz w:val="18"/>
          <w:szCs w:val="18"/>
          <w:color w:val="231F20"/>
        </w:rPr>
        <w:t>During the development of a medicinal product, the EMA and national medicines regulators within the EU provide the opportunity for dialogue and guidance on the development program. At the EMA level, this is usually done in the form of scientific advice, which is given by the Scientific Advice Working Party of the Committee for Medicinal Products for Human Use (“CHMP”). Advice is not legally binding with regard to any future marketing authorization application of the product concerned. To date, we have not initiated any scientific advice procedures with the EMA, but we have obtained confirmation from the EMA that our ATEVs would be eligible for the EMA’s scientific advice procedures.</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Marketing Authorizations</w:t>
      </w:r>
    </w:p>
    <w:p>
      <w:pPr>
        <w:spacing w:after="0" w:line="179" w:lineRule="exact"/>
        <w:rPr>
          <w:sz w:val="20"/>
          <w:szCs w:val="20"/>
          <w:color w:val="auto"/>
        </w:rPr>
      </w:pPr>
    </w:p>
    <w:p>
      <w:pPr>
        <w:ind w:right="120" w:firstLine="318"/>
        <w:spacing w:after="0" w:line="271" w:lineRule="auto"/>
        <w:rPr>
          <w:sz w:val="20"/>
          <w:szCs w:val="20"/>
          <w:color w:val="auto"/>
        </w:rPr>
      </w:pPr>
      <w:r>
        <w:rPr>
          <w:rFonts w:ascii="Times New Roman" w:cs="Times New Roman" w:eastAsia="Times New Roman" w:hAnsi="Times New Roman"/>
          <w:sz w:val="18"/>
          <w:szCs w:val="18"/>
          <w:color w:val="231F20"/>
        </w:rPr>
        <w:t>After completion of the required clinical testing, we must obtain a marketing authorization before we may place a medicinal product on the market in the EU. There are various application procedures available, depending on the type of product involved.</w:t>
      </w:r>
    </w:p>
    <w:p>
      <w:pPr>
        <w:spacing w:after="0" w:line="12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All application procedures require an application in the common technical document format, which includes the submission of detailed information about the manufacturing and quality of the product, and non-clinical and clinical trial information. There is an increasing trend in the EU towards greater transparency and, while the manufacturing or quality information is currently generally protected as confidential information, the EMA and national regulatory authorities are now liable to disclose much of the non-clinical and clinical information in marketing authorization dossiers, including the full clinical study reports, proactively or in response to freedom of information requests after the marketing authorization has been granted.</w:t>
      </w:r>
    </w:p>
    <w:p>
      <w:pPr>
        <w:spacing w:after="0" w:line="162"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231F20"/>
        </w:rPr>
        <w:t>The centralized procedure gives rise to marketing authorizations that are valid throughout the EU. Applicants file marketing authorization applications with the EMA, where they are reviewed by a relevant scientific committee, in most cases the CHMP (although other specialist committees may also be involved; for example, the Committee for Advanced Therapies will also be involved in the review of advanced therapy medicinal products (“ATMP”), and ATEVs could potentially be classified as an ATMP). The EMA forwards CHMP opinions to the European Commission, which uses them as the basis for deciding whether to grant a marketing authorization. The centralized procedure is compulsory for medicinal products that (1) are derived from biotechnology processes, (2) contain a new active substance indicated for the treatment of certain diseases, such as HIV/AIDS, cancer, diabetes, neurodegenerative disorders, viral diseases or autoimmune diseases and other immune dysfunctions, (3) are orphan medicinal products or (4) are advanced therapy medicinal products. For medicines that do not fall within these categories, an applicant may voluntarily submit an application for a centralized marketing authorization to the EMA, as long as the CHMP agrees that (i) the medicine concerned contains a new active substance, (ii) the medicine is a significant therapeutic, scientific, or technical innovation, or if its authorization under the centralized procedure would be in the interest of public health.</w:t>
      </w:r>
    </w:p>
    <w:p>
      <w:pPr>
        <w:spacing w:after="0" w:line="151"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For those medicinal products for which the centralized procedure is not available, the applicant must submit marketing authorization applications to the national medicines regulators through one of three procedures: (1) a national procedure, which results in a marketing authorization in a single EU member state; (2) the decentralized procedure, in which applications are submitted simultaneously in two or more EU member states; and (3) the mutual recognition procedure, in which the EU member states are required to grant an authorization recognizing an existing authorization in another EU member state, unless they identify a serious risk to public health.</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Data Exclusivity</w:t>
      </w:r>
    </w:p>
    <w:p>
      <w:pPr>
        <w:spacing w:after="0" w:line="192"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231F20"/>
        </w:rPr>
        <w:t>Marketing authorization applications for generic medicinal products do not need to include the results of preclinical and clinical trials, but instead can refer to the data included in the marketing authorization of a reference product for which regulatory data exclusivity has expired. If a marketing authorization is granted for a medicinal product containing a new active substance or to a different marketing authorization holder that has carried out a complete set of preclinical tests and clinical trials, that product benefits from eight years of data exclusivity, during which generic marketing authorization applications referring to the data of that product may not be accepted by the regulatory authorities, and a further two years of market exclusivity, during which such generic products may not be placed on the market. The two-year period may be extended to three years if during the first eight years a new therapeutic indication with significant clinical benefit over existing therapies is approved.</w:t>
      </w:r>
    </w:p>
    <w:p>
      <w:pPr>
        <w:spacing w:after="0" w:line="151"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8"/>
          <w:szCs w:val="18"/>
          <w:color w:val="231F20"/>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while a full set of preclinical tests and trials are not necessary, the results of appropriate preclinical or clinical trials must be provided, and guidelines from the EMA detail the type of quantity of supplementary data to be provided for different types of biological product.</w:t>
      </w:r>
    </w:p>
    <w:p>
      <w:pPr>
        <w:spacing w:after="0" w:line="200" w:lineRule="exact"/>
        <w:rPr>
          <w:sz w:val="20"/>
          <w:szCs w:val="20"/>
          <w:color w:val="auto"/>
        </w:rPr>
      </w:pPr>
    </w:p>
    <w:p>
      <w:pPr>
        <w:spacing w:after="0" w:line="3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Pediatric Development</w:t>
      </w:r>
    </w:p>
    <w:p>
      <w:pPr>
        <w:spacing w:after="0" w:line="179" w:lineRule="exact"/>
        <w:rPr>
          <w:sz w:val="20"/>
          <w:szCs w:val="20"/>
          <w:color w:val="auto"/>
        </w:rPr>
      </w:pPr>
    </w:p>
    <w:p>
      <w:pPr>
        <w:ind w:right="80" w:firstLine="318"/>
        <w:spacing w:after="0" w:line="273" w:lineRule="auto"/>
        <w:rPr>
          <w:sz w:val="20"/>
          <w:szCs w:val="20"/>
          <w:color w:val="auto"/>
        </w:rPr>
      </w:pPr>
      <w:r>
        <w:rPr>
          <w:rFonts w:ascii="Times New Roman" w:cs="Times New Roman" w:eastAsia="Times New Roman" w:hAnsi="Times New Roman"/>
          <w:sz w:val="17"/>
          <w:szCs w:val="17"/>
          <w:color w:val="231F20"/>
        </w:rPr>
        <w:t>In the EU, companies developing a new medicinal product must agree to a Pediatric Investigation Plan (“PIP”) with the EMA and must conduct pediatric clinical trials in accordance with that PIP. The marketing authorization application for the product must ordinarily include the results of pediatric clinical trials conducted in accordance with the PIP. It is possible to obtain a deferral, in which case the pediatric clinical trials must be completed at a later date, or a complete waiver from the obligation to conduct pediatric clinical trials (e.g., because the relevant disease or condition occurs only in adults).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Post-Approval Controls</w:t>
      </w:r>
    </w:p>
    <w:p>
      <w:pPr>
        <w:spacing w:after="0" w:line="192"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231F20"/>
        </w:rPr>
        <w:t>The holder of a marketing authorization is subject to various post-approval controls, such as obligations to maintain a pharmacovigilance system and report adverse reactions, and requirements relating to promotional activities, including a prohibition on the promotion of prescription medicines to the general public. Manufacturers/importers and distributors of medicinal products must obtain authorizations from the competent national authorities and are subject to periodic inspections for compliance with cGMPs and current good distribution practices (“cGDPs”), respectively. The regulatory authorities may also impose specific obligations as a condition of the marketing authorization, such as additional safety monitoring or the conduct of additional clinical trials or post-authorization safety studies.</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EU Requirements Applicable to Medical Devices</w:t>
      </w:r>
    </w:p>
    <w:p>
      <w:pPr>
        <w:spacing w:after="0" w:line="179" w:lineRule="exact"/>
        <w:rPr>
          <w:sz w:val="20"/>
          <w:szCs w:val="20"/>
          <w:color w:val="auto"/>
        </w:rPr>
      </w:pPr>
    </w:p>
    <w:p>
      <w:pPr>
        <w:ind w:right="260" w:firstLine="318"/>
        <w:spacing w:after="0" w:line="254" w:lineRule="auto"/>
        <w:rPr>
          <w:sz w:val="20"/>
          <w:szCs w:val="20"/>
          <w:color w:val="auto"/>
        </w:rPr>
      </w:pPr>
      <w:r>
        <w:rPr>
          <w:rFonts w:ascii="Times New Roman" w:cs="Times New Roman" w:eastAsia="Times New Roman" w:hAnsi="Times New Roman"/>
          <w:sz w:val="18"/>
          <w:szCs w:val="18"/>
          <w:color w:val="231F20"/>
        </w:rPr>
        <w:t>Under the previous medical devices directive, Directive 93/42/EEC, our ATEVs were not classified as medical devices in the EU because, with limited exceptions, products incorporating or derived from tissues or cells of human origin are expressly excluded from the scope of the EU medical devices rules under Directive 93/42. However, as of May 26, 2021, Regulation (EU) 2017/745 applies, and this will bring us within the scope of the EU medical device rules products containing or derived from tissues or cells of human origin that are non-viable or are rendered non-viable.</w:t>
      </w:r>
    </w:p>
    <w:p>
      <w:pPr>
        <w:spacing w:after="0" w:line="156"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8"/>
          <w:szCs w:val="18"/>
          <w:color w:val="231F20"/>
        </w:rPr>
        <w:t>Medical devices are generally governed by Regulation (EU) 2017/745 on Medical Devices that directly applies in all EU Member States and harmonizes the conditions for placing medical devices on the EU market. This Regulation, however, does not regulate certain important marketing aspects, such as pricing and reimbursement, which remain governed by national law. Additionally, certain areas, such as advertising, may be governed by additional national requirements.</w:t>
      </w:r>
    </w:p>
    <w:p>
      <w:pPr>
        <w:spacing w:after="0" w:line="143" w:lineRule="exact"/>
        <w:rPr>
          <w:sz w:val="20"/>
          <w:szCs w:val="20"/>
          <w:color w:val="auto"/>
        </w:rPr>
      </w:pPr>
    </w:p>
    <w:p>
      <w:pPr>
        <w:ind w:right="340" w:firstLine="318"/>
        <w:spacing w:after="0" w:line="258" w:lineRule="auto"/>
        <w:rPr>
          <w:sz w:val="20"/>
          <w:szCs w:val="20"/>
          <w:color w:val="auto"/>
        </w:rPr>
      </w:pPr>
      <w:r>
        <w:rPr>
          <w:rFonts w:ascii="Times New Roman" w:cs="Times New Roman" w:eastAsia="Times New Roman" w:hAnsi="Times New Roman"/>
          <w:sz w:val="18"/>
          <w:szCs w:val="18"/>
          <w:color w:val="231F20"/>
        </w:rPr>
        <w:t>A medical device may be placed on the market within the EU if it conforms to certain “general product safety requirements” or “GSPRs.” These are general in nature and broad in scope. A fundamental GSPR, for example, is that a device must be designed and manufactured in such a way that it will not compromise the clinical condition or safety of patients, or the safety and health of users or other persons.</w:t>
      </w:r>
    </w:p>
    <w:p>
      <w:pPr>
        <w:spacing w:after="0" w:line="140"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231F20"/>
        </w:rPr>
        <w:t>The manufacturer is obliged to demonstrate that the device conforms to the relevant GSPRs through a conformity assessment procedure. Once the appropriate conformity assessment procedure for a medical device has been completed, the manufacturer must draw up a written declaration of conformity and affix the CE mark to the device. The device can then be marketed throughout the EU.</w:t>
      </w:r>
    </w:p>
    <w:p>
      <w:pPr>
        <w:spacing w:after="0" w:line="153" w:lineRule="exact"/>
        <w:rPr>
          <w:sz w:val="20"/>
          <w:szCs w:val="20"/>
          <w:color w:val="auto"/>
        </w:rPr>
      </w:pPr>
    </w:p>
    <w:p>
      <w:pPr>
        <w:ind w:right="180" w:firstLine="318"/>
        <w:spacing w:after="0" w:line="254" w:lineRule="auto"/>
        <w:rPr>
          <w:sz w:val="20"/>
          <w:szCs w:val="20"/>
          <w:color w:val="auto"/>
        </w:rPr>
      </w:pPr>
      <w:r>
        <w:rPr>
          <w:rFonts w:ascii="Times New Roman" w:cs="Times New Roman" w:eastAsia="Times New Roman" w:hAnsi="Times New Roman"/>
          <w:sz w:val="18"/>
          <w:szCs w:val="18"/>
          <w:color w:val="231F20"/>
        </w:rPr>
        <w:t>The nature of the conformity assessment depends upon the classification of the device. The classification rules are mainly based on three criteria: the length of time the device is in contact with the body, the degree of invasiveness, and the extent to which the device affects the anatomy. As a general rule, Class I (low risk) devices are those that do not enter or interact with the body; Class IIa and IIb (medium risk) devices are invasive or implantable or interact with the body; and Class III (high risk) devices are those that affect the vital organs.</w:t>
      </w:r>
    </w:p>
    <w:p>
      <w:pPr>
        <w:spacing w:after="0" w:line="143"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231F20"/>
        </w:rPr>
        <w:t>Conformity assessment procedures for all but the lowest risk classification of device involve a notified body, which are non-governmental, private entities licensed to provide independent certification of certain classes of medical device. EU regulatory bodies are not involved in the premarket approval of medical devices, with only very limited exceptions (such as medical devices that incorporate a medicinal product as an ancillary substance, in which case these regulatory bodies review the medicinal product). The onus of ensuring a device is safe enough to be placed on the market is ultimately the responsibility of the manufacturer and the notified body.</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231F20"/>
        </w:rPr>
        <w:t>As part of the conformity assessment procedure, the manufacture will need to conduct a clinical evaluation of the device. This clinical evaluation may consist of an analysis of the scientific literature relating to similar devices, new clinical investigations of the device, or a combination of the two. For Class III and implantable devices, the conduct of clinical investigations is mandatory (with limited exceptions). If a manufacturer wishes to conduct a clinical investigation in the EU, the manufacturer must notify the competent national regulatory authorities in advance and obtain ethics committee approval of the study.</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EU Requirements Applicable to Human Cells and Tissues</w:t>
      </w:r>
    </w:p>
    <w:p>
      <w:pPr>
        <w:spacing w:after="0" w:line="179"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231F20"/>
        </w:rPr>
        <w:t>EU rules, notably Directive 2004/23/EC and other implementing directives, govern the donation, procurement, testing and storage of human cells and tissues intended for human application, whether or not they are medicinal products. These rules also cover the donation, testing, processing, preservation, storage and distribution of human cell and tissues that are not medicinal products. Establishments that conduct such activities must be licensed and are subject to inspection by regulatory authorities. Such establishments must implement appropriate quality systems and maintain appropriate records to ensure that cells and tissues can be traced from the donor to the recipient and vice versa. There are also requirements to report SAEs and reactions linked to the quality and safety of cells and tissues. More detailed rules may exist at the national level.</w:t>
      </w:r>
    </w:p>
    <w:p>
      <w:pPr>
        <w:spacing w:after="0" w:line="162" w:lineRule="exact"/>
        <w:rPr>
          <w:sz w:val="20"/>
          <w:szCs w:val="20"/>
          <w:color w:val="auto"/>
        </w:rPr>
      </w:pPr>
    </w:p>
    <w:p>
      <w:pPr>
        <w:ind w:right="180" w:firstLine="318"/>
        <w:spacing w:after="0" w:line="271" w:lineRule="auto"/>
        <w:rPr>
          <w:sz w:val="20"/>
          <w:szCs w:val="20"/>
          <w:color w:val="auto"/>
        </w:rPr>
      </w:pPr>
      <w:r>
        <w:rPr>
          <w:rFonts w:ascii="Times New Roman" w:cs="Times New Roman" w:eastAsia="Times New Roman" w:hAnsi="Times New Roman"/>
          <w:sz w:val="18"/>
          <w:szCs w:val="18"/>
          <w:color w:val="231F20"/>
        </w:rPr>
        <w:t>In addition to regulations in Europe and the United States, we will be subject to a variety of foreign regulations governing clinical trials and commercial distribution of our future products.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Facilities</w:t>
      </w:r>
    </w:p>
    <w:p>
      <w:pPr>
        <w:spacing w:after="0" w:line="181" w:lineRule="exact"/>
        <w:rPr>
          <w:sz w:val="20"/>
          <w:szCs w:val="20"/>
          <w:color w:val="auto"/>
        </w:rPr>
      </w:pPr>
    </w:p>
    <w:p>
      <w:pPr>
        <w:ind w:right="40" w:firstLine="318"/>
        <w:spacing w:after="0" w:line="280" w:lineRule="auto"/>
        <w:rPr>
          <w:sz w:val="20"/>
          <w:szCs w:val="20"/>
          <w:color w:val="auto"/>
        </w:rPr>
      </w:pPr>
      <w:r>
        <w:rPr>
          <w:rFonts w:ascii="Times New Roman" w:cs="Times New Roman" w:eastAsia="Times New Roman" w:hAnsi="Times New Roman"/>
          <w:sz w:val="17"/>
          <w:szCs w:val="17"/>
          <w:color w:val="231F20"/>
        </w:rPr>
        <w:t>Our corporate headquarters, manufacturing, and research and development facilities are located in Durham, North Carolina where we lease approximately 83,000 square feet of space. This space includes approximately 55,000 square feet for production and distribution operations including manufacturing, bioprocessing, quality control, mechanical space and inventory. The remainder of the facility consists of offices, laboratories, and common spaces.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Employees and Human Capital Management</w:t>
      </w:r>
    </w:p>
    <w:p>
      <w:pPr>
        <w:spacing w:after="0" w:line="181"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231F20"/>
        </w:rPr>
        <w:t>As of December 31, 2024, we had 220 employees, of which 218 were full-time. None of our employees are represented by a collective bargaining agreement, and we have never experienced any work stoppage. We believe we have good relations with our employees.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Additional Information</w:t>
      </w:r>
    </w:p>
    <w:p>
      <w:pPr>
        <w:spacing w:after="0" w:line="194" w:lineRule="exact"/>
        <w:rPr>
          <w:sz w:val="20"/>
          <w:szCs w:val="20"/>
          <w:color w:val="auto"/>
        </w:rPr>
      </w:pPr>
    </w:p>
    <w:p>
      <w:pPr>
        <w:ind w:right="100" w:firstLine="318"/>
        <w:spacing w:after="0" w:line="254" w:lineRule="auto"/>
        <w:rPr>
          <w:sz w:val="20"/>
          <w:szCs w:val="20"/>
          <w:color w:val="auto"/>
        </w:rPr>
      </w:pPr>
      <w:r>
        <w:rPr>
          <w:rFonts w:ascii="Times New Roman" w:cs="Times New Roman" w:eastAsia="Times New Roman" w:hAnsi="Times New Roman"/>
          <w:sz w:val="18"/>
          <w:szCs w:val="18"/>
          <w:color w:val="231F20"/>
        </w:rPr>
        <w:t xml:space="preserve">We </w:t>
      </w:r>
      <w:r>
        <w:rPr>
          <w:rFonts w:ascii="Times New Roman" w:cs="Times New Roman" w:eastAsia="Times New Roman" w:hAnsi="Times New Roman"/>
          <w:sz w:val="18"/>
          <w:szCs w:val="18"/>
          <w:color w:val="000000"/>
        </w:rPr>
        <w:t>were incorporated in Delaware on July 1, 2020, under the name Alpha Healthcare Acquisition Corp. in order to effectuate a merger, capital 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exchange, asset acquisition, stock purchase, reorganization or similar business combination with one or more businesses or entities. AHAC completed its initial public offering on September 22, 2020. On August 26, 2021, AHAC and Legacy Humacyte consummated the transactions contemplated by the Merger Agreement. In connection with the closing of the Merger, we changed our name to Humacyte, Inc.</w:t>
      </w:r>
    </w:p>
    <w:p>
      <w:pPr>
        <w:spacing w:after="0" w:line="143" w:lineRule="exact"/>
        <w:rPr>
          <w:sz w:val="20"/>
          <w:szCs w:val="20"/>
          <w:color w:val="auto"/>
        </w:rPr>
      </w:pPr>
    </w:p>
    <w:p>
      <w:pPr>
        <w:ind w:right="320" w:firstLine="318"/>
        <w:spacing w:after="0" w:line="271" w:lineRule="auto"/>
        <w:rPr>
          <w:sz w:val="20"/>
          <w:szCs w:val="20"/>
          <w:color w:val="auto"/>
        </w:rPr>
      </w:pPr>
      <w:r>
        <w:rPr>
          <w:rFonts w:ascii="Times New Roman" w:cs="Times New Roman" w:eastAsia="Times New Roman" w:hAnsi="Times New Roman"/>
          <w:sz w:val="18"/>
          <w:szCs w:val="18"/>
          <w:color w:val="231F20"/>
        </w:rPr>
        <w:t xml:space="preserve">Our </w:t>
      </w:r>
      <w:r>
        <w:rPr>
          <w:rFonts w:ascii="Times New Roman" w:cs="Times New Roman" w:eastAsia="Times New Roman" w:hAnsi="Times New Roman"/>
          <w:sz w:val="18"/>
          <w:szCs w:val="18"/>
          <w:color w:val="000000"/>
        </w:rPr>
        <w:t>principal executive office is located at 2525 East North Carolina Highway 54, Durham, North Carolina 27713, and our telephone number is (919)</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313-9633.</w:t>
      </w:r>
    </w:p>
    <w:p>
      <w:pPr>
        <w:spacing w:after="0" w:line="128"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 xml:space="preserve">Our </w:t>
      </w:r>
      <w:r>
        <w:rPr>
          <w:rFonts w:ascii="Times New Roman" w:cs="Times New Roman" w:eastAsia="Times New Roman" w:hAnsi="Times New Roman"/>
          <w:sz w:val="18"/>
          <w:szCs w:val="18"/>
          <w:color w:val="000000"/>
        </w:rPr>
        <w:t>website address is www.humacyte.com and our investor relations website is located at https://investors.humacyte.com. The information posted on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website is not incorporated into this Annual Report on Form 10-K. The U.S. SEC maintains an Internet site that contains reports, proxy and information statements, and other information regarding issuers that file electronically with the SEC at http://www.sec.gov. Our Annual Report on Form 10-K, Quarterly Reports on Form 10-Q, Current Reports on Form 8-K and amendments to reports filed or furnished pursuant to Sections 13(a) and 15(d) of the Exchange Act are also available free of charge on our investor relations website as soon as reasonably practicable after we electronically file such material with, or furnish it to, the SEC.</w:t>
      </w:r>
    </w:p>
    <w:p>
      <w:pPr>
        <w:spacing w:after="0" w:line="162" w:lineRule="exact"/>
        <w:rPr>
          <w:sz w:val="20"/>
          <w:szCs w:val="20"/>
          <w:color w:val="auto"/>
        </w:rPr>
      </w:pPr>
    </w:p>
    <w:p>
      <w:pPr>
        <w:ind w:right="160" w:firstLine="318"/>
        <w:spacing w:after="0" w:line="258" w:lineRule="auto"/>
        <w:rPr>
          <w:sz w:val="20"/>
          <w:szCs w:val="20"/>
          <w:color w:val="auto"/>
        </w:rPr>
      </w:pPr>
      <w:r>
        <w:rPr>
          <w:rFonts w:ascii="Times New Roman" w:cs="Times New Roman" w:eastAsia="Times New Roman" w:hAnsi="Times New Roman"/>
          <w:sz w:val="18"/>
          <w:szCs w:val="18"/>
          <w:color w:val="231F20"/>
        </w:rPr>
        <w:t xml:space="preserve">We </w:t>
      </w:r>
      <w:r>
        <w:rPr>
          <w:rFonts w:ascii="Times New Roman" w:cs="Times New Roman" w:eastAsia="Times New Roman" w:hAnsi="Times New Roman"/>
          <w:sz w:val="18"/>
          <w:szCs w:val="18"/>
          <w:color w:val="000000"/>
        </w:rPr>
        <w:t>provide notifications of news or announcements regarding our financial performance, including SEC filings, investor events, and press releases, 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part of our investor relations website. The contents of these websites are not intended to be incorporated by reference into this report or in any other report or document we file.</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color w:val="231F20"/>
        </w:rPr>
        <w:t>Risk Factors</w:t>
      </w:r>
    </w:p>
    <w:p>
      <w:pPr>
        <w:spacing w:after="0" w:line="177"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i w:val="1"/>
          <w:iCs w:val="1"/>
          <w:color w:val="231F20"/>
        </w:rPr>
        <w:t>Our operations and financial results are subject to a high degree of risk. These risks include, but are not limited to, those described below, each of which may have a material and adverse effect on our business, prospects, operating results, financial condition and the trading price of our securities. You should carefully consider the risks described below, together with all of the other information included in this Annual Report on Form 10-K. The risks and uncertainties described below are not the only ones we face. Additional risks and uncertainties not presently known to us or that we currently believe to be immaterial may also adversely affect our business. In that event, the trading price of our securities could decline and you could lose all or part of your investment.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Summary of Risk Factors</w:t>
      </w:r>
    </w:p>
    <w:p>
      <w:pPr>
        <w:spacing w:after="0" w:line="192" w:lineRule="exact"/>
        <w:rPr>
          <w:sz w:val="20"/>
          <w:szCs w:val="20"/>
          <w:color w:val="auto"/>
        </w:rPr>
      </w:pPr>
    </w:p>
    <w:p>
      <w:pPr>
        <w:ind w:right="340" w:firstLine="318"/>
        <w:spacing w:after="0" w:line="271" w:lineRule="auto"/>
        <w:rPr>
          <w:sz w:val="20"/>
          <w:szCs w:val="20"/>
          <w:color w:val="auto"/>
        </w:rPr>
      </w:pPr>
      <w:r>
        <w:rPr>
          <w:rFonts w:ascii="Times New Roman" w:cs="Times New Roman" w:eastAsia="Times New Roman" w:hAnsi="Times New Roman"/>
          <w:sz w:val="18"/>
          <w:szCs w:val="18"/>
          <w:color w:val="231F20"/>
        </w:rPr>
        <w:t>The following is a summary of the principal risks to which our business, operations and financial performance are subject. Each of these risks is more fully described in the individual risk factors immediately following this summary.</w:t>
      </w:r>
    </w:p>
    <w:p>
      <w:pPr>
        <w:spacing w:after="0" w:line="128" w:lineRule="exact"/>
        <w:rPr>
          <w:sz w:val="20"/>
          <w:szCs w:val="20"/>
          <w:color w:val="auto"/>
        </w:rPr>
      </w:pPr>
    </w:p>
    <w:p>
      <w:pPr>
        <w:jc w:val="both"/>
        <w:ind w:left="640" w:right="20" w:hanging="316"/>
        <w:spacing w:after="0" w:line="258" w:lineRule="auto"/>
        <w:tabs>
          <w:tab w:leader="none" w:pos="63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never generated product revenue and have incurred significant losses to date. We expect to continue to incur losses for the foreseeable future and may never generate product revenue or be profitable. We will need to raise additional capital to finance our operations, which we may not be able to do on acceptable terms or at all.</w:t>
      </w:r>
    </w:p>
    <w:p>
      <w:pPr>
        <w:spacing w:after="0" w:line="139" w:lineRule="exact"/>
        <w:rPr>
          <w:rFonts w:ascii="Times New Roman" w:cs="Times New Roman" w:eastAsia="Times New Roman" w:hAnsi="Times New Roman"/>
          <w:sz w:val="18"/>
          <w:szCs w:val="18"/>
          <w:color w:val="231F20"/>
        </w:rPr>
      </w:pPr>
    </w:p>
    <w:p>
      <w:pPr>
        <w:ind w:left="640" w:right="460" w:hanging="316"/>
        <w:spacing w:after="0" w:line="258" w:lineRule="auto"/>
        <w:tabs>
          <w:tab w:leader="none" w:pos="63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near-term prospects are dependent on the success of Symvess, our sole FDA-approved product, and if we are unable to successfully commercialize it in the vascular trauma indication and obtain regulatory approval for Symvess in additional indications, our business, operating results and financial condition will be materially harmed.</w:t>
      </w:r>
    </w:p>
    <w:p>
      <w:pPr>
        <w:spacing w:after="0" w:line="153" w:lineRule="exact"/>
        <w:rPr>
          <w:rFonts w:ascii="Times New Roman" w:cs="Times New Roman" w:eastAsia="Times New Roman" w:hAnsi="Times New Roman"/>
          <w:sz w:val="18"/>
          <w:szCs w:val="18"/>
          <w:color w:val="231F20"/>
        </w:rPr>
      </w:pPr>
    </w:p>
    <w:p>
      <w:pPr>
        <w:ind w:left="640" w:right="80" w:hanging="316"/>
        <w:spacing w:after="0" w:line="271" w:lineRule="auto"/>
        <w:tabs>
          <w:tab w:leader="none" w:pos="63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Symvess and our product candidates, if approved, may fail to achieve the degree of market acceptance by physicians, patients, third-party payors and others in the medical community necessary for commercial success.</w:t>
      </w:r>
    </w:p>
    <w:p>
      <w:pPr>
        <w:spacing w:after="0" w:line="128" w:lineRule="exact"/>
        <w:rPr>
          <w:rFonts w:ascii="Times New Roman" w:cs="Times New Roman" w:eastAsia="Times New Roman" w:hAnsi="Times New Roman"/>
          <w:sz w:val="18"/>
          <w:szCs w:val="18"/>
          <w:color w:val="231F20"/>
        </w:rPr>
      </w:pPr>
    </w:p>
    <w:p>
      <w:pPr>
        <w:ind w:left="640" w:hanging="316"/>
        <w:spacing w:after="0" w:line="258" w:lineRule="auto"/>
        <w:tabs>
          <w:tab w:leader="none" w:pos="63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face and will continue to face substantial competition, which may result in others discovering, developing or commercializing competing products before or more successfully than we do, which may adversely affect our ability to successfully market or commercialize Symvess or our product candidates.</w:t>
      </w:r>
    </w:p>
    <w:p>
      <w:pPr>
        <w:spacing w:after="0" w:line="139" w:lineRule="exact"/>
        <w:rPr>
          <w:rFonts w:ascii="Times New Roman" w:cs="Times New Roman" w:eastAsia="Times New Roman" w:hAnsi="Times New Roman"/>
          <w:sz w:val="18"/>
          <w:szCs w:val="18"/>
          <w:color w:val="231F20"/>
        </w:rPr>
      </w:pPr>
    </w:p>
    <w:p>
      <w:pPr>
        <w:jc w:val="both"/>
        <w:ind w:left="640" w:right="100" w:hanging="316"/>
        <w:spacing w:after="0" w:line="258"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our clinical trials fail to demonstrate safety and efficacy to the satisfaction of the FDA or similar regulatory authorities outside the United States or do not otherwise produce favorable results, we may incur significant additional costs or experience significant delays in completing, or ultimately be unable to complete, the development and commercialization of our product candidates.</w:t>
      </w:r>
    </w:p>
    <w:p>
      <w:pPr>
        <w:spacing w:after="0" w:line="153" w:lineRule="exact"/>
        <w:rPr>
          <w:rFonts w:ascii="Times New Roman" w:cs="Times New Roman" w:eastAsia="Times New Roman" w:hAnsi="Times New Roman"/>
          <w:sz w:val="18"/>
          <w:szCs w:val="18"/>
          <w:color w:val="auto"/>
        </w:rPr>
      </w:pPr>
    </w:p>
    <w:p>
      <w:pPr>
        <w:ind w:left="640" w:right="200" w:hanging="316"/>
        <w:spacing w:after="0" w:line="271" w:lineRule="auto"/>
        <w:tabs>
          <w:tab w:leader="none" w:pos="63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experience delays or difficulties in the enrollment of patients in our clinical trials, which may delay or prevent additional clinical trials and our receipt of necessary marketing approvals.</w:t>
      </w:r>
    </w:p>
    <w:p>
      <w:pPr>
        <w:spacing w:after="0" w:line="128" w:lineRule="exact"/>
        <w:rPr>
          <w:rFonts w:ascii="Times New Roman" w:cs="Times New Roman" w:eastAsia="Times New Roman" w:hAnsi="Times New Roman"/>
          <w:sz w:val="18"/>
          <w:szCs w:val="18"/>
          <w:color w:val="231F20"/>
        </w:rPr>
      </w:pPr>
    </w:p>
    <w:p>
      <w:pPr>
        <w:ind w:left="640" w:right="180" w:hanging="316"/>
        <w:spacing w:after="0" w:line="271" w:lineRule="auto"/>
        <w:tabs>
          <w:tab w:leader="none" w:pos="63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Lack of experience by investigators and surgeons with our ATEVs can lead to incorrect implantation or follow-up procedures which could harm the results of our clinical trials and market acceptance of Symvess and our product candidates, if approved.</w:t>
      </w:r>
    </w:p>
    <w:p>
      <w:pPr>
        <w:spacing w:after="0" w:line="128"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not be successful in our efforts to use our proprietary scientific technology platform to build a pipeline of additional product candidates.</w:t>
      </w:r>
    </w:p>
    <w:p>
      <w:pPr>
        <w:spacing w:after="0" w:line="190" w:lineRule="exact"/>
        <w:rPr>
          <w:rFonts w:ascii="Times New Roman" w:cs="Times New Roman" w:eastAsia="Times New Roman" w:hAnsi="Times New Roman"/>
          <w:sz w:val="18"/>
          <w:szCs w:val="18"/>
          <w:color w:val="231F20"/>
        </w:rPr>
      </w:pPr>
    </w:p>
    <w:p>
      <w:pPr>
        <w:ind w:left="640" w:right="380" w:hanging="316"/>
        <w:spacing w:after="0" w:line="280" w:lineRule="auto"/>
        <w:tabs>
          <w:tab w:leader="none" w:pos="635" w:val="left"/>
        </w:tabs>
        <w:numPr>
          <w:ilvl w:val="0"/>
          <w:numId w:val="1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sizes of the market opportunities for Symvess and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123" w:lineRule="exact"/>
        <w:rPr>
          <w:rFonts w:ascii="Times New Roman" w:cs="Times New Roman" w:eastAsia="Times New Roman" w:hAnsi="Times New Roman"/>
          <w:sz w:val="17"/>
          <w:szCs w:val="17"/>
          <w:color w:val="231F20"/>
        </w:rPr>
      </w:pPr>
    </w:p>
    <w:p>
      <w:pPr>
        <w:ind w:left="640" w:right="280" w:hanging="316"/>
        <w:spacing w:after="0" w:line="271" w:lineRule="auto"/>
        <w:tabs>
          <w:tab w:leader="none" w:pos="63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distribution agreement with Fresenius Medical Care imposes obligations on us that may restrict our ability to operate our business in ways we believe to be in our long-term best interest.</w:t>
      </w:r>
    </w:p>
    <w:p>
      <w:pPr>
        <w:spacing w:after="0" w:line="128" w:lineRule="exact"/>
        <w:rPr>
          <w:rFonts w:ascii="Times New Roman" w:cs="Times New Roman" w:eastAsia="Times New Roman" w:hAnsi="Times New Roman"/>
          <w:sz w:val="18"/>
          <w:szCs w:val="18"/>
          <w:color w:val="231F20"/>
        </w:rPr>
      </w:pPr>
    </w:p>
    <w:p>
      <w:pPr>
        <w:ind w:left="640" w:right="140" w:hanging="316"/>
        <w:spacing w:after="0" w:line="258" w:lineRule="auto"/>
        <w:tabs>
          <w:tab w:leader="none" w:pos="63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receive approval for a product candidate that is not subject to our distribution agreement with Fresenius Medical Care, and we are unable to establish our own marketing, sales and distribution capabilities or are unable to enter into agreements with third parties to do so, we may not be able to generate product revenue and will have to alter our development and commercialization plans.</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right="40" w:hanging="316"/>
        <w:spacing w:after="0" w:line="258" w:lineRule="auto"/>
        <w:tabs>
          <w:tab w:leader="none" w:pos="63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manufacture of Symvess and our product candidates is complex, we have limited experience manufacturing commercial product, and we have in the past and may in the future encounter difficulties in production. If we or any third-party manufacturer encounter such difficulties, our ability to supply Symvess for commercial sale or Symvess and our product candidates for clinical trials could be delayed or halted entirely.</w:t>
      </w:r>
    </w:p>
    <w:p>
      <w:pPr>
        <w:spacing w:after="0" w:line="139"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terms of the Purchase Agreement (defined below) may limit our ability to incur future debt.</w:t>
      </w:r>
    </w:p>
    <w:p>
      <w:pPr>
        <w:spacing w:after="0" w:line="176"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third parties to conduct and support our clinical trials, and those third parties may not perform satisfactorily, including by failing to adhere to regulatory requirements or our stated protocols or to meet deadlines for the completion of such trials.</w:t>
      </w:r>
    </w:p>
    <w:p>
      <w:pPr>
        <w:spacing w:after="0" w:line="141" w:lineRule="exact"/>
        <w:rPr>
          <w:rFonts w:ascii="Times New Roman" w:cs="Times New Roman" w:eastAsia="Times New Roman" w:hAnsi="Times New Roman"/>
          <w:sz w:val="18"/>
          <w:szCs w:val="18"/>
          <w:color w:val="231F20"/>
        </w:rPr>
      </w:pPr>
    </w:p>
    <w:p>
      <w:pPr>
        <w:jc w:val="both"/>
        <w:ind w:left="640" w:right="220" w:hanging="316"/>
        <w:spacing w:after="0" w:line="258" w:lineRule="auto"/>
        <w:tabs>
          <w:tab w:leader="none" w:pos="63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third-party suppliers, including sole source suppliers, to provide certain components for our product candidates. Any failure by a third-party supplier to supply these components for manufacture may delay or impair our ability to complete our clinical trials and to commercialize our product candidates.</w:t>
      </w:r>
    </w:p>
    <w:p>
      <w:pPr>
        <w:spacing w:after="0" w:line="139" w:lineRule="exact"/>
        <w:rPr>
          <w:rFonts w:ascii="Times New Roman" w:cs="Times New Roman" w:eastAsia="Times New Roman" w:hAnsi="Times New Roman"/>
          <w:sz w:val="18"/>
          <w:szCs w:val="18"/>
          <w:color w:val="231F20"/>
        </w:rPr>
      </w:pPr>
    </w:p>
    <w:p>
      <w:pPr>
        <w:ind w:left="640" w:right="60" w:hanging="316"/>
        <w:spacing w:after="0" w:line="258" w:lineRule="auto"/>
        <w:tabs>
          <w:tab w:leader="none" w:pos="63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intend to rely on our strategic, global partnership with Fresenius Medical Care to undertake, or assist with, the marketing, sale and distribution of certain of our product candidates in certain markets if we receive marketing approval from relevant regulatory authorities. Disruption of this arrangement could materially adversely affect our business, prospects, operating results and financial condition.</w:t>
      </w:r>
    </w:p>
    <w:p>
      <w:pPr>
        <w:spacing w:after="0" w:line="139" w:lineRule="exact"/>
        <w:rPr>
          <w:rFonts w:ascii="Times New Roman" w:cs="Times New Roman" w:eastAsia="Times New Roman" w:hAnsi="Times New Roman"/>
          <w:sz w:val="18"/>
          <w:szCs w:val="18"/>
          <w:color w:val="231F20"/>
        </w:rPr>
      </w:pPr>
    </w:p>
    <w:p>
      <w:pPr>
        <w:ind w:left="640" w:right="320" w:hanging="316"/>
        <w:spacing w:after="0" w:line="271" w:lineRule="auto"/>
        <w:tabs>
          <w:tab w:leader="none" w:pos="63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successfully commercialize Symvess and our product candidates may be impaired if we are unable to obtain and maintain effective intellectual property rights for our proprietary scientific technology platform and product candidates.</w:t>
      </w:r>
    </w:p>
    <w:p>
      <w:pPr>
        <w:spacing w:after="0" w:line="141" w:lineRule="exact"/>
        <w:rPr>
          <w:rFonts w:ascii="Times New Roman" w:cs="Times New Roman" w:eastAsia="Times New Roman" w:hAnsi="Times New Roman"/>
          <w:sz w:val="18"/>
          <w:szCs w:val="18"/>
          <w:color w:val="231F20"/>
        </w:rPr>
      </w:pPr>
    </w:p>
    <w:p>
      <w:pPr>
        <w:ind w:left="640" w:right="120" w:hanging="316"/>
        <w:spacing w:after="0" w:line="271" w:lineRule="auto"/>
        <w:tabs>
          <w:tab w:leader="none" w:pos="63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Development of Symvess and Commercialization of Our Product Candidates</w:t>
      </w:r>
    </w:p>
    <w:p>
      <w:pPr>
        <w:spacing w:after="0" w:line="17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Our near-term prospects are dependent on the success of Symvess, our sole FDA-approved product, and if we are unable to successfully commercialize it in the vascular trauma indication and obtain regulatory approval for Symvess in additional indications, our business, operating results and financial condition will be materially harmed.</w:t>
      </w:r>
    </w:p>
    <w:p>
      <w:pPr>
        <w:spacing w:after="0" w:line="15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Our business currently depends heavily on our ability to successfully commercialize Symvess in the United States and in other jurisdictions where we may obtain marketing approval. Symvess currently is our only product approved for sale in the US and, while we are developing a number of product candidates, we have invested and continue to invest a substantial portion of our efforts and financial resources in the development of Symvess. None of our remaining product geometries and modifications have advanced beyond preclinical development. As a result, in the near term we are dependent on the success of Symvess, and if we are unable to successfully commercialize it in the vascular trauma indication and obtain regulatory approval for Symvess in additional indications, our business, along with our operating results and financial condition, will be materially harmed. We may never be able to successfully commercialize Symvess or our product candidates or meet our expectations with respect to revenues for a number of reasons, including:</w:t>
      </w:r>
    </w:p>
    <w:p>
      <w:pPr>
        <w:spacing w:after="0" w:line="85"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lack of acceptance of Symvess by physicians, patients, third-party payors and other members of the medical community;</w:t>
      </w:r>
    </w:p>
    <w:p>
      <w:pPr>
        <w:spacing w:after="0" w:line="110"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in marketing, selling and distributing Symvess or any other product;</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in the commercial manufacturing of Symvess or any other product;</w:t>
      </w:r>
    </w:p>
    <w:p>
      <w:pPr>
        <w:spacing w:after="0" w:line="110" w:lineRule="exact"/>
        <w:rPr>
          <w:rFonts w:ascii="Times New Roman" w:cs="Times New Roman" w:eastAsia="Times New Roman" w:hAnsi="Times New Roman"/>
          <w:sz w:val="18"/>
          <w:szCs w:val="18"/>
          <w:color w:val="auto"/>
        </w:rPr>
      </w:pPr>
    </w:p>
    <w:p>
      <w:pPr>
        <w:ind w:left="640" w:right="420" w:hanging="316"/>
        <w:spacing w:after="0" w:line="271"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and coverage policies of government and private payors such as Medicare, Medicaid, group purchasing organizations, insurance companies, health maintenance organizations and other plan administrators;</w:t>
      </w:r>
    </w:p>
    <w:p>
      <w:pPr>
        <w:spacing w:after="0" w:line="61" w:lineRule="exact"/>
        <w:rPr>
          <w:rFonts w:ascii="Times New Roman" w:cs="Times New Roman" w:eastAsia="Times New Roman" w:hAnsi="Times New Roman"/>
          <w:sz w:val="18"/>
          <w:szCs w:val="18"/>
          <w:color w:val="auto"/>
        </w:rPr>
      </w:pPr>
    </w:p>
    <w:p>
      <w:pPr>
        <w:ind w:left="640" w:right="60" w:hanging="316"/>
        <w:spacing w:after="0" w:line="271"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the current FDA-approved indications for Symvess into treatment of pediatric patients, treatment of a broader set of traumas, or indications outside of trauma;</w:t>
      </w:r>
    </w:p>
    <w:p>
      <w:pPr>
        <w:spacing w:after="0" w:line="61" w:lineRule="exact"/>
        <w:rPr>
          <w:rFonts w:ascii="Times New Roman" w:cs="Times New Roman" w:eastAsia="Times New Roman" w:hAnsi="Times New Roman"/>
          <w:sz w:val="18"/>
          <w:szCs w:val="18"/>
          <w:color w:val="auto"/>
        </w:rPr>
      </w:pPr>
    </w:p>
    <w:p>
      <w:pPr>
        <w:ind w:left="640" w:right="420" w:hanging="316"/>
        <w:spacing w:after="0" w:line="271"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new AEs associated with Symvess once the product is in commercial use or data suggesting that known AEs are more frequent or severe than originally thought;</w:t>
      </w:r>
    </w:p>
    <w:p>
      <w:pPr>
        <w:spacing w:after="0" w:line="6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changed or increased regulatory restrictions in the United States, EU and other foreign territories;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adequate financial or other resources to commercialize Symvess successfully.</w:t>
      </w:r>
    </w:p>
    <w:p>
      <w:pPr>
        <w:spacing w:after="0" w:line="200" w:lineRule="exact"/>
        <w:rPr>
          <w:sz w:val="20"/>
          <w:szCs w:val="20"/>
          <w:color w:val="auto"/>
        </w:rPr>
      </w:pPr>
    </w:p>
    <w:p>
      <w:pPr>
        <w:spacing w:after="0" w:line="3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93"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For example, during its review of the Symvess BLA, the FDA identified concerns relating to mid-graft rupture or anastomotic failure of Symvess post-implantation. As a result, the FDA approved package insert for Symvess contains a boxed warning relating to mid-graft rupture or anastomotic failure, and as a condition of Symvess approval we are obliged to conduct a post-approval long-term observational study to further characterize these and other risks. If our post-approval study demonstrates that these or other risks associated with Symvess are more severe and/or more prevalent than currently understood, this may have adverse impacts on our business, including lack of market acceptance of our product, imposition of further warnings or limitations on distribution and/or use of Symvess, or revocation of our marketing authorization.</w:t>
      </w:r>
    </w:p>
    <w:p>
      <w:pPr>
        <w:spacing w:after="0" w:line="149"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There is no guarantee that the infrastructure, systems, processes, policies, relationships, and materials we have built for the launch and commercialization of our approved product in the United States will be sufficient for us to achieve success at the levels we expect. Even our ability to generate product revenue and become profitable from Symvess depends on our assumptions regarding the relevant market opportunity and the degree of market acceptance for Symvess, and if approved, our other products, for which our estimates may prove inaccurate, and market acceptance in any approved indication, which may never occur.</w:t>
      </w:r>
    </w:p>
    <w:p>
      <w:pPr>
        <w:spacing w:after="0" w:line="144"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Symvess and our product candidates, if approved, may fail to achieve the degree of market acceptance by physicians, patients, third-party payors and others in the medical community necessary for commercial success.</w:t>
      </w:r>
    </w:p>
    <w:p>
      <w:pPr>
        <w:spacing w:after="0" w:line="138"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8"/>
          <w:szCs w:val="18"/>
          <w:color w:val="231F20"/>
        </w:rPr>
        <w:t>The commercial success of Symvess and our product candidates will depend, in part, on the acceptance of physicians, patients and health care payors, as medically necessary, cost-effective and safe. Symvess and any other product that we commercialize may not gain acceptance by physicians, patients, health care payors and others in the medical community due to ethical, social, medical, cost and legal concerns. If these products do not achieve an adequate level of acceptance, we may not generate significant product revenue and may not become profitable.</w:t>
      </w:r>
    </w:p>
    <w:p>
      <w:pPr>
        <w:spacing w:after="0" w:line="143" w:lineRule="exact"/>
        <w:rPr>
          <w:sz w:val="20"/>
          <w:szCs w:val="20"/>
          <w:color w:val="auto"/>
        </w:rPr>
      </w:pPr>
    </w:p>
    <w:p>
      <w:pPr>
        <w:ind w:right="440" w:firstLine="318"/>
        <w:spacing w:after="0" w:line="271" w:lineRule="auto"/>
        <w:rPr>
          <w:sz w:val="20"/>
          <w:szCs w:val="20"/>
          <w:color w:val="auto"/>
        </w:rPr>
      </w:pPr>
      <w:r>
        <w:rPr>
          <w:rFonts w:ascii="Times New Roman" w:cs="Times New Roman" w:eastAsia="Times New Roman" w:hAnsi="Times New Roman"/>
          <w:sz w:val="18"/>
          <w:szCs w:val="18"/>
          <w:color w:val="231F20"/>
        </w:rPr>
        <w:t>The degree of market acceptance of Symvess or any of our product candidates that receives marketing approval will depend on a number of factors, including:</w:t>
      </w:r>
    </w:p>
    <w:p>
      <w:pPr>
        <w:spacing w:after="0" w:line="128" w:lineRule="exact"/>
        <w:rPr>
          <w:sz w:val="20"/>
          <w:szCs w:val="20"/>
          <w:color w:val="auto"/>
        </w:rPr>
      </w:pPr>
    </w:p>
    <w:p>
      <w:pPr>
        <w:ind w:left="640" w:right="200" w:hanging="316"/>
        <w:spacing w:after="0" w:line="271" w:lineRule="auto"/>
        <w:tabs>
          <w:tab w:leader="none" w:pos="63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efficacy and potential advantages of Symvess or our product candidates compared with alternative products or methods, including convenience and ease of administration;</w:t>
      </w:r>
    </w:p>
    <w:p>
      <w:pPr>
        <w:spacing w:after="0" w:line="141"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prices we charge for Symvess or our other products, if approved;</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third-party coverage and adequate reimbursement;</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the target patient population to try new products and methods and of physicians to use these products and methods;</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strength of marketing and distribution support;</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the product and our ability to meet market demand;</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prevalence and severity of any side effects, or the emergence of new, previously unknown side effects; and</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restrictions on the use of Symvess and our other products, if approved.</w:t>
      </w:r>
    </w:p>
    <w:p>
      <w:pPr>
        <w:spacing w:after="0" w:line="17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b w:val="1"/>
          <w:bCs w:val="1"/>
          <w:i w:val="1"/>
          <w:iCs w:val="1"/>
          <w:color w:val="231F20"/>
        </w:rPr>
        <w:t>If our clinical trials are delayed, do not produce favorable results, or otherwise fail to demonstrate safety and efficacy to the satisfaction of the FDA or similar regulatory authorities outside the United States, we may incur significant additional costs or experience significant delays in completing, or ultimately be unable to complete, the development, approval, and commercialization of our product candidates. If we experience significant delays or significant additional costs, our business will be materially harmed.</w:t>
      </w:r>
    </w:p>
    <w:p>
      <w:pPr>
        <w:spacing w:after="0" w:line="14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231F20"/>
        </w:rPr>
        <w:t>Before obtaining marketing approval for any of our product candidates, and before gaining approval for additional indications for our approved Symvess product, we must conduct extensive clinical trials to demonstrate the safety and efficacy of our product candidates in humans. Clinical testing is expensive and time-consuming, and its outcomes are uncertain.</w:t>
      </w:r>
    </w:p>
    <w:p>
      <w:pPr>
        <w:spacing w:after="0" w:line="200" w:lineRule="exact"/>
        <w:rPr>
          <w:sz w:val="20"/>
          <w:szCs w:val="20"/>
          <w:color w:val="auto"/>
        </w:rPr>
      </w:pPr>
    </w:p>
    <w:p>
      <w:pPr>
        <w:spacing w:after="0" w:line="35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93"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60" w:firstLine="318"/>
        <w:spacing w:after="0" w:line="250" w:lineRule="auto"/>
        <w:rPr>
          <w:sz w:val="20"/>
          <w:szCs w:val="20"/>
          <w:color w:val="auto"/>
        </w:rPr>
      </w:pPr>
      <w:r>
        <w:rPr>
          <w:rFonts w:ascii="Times New Roman" w:cs="Times New Roman" w:eastAsia="Times New Roman" w:hAnsi="Times New Roman"/>
          <w:sz w:val="18"/>
          <w:szCs w:val="18"/>
          <w:color w:val="231F20"/>
        </w:rPr>
        <w:t>A number of factors may impact the timing of our preclinical and clinical programs and the development and commercialization of our product candidates. These include factors such as inability to recruit sufficient numbers of patients, delays in obtaining IRB approval for planned trials, or disagreements with regulatory agencies on clinical trial design and/or imposition of clinical holds. We cannot guarantee that any clinical trials will be conducted as planned or completed on schedule, if at all, or that they will be successful. Any inability to successfully complete development of our product candidates would likely result in significant additional costs to us, create delays in filing a BLA for regulatory approval of our product candidates and impair our ability to generate revenue.</w:t>
      </w:r>
    </w:p>
    <w:p>
      <w:pPr>
        <w:spacing w:after="0" w:line="149"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We believe the novelty of our research and development efforts, which are focused on the development of bioengineered human, acellular, tissue-based vessels for use across a wide spectrum of applications in vascular surgery, augments this uncertainty. The scientific discoveries that form the basis for our efforts to develop our product candidates are relatively new, and the scientific evidence to support the feasibility of developing product candidates based on these discoveries is both preliminary and limited. At this time, Symvess has been approved in the United States in an initial indication, and none of our product candidates have been approved in the United States, Europe or in any other jurisdiction. The clinical trial requirements of the FDA and other regulatory agencies and the criteria these regulators use to determine the safety and efficacy of a product candidate vary substantially according to the type, complexity, novelty and intended use and market of the potential product. In addition, because of the nature of the ATEVs, many of our clinical trials are “open label,” meaning that both the patient and the investigator know whether the patient is receiving the investigational product candidate. These studies often require the use of historical control arms consisting of patients previously treated with alternative therapies in the normal course of medical care. Use of open label study designs further complicates the clinical development process. Because of these and other factors, we may experience substantial difficulties in agreeing with FDA and other regulatory authorities on clinical trial design.</w:t>
      </w:r>
    </w:p>
    <w:p>
      <w:pPr>
        <w:spacing w:after="0" w:line="14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If our studies are not successful, we be delayed in obtaining marketing approval or may not receive marketing approval at all. For example, our V006 trial did not meet its primary endpoint, which has delayed development of the ATEV for the hemodialysis access indication. If we fail to achieve the primary endpoint of our other ongoing or future clinical trials, or if safety issues arise, or the results from our clinical trials are otherwise inadequate to support regulatory approval of our product candidates, we may incur significant additional costs or experience significant delays in completing, or ultimately be unable to complete, the development and commercialization of our product candidates.</w:t>
      </w:r>
    </w:p>
    <w:p>
      <w:pPr>
        <w:spacing w:after="0" w:line="162" w:lineRule="exact"/>
        <w:rPr>
          <w:sz w:val="20"/>
          <w:szCs w:val="20"/>
          <w:color w:val="auto"/>
        </w:rPr>
      </w:pPr>
    </w:p>
    <w:p>
      <w:pPr>
        <w:ind w:right="400" w:firstLine="318"/>
        <w:spacing w:after="0" w:line="254" w:lineRule="auto"/>
        <w:rPr>
          <w:sz w:val="20"/>
          <w:szCs w:val="20"/>
          <w:color w:val="auto"/>
        </w:rPr>
      </w:pPr>
      <w:r>
        <w:rPr>
          <w:rFonts w:ascii="Times New Roman" w:cs="Times New Roman" w:eastAsia="Times New Roman" w:hAnsi="Times New Roman"/>
          <w:sz w:val="18"/>
          <w:szCs w:val="18"/>
          <w:color w:val="231F20"/>
        </w:rPr>
        <w:t>Even if our clinical trials achieve their primary endpoints, the FDA may still determine that such trials do not adequately establish the safety and effectiveness of our products. Data obtained from preclinical and clinical studies are subject to varying interpretations, which may delay, limit, or prevent marketing approval. In such a circumstance, the FDA may require that we design and conduct new, additional clinical trials to demonstrate safety and effectiveness, or may determine not to approve our products at all.</w:t>
      </w:r>
    </w:p>
    <w:p>
      <w:pPr>
        <w:spacing w:after="0" w:line="143" w:lineRule="exact"/>
        <w:rPr>
          <w:sz w:val="20"/>
          <w:szCs w:val="20"/>
          <w:color w:val="auto"/>
        </w:rPr>
      </w:pPr>
    </w:p>
    <w:p>
      <w:pPr>
        <w:ind w:right="100" w:firstLine="318"/>
        <w:spacing w:after="0" w:line="254" w:lineRule="auto"/>
        <w:rPr>
          <w:sz w:val="20"/>
          <w:szCs w:val="20"/>
          <w:color w:val="auto"/>
        </w:rPr>
      </w:pPr>
      <w:r>
        <w:rPr>
          <w:rFonts w:ascii="Times New Roman" w:cs="Times New Roman" w:eastAsia="Times New Roman" w:hAnsi="Times New Roman"/>
          <w:sz w:val="18"/>
          <w:szCs w:val="18"/>
          <w:color w:val="231F20"/>
        </w:rPr>
        <w:t>Additionally, even though we received FDA approval for Symvess in trauma, we may face a number of difficulties if the results of our clinical trials for additional Symvess indications or for our product candidates are unfavorable, inconclusive, or only modestly favorable or if there are safety concerns, such as AEs or SAEs, which could include clotting, mechanical failure, immunological rejection or infection, that could outweigh potential benefits associated with such product candidates. This could result in:</w:t>
      </w:r>
    </w:p>
    <w:p>
      <w:pPr>
        <w:spacing w:after="0" w:line="143" w:lineRule="exact"/>
        <w:rPr>
          <w:sz w:val="20"/>
          <w:szCs w:val="20"/>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approval for indications or patient populations that are not as broad as intended or desired;</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obtaining approval with, or later becoming subject to, labelling that includes significant use or distribution restrictions or significant safety warnings;</w:t>
      </w:r>
    </w:p>
    <w:p>
      <w:pPr>
        <w:spacing w:after="0" w:line="188" w:lineRule="exact"/>
        <w:rPr>
          <w:rFonts w:ascii="Times New Roman" w:cs="Times New Roman" w:eastAsia="Times New Roman" w:hAnsi="Times New Roman"/>
          <w:sz w:val="17"/>
          <w:szCs w:val="17"/>
          <w:color w:val="231F20"/>
        </w:rPr>
      </w:pPr>
    </w:p>
    <w:p>
      <w:pPr>
        <w:ind w:left="640" w:right="200" w:hanging="316"/>
        <w:spacing w:after="0" w:line="271" w:lineRule="auto"/>
        <w:tabs>
          <w:tab w:leader="none" w:pos="63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being subject to a REMS or equivalent requirement from a comparable foreign regulatory agency, to ensure that the benefits of a biological product outweigh its risks or to change the way the product is used;</w:t>
      </w:r>
    </w:p>
    <w:p>
      <w:pPr>
        <w:spacing w:after="0" w:line="128" w:lineRule="exact"/>
        <w:rPr>
          <w:rFonts w:ascii="Times New Roman" w:cs="Times New Roman" w:eastAsia="Times New Roman" w:hAnsi="Times New Roman"/>
          <w:sz w:val="18"/>
          <w:szCs w:val="18"/>
          <w:color w:val="231F20"/>
        </w:rPr>
      </w:pPr>
    </w:p>
    <w:p>
      <w:pPr>
        <w:ind w:left="640" w:right="720" w:hanging="316"/>
        <w:spacing w:after="0" w:line="271" w:lineRule="auto"/>
        <w:tabs>
          <w:tab w:leader="none" w:pos="63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being required to perform additional clinical trials to support approval or comparability or being subject to additional post-marketing testing requirements;</w:t>
      </w:r>
    </w:p>
    <w:p>
      <w:pPr>
        <w:spacing w:after="0" w:line="141"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having regulatory authorities withdraw their approval of the product;</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being sued; or</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suffering damage to our reputation.</w:t>
      </w: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0" w:firstLine="318"/>
        <w:spacing w:after="0" w:line="271" w:lineRule="auto"/>
        <w:rPr>
          <w:sz w:val="20"/>
          <w:szCs w:val="20"/>
          <w:color w:val="auto"/>
        </w:rPr>
      </w:pPr>
      <w:r>
        <w:rPr>
          <w:rFonts w:ascii="Times New Roman" w:cs="Times New Roman" w:eastAsia="Times New Roman" w:hAnsi="Times New Roman"/>
          <w:sz w:val="18"/>
          <w:szCs w:val="18"/>
          <w:color w:val="231F20"/>
        </w:rPr>
        <w:t>Any of these events could cause us to incur significant additional costs, significant delays and prevent us from achieving or maintaining market acceptance of or commercializing one or more of our product candidates.</w:t>
      </w:r>
    </w:p>
    <w:p>
      <w:pPr>
        <w:spacing w:after="0" w:line="12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Our progress in early stage clinical trials may not guarantee success in late stage clinical trials, and our progress in trials for one product candidate or the FDA’s approval of Symvess may not be indicative of progress in trials for another product candidate.</w:t>
      </w:r>
    </w:p>
    <w:p>
      <w:pPr>
        <w:spacing w:after="0" w:line="125"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231F20"/>
        </w:rPr>
        <w:t>The product candidates in our pipeline are at various stages of development. Trial designs and results from previous studies are not necessarily predictive of our future clinical trial designs or results, and initial results of ongoing trials may not be confirmed upon full analysis of the complete trial data. A number of companies in the biotechnology industry have suffered significant setbacks in late-stage clinical trials even after achieving promising results in earlier stage clinical trials, and we may experience similar setbacks. Favorable results in clinical trials for, or the FDA’s approval of, one of our product candidates also do not necessarily indicate that we will obtain positive results in clinical trials related to product candidates. The novelty of our proprietary scientific technology platform adds another layer of risk that early-stage clinical trials may not guarantee success in our late-stage clinical trials. If we are unable to demonstrate favorable results in future clinical trials for our various product candidates, we expect that our business, prospects, operating results and financial condition will be materially adversely affected.</w:t>
      </w:r>
    </w:p>
    <w:p>
      <w:pPr>
        <w:spacing w:after="0" w:line="157"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5"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From time to time, we may publicly disclose preliminary or topline data from our clinical trials, which is based on a preliminary analysis of then-available data. However, the final results and related findings and conclusions are subject to change following a more comprehensive review of the data related to the particular study or trial. We also make assumptions, estimations, calculations and conclusions as part of our analyses of data, although we may not have received or had the opportunity to fully and carefully evaluate all data at the time such preliminary or topline results are released. As a result, the topline or preliminary results that we report may differ from final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49" w:lineRule="exact"/>
        <w:rPr>
          <w:sz w:val="20"/>
          <w:szCs w:val="20"/>
          <w:color w:val="auto"/>
        </w:rPr>
      </w:pPr>
    </w:p>
    <w:p>
      <w:pPr>
        <w:ind w:right="40" w:firstLine="318"/>
        <w:spacing w:after="0" w:line="271" w:lineRule="auto"/>
        <w:rPr>
          <w:sz w:val="20"/>
          <w:szCs w:val="20"/>
          <w:color w:val="auto"/>
        </w:rPr>
      </w:pPr>
      <w:r>
        <w:rPr>
          <w:rFonts w:ascii="Times New Roman" w:cs="Times New Roman" w:eastAsia="Times New Roman" w:hAnsi="Times New Roman"/>
          <w:sz w:val="18"/>
          <w:szCs w:val="18"/>
          <w:color w:val="231F20"/>
        </w:rPr>
        <w:t>In addition, the information we choose to publicly disclose regarding a particular clinical trial is based on what is typically extensive information, and you or others may not agree with what we determine is material or otherwise appropriate information to include in our disclosure.</w:t>
      </w:r>
    </w:p>
    <w:p>
      <w:pPr>
        <w:spacing w:after="0" w:line="13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If SAEs occur at an unacceptable rate or other unacceptable side effects are identified in our ATEVs we may need to delay, abandon or limit development and marketing of our product candidates.</w:t>
      </w:r>
    </w:p>
    <w:p>
      <w:pPr>
        <w:spacing w:after="0" w:line="125"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231F20"/>
        </w:rPr>
        <w:t>Our ATEVs may prove to have undesirable or unintended side effects, toxicities or other characteristics. If our ATEVs are associated with undesirable side effects in clinical trials or in commercial marketing, or have negative characteristics that are unexpected, we may need to perform additional clinical trials, abandon their development or limit development to more narrow uses or subpopulations in which the undesirable side effects or other characteristics are less prevalent, less severe or more acceptable from a risk-benefit perspective. For approved products, such as Symvess, the FDA and other regulatory authorities may limit the scope of that approval, require us to include detailed warnings and/or contraindications in product labeling, and/or implement a REMS, which may include restrictions on distribution or use of the product. If serious safety concerns emerge after product approval, FDA and other regulatory authorities may take steps to withdraw the product from the market. Any of these events could cause us to delay, abandon or limit the development and marketing of Symvess and our product candidates, if approved. For more information, see the section of this Annual Report on Form 10-K titled “Business."</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We may experience delays or difficulties in the enrollment of patients in our clinical trials, which may delay or prevent additional clinical trials and our receipt of necessary marketing approvals.</w:t>
      </w:r>
    </w:p>
    <w:p>
      <w:pPr>
        <w:spacing w:after="0" w:line="125"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We are currently enrolling patients in several clinical trials, including in our V012 trial, which is a Phase 3 clinical trial comparing the safety and efficacy of our 6 millimeter ATEV to AV fistula for hemodialysis access in women. Identifying and qualifying patients to participate in clinical trials of our product candidates is critical to our success. The timing of our clinical trials depends in part on the rate at which we can recruit patients to participate in such trials. We may not be able to initiate or continue clinical trials for our product candidates if we are unable to locate and enroll a sufficient number of eligible patients to participate in these trials as required by the FDA and other regulatory authorities, and as such our product candidates could be delayed or otherwise adversely affected. Patient enrollment and trial completion is affected by many factors including the:</w:t>
      </w:r>
    </w:p>
    <w:p>
      <w:pPr>
        <w:spacing w:after="0" w:line="149"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size of the patient population and process for identifying subjects;</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 of the trial protocol;</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inclusion and exclusion criteria;</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safety profile to date of the product candidate under study;</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risks and benefits of the product candidate under study;</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of competing therapies and clinical trials;</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severity of the disease under investigation;</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degree of progression of the subject’s disease at the time of enrollment;</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proximity and availability of clinical trial sites for prospective subjects;</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pandemics or similar events on patients’ willingness and ability to participate in clinical trials or on study site policies;</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ability to obtain and maintain subject consent;</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 that enrolled subjects will drop out before completion of the trial;</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referral practices of physicians; and</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ability to monitor subjects adequately during and after treatment.</w:t>
      </w:r>
    </w:p>
    <w:p>
      <w:pPr>
        <w:spacing w:after="0" w:line="177"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8"/>
          <w:szCs w:val="18"/>
          <w:color w:val="231F20"/>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24"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Lack of experience by investigators and surgeons with our ATEVs can lead to incorrect implantation or follow-up procedures which could harm the results of our clinical trials and market acceptance of Symvess and our product candidates.</w:t>
      </w:r>
    </w:p>
    <w:p>
      <w:pPr>
        <w:spacing w:after="0" w:line="13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Our ATEV product, Symvess, is FDA approved as a vascular conduit for extremity arterial injury when urgent revascularization is needed to avoid imminent limb loss, and autologous vein graft is not feasible. For other indications, our ATEVs are currently in various stages of preclinical and clinical testing. We do not have the personnel capacity to directly conduct or manage solely with our own personnel all of the clinical trials that are necessary for the development of further indications for our ATEVs. Therefore, we rely, and will continue to rely, on third parties to assist us in managing, monitoring and conducting our clinical trials. Some of the investigators in our clinical trials have not been, and, with regard to Symvess, surgeons may not be, previously exposed to the implantation and follow-up procedures related to their use. As a result, our ATEVs may be, and have been in the past, incorrectly implanted and follow-up procedures may be performed incorrectly, resulting in increased interventions or failure of the ATEV, and complicating interpretation of clinical trial results. Our efforts to educate investigators, surgeons and interventionalists regarding the proper techniques for use of our ATEVs both during clinical trials and in commercial use may be costly, prove unsuccessful and could materially harm our ability to continue the clinical trials or commence marketing of Symvess. Regulatory authorities may also seek to impose</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231F20"/>
        </w:rPr>
        <w:t>restrictive labeling or proactive communication obligations on any marketing approval granted for use of our ATEVs as a result, which could reduce market acceptance of any of our ATEVs that receive marketing approval. For example, the FDA approved package insert for Symvess contains a boxed warning relating to mid-graft rupture or anastomotic failure.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our efforts to use our proprietary scientific technology platform to build a pipeline of additional product candidates.</w:t>
      </w:r>
    </w:p>
    <w:p>
      <w:pPr>
        <w:spacing w:after="0" w:line="181"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231F20"/>
        </w:rPr>
        <w:t>A key element of our strategy is to use our proprietary scientific technology platform to expand our pipeline of ATEVs and to progress product candidates into and through clinical development. We may not be able to identify or develop future product candidates that are safe and effective. Even if we are successful in building our pipeline, the potential product candidates that we identify may not be suitable for clinical development, including if they have harmful side effects or other characteristics that render them unlikely to receive marketing approval or achieve market acceptance. Research programs to identify new product candidates require substantial technical, financial and human resources, and we may focus our efforts and resources on potential programs or product candidates that ultimately prove to be unsuccessful. If we do not successfully develop and commercialize additional product candidates based upon our technology, we may have difficulty generating product revenue in the future, which could result in significant harm to our business, prospects, operating results and financial condition and adversely affect our stock price.</w:t>
      </w:r>
    </w:p>
    <w:p>
      <w:pPr>
        <w:spacing w:after="0" w:line="157"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The sizes of the market opportunities for Symvess 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139"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231F20"/>
        </w:rPr>
        <w:t>Our estimates of the market opportunity for Symvess and certain of our product candidates, if approved, are based on a number of internal and third-party estimates. While we believe our assumptions and the data underlying these estimates are reasonable, they may be inaccurate or based on imprecise data. In addition, the assumptions and conditions underlying the estimates may change at any time. For example, the number of patients who ultimately use Symvess or our product candidates, if approved by regulatory authorities, and our total market opportunities for Symvess or such product candidates, will depend on, among other things, pricing and reimbursement, market acceptance of those product candidates and patient access, and may be lower than we estimate. Additionally, the approval we received for Symvess in trauma includes only adults as a vascular conduit for extremity arterial injury when urgent revascularization is needed to avoid imminent limb loss, and autologous vein graft is not feasible. Any approval that we receive for our product candidates also may be based on a narrower definition of the relevant patient population than we have estimated. These and similar limitations on future products could materially harm our business, financial condition, results of operations and prospects.</w:t>
      </w:r>
    </w:p>
    <w:p>
      <w:pPr>
        <w:spacing w:after="0" w:line="149"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17"/>
          <w:szCs w:val="17"/>
          <w:b w:val="1"/>
          <w:bCs w:val="1"/>
          <w:i w:val="1"/>
          <w:iCs w:val="1"/>
          <w:color w:val="231F20"/>
        </w:rPr>
        <w:t>We face and will continue to face substantial competition, which may result in others discovering, developing or commercializing competing products before or more successfully than we do, which may adversely affect our ability to successfully market or commercialize Symvess or our product candidates.</w:t>
      </w:r>
    </w:p>
    <w:p>
      <w:pPr>
        <w:spacing w:after="0" w:line="114"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8"/>
          <w:szCs w:val="18"/>
          <w:color w:val="231F20"/>
        </w:rPr>
        <w:t>The development and commercialization of new biological products is highly competitive and subject to rapid change and technological advancements. We expect that Symvess will, and that our product candidates would, if approved, compete with the use of a patient’s own blood vessels, as well as a variety of marketed products, such as conventional synthetic grafts, xenografts, and allografts, as well as developing technologies.</w:t>
      </w:r>
    </w:p>
    <w:p>
      <w:pPr>
        <w:spacing w:after="0" w:line="140"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231F20"/>
        </w:rPr>
        <w:t>We expect to face competition with respect to any additional product candidates that we may seek to develop or commercialize in the future from a variety of sources, including major pharmaceutical companies, specialty pharmaceutical companies and biotechnology companies, hospital product-focused companies, as well as public and private universities and research organizations.</w:t>
      </w:r>
    </w:p>
    <w:p>
      <w:pPr>
        <w:spacing w:after="0" w:line="140"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231F20"/>
        </w:rPr>
        <w:t>Many of our existing or potential competitors, either alone or with their strategic partners, have significantly greater financial resources and expertise in research and development, manufacturing, preclinical testing, conducting clinical trials, obtaining marketing approvals and marketing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w:t>
      </w: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231F20"/>
        </w:rPr>
        <w:t>than the products that we develop. Our competitors also may obtain FDA or other marketing approval for their products more rapidly than we may obtain the same approval for ours, which could provide them with further competitive advantage.</w:t>
      </w:r>
    </w:p>
    <w:p>
      <w:pPr>
        <w:spacing w:after="0" w:line="128"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231F20"/>
        </w:rPr>
        <w:t>We have obtained initial marketing approval for Symvess in the United States for vascular repair in adults with certain extremity trauma injuries. We plan to seek marketing approval for our product candidates in the United States as biologics and for Symvess and our product candidates in the EU as a medicinal product. In both the United States and the EU, our competitors may try to market vascular conduits similar to our product candidates as medical devices. Such competitive products could have comparable characteristics and could function similarly in the body (and could even be protein-based like our product candidates). Companies may be able to obtain marketing approval for such products on the basis of less data than the data required for a BLA and marketing similar products as devices could permit our competitors to circumvent regulatory exclusivity for biologics in the United States and medicinal products in the EU.</w:t>
      </w:r>
    </w:p>
    <w:p>
      <w:pPr>
        <w:spacing w:after="0" w:line="14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Our distribution agreement with Fresenius Medical Care imposes obligations on us that may restrict our ability to operate our business in ways we believe to be in our long-term best interest.</w:t>
      </w:r>
    </w:p>
    <w:p>
      <w:pPr>
        <w:spacing w:after="0" w:line="138"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231F20"/>
        </w:rPr>
        <w:t>We expect to rely on our strategic, global relationship with Fresenius Medical Care for the development and commercialization of Symvess and certain of our product candidates. As discussed in more detail in the section of this Annual Report on Form 10-K titled “Business — Distribution — Distribution Agreement with Fresenius Medical Care,” Fresenius Medical Care will have the exclusive right to develop outside of the United States and EU and commercialize outside of the United States, among other things, our 6 millimeter x 42 centimeter ATEV and all improvements thereto, and modifications and derivatives thereof (including any changes to the length, diameter, or configuration of the foregoing), which we refer to as the distribution product, for use in vascular creation, repair, replacement or construction (including renal replacement therapy for dialysis access, the treatment of vascular trauma, and the treatment of PAD, but excluding coronary artery bypass graft, pediatric heart surgery, or adhering pancreatic islet cells onto the outer surface of the distribution product for use in diabetic patients). We refer to these indications wherein Fresenius Medical Care has rights to develop and commercialize Humacyte’s products as the field. The distribution agreement also imposes a number of restrictions on our business. For instance, outside the United States, the distribution agreement restricts our ability to engage a distributor for the distribution product outside the field or for ATEV products other than the distribution product: we have granted Fresenius Medical Care (i) an exclusive right of first negotiation for exclusive distribution rights outside the United States for the distribution product for use outside the field, and (ii) an exclusive right of first negotiation for exclusive distribution rights outside the United States for our other ATEV products, if any, subject, in each case, to certain conditions. These and other obligations may restrict our ability to operate our business in ways we believe are in our long-term best interest, which could harm our business and our prospects.</w:t>
      </w:r>
    </w:p>
    <w:p>
      <w:pPr>
        <w:spacing w:after="0" w:line="150"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If we receive approval for a product candidate that is not subject to our distribution agreement with Fresenius Medical Care, and we are unable to establish our own marketing, sales and distribution capabilities or are unable to enter into agreements with third parties do so, we may not be able to generate product revenue and will have to alter our development and commercialization plans.</w:t>
      </w:r>
    </w:p>
    <w:p>
      <w:pPr>
        <w:spacing w:after="0" w:line="139" w:lineRule="exact"/>
        <w:rPr>
          <w:sz w:val="20"/>
          <w:szCs w:val="20"/>
          <w:color w:val="auto"/>
        </w:rPr>
      </w:pPr>
    </w:p>
    <w:p>
      <w:pPr>
        <w:ind w:right="80" w:firstLine="318"/>
        <w:spacing w:after="0" w:line="247" w:lineRule="auto"/>
        <w:rPr>
          <w:sz w:val="20"/>
          <w:szCs w:val="20"/>
          <w:color w:val="auto"/>
        </w:rPr>
      </w:pPr>
      <w:r>
        <w:rPr>
          <w:rFonts w:ascii="Times New Roman" w:cs="Times New Roman" w:eastAsia="Times New Roman" w:hAnsi="Times New Roman"/>
          <w:sz w:val="18"/>
          <w:szCs w:val="18"/>
          <w:color w:val="231F20"/>
        </w:rPr>
        <w:t>We recently received FDA approval to commercialize Symvess in the United States. As a company, we had no prior experience commercializing a product. We currently have limited internal marketing, sales or distribution capabilities, and our management team has limited experience commercializing products following marketing approval. If one of our product candidates that is not subject to the distribution agreement with Fresenius Medical Care receives marketing approval, we will be required either to develop these capabilities internally or to make arrangements with third parties for the marketing, sales and distribution of the relevant product candidate. The establishment and development of our own marketing, sales and distribution functions will be expensive and time-consuming and may delay any product launch, and we may ultimately be unable to successfully develop the product candidate. In addition, or in the alternative, we could seek one or more partners to handle some or all of the marketing, sales and distribution activities associated with any such product candidate. However, we may face significant competition in seeking appropriate strategic partners, and the negotiation process is time consuming and complex. Therefore, we may not be able to enter into arrangements with third parties to do so on favorable terms or at all. In the event we are unable to develop our own marketing, sales and distribution functions or collaborate with a third-party organization for this purpose, we may not be able to successfully commercialize a product candidate that is not subject to the distribution agreement with Fresenius Medical Care, which would adversely affect our ability to generate revenue. Further, whether we commercialize any such product candidate on our own or rely on a third party to do so, our ability to generate revenue will be dependent on the effectiveness of the organization performing these functions.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There is uncertainty with respect to third-party coverage and reimbursement of Symvess and our product candidates, if approved. They may also be subject to unfavorable pricing regulations, third-party reimbursement practices or healthcare reform initiatives, any of which could harm our business, prospects, operating results and financial condition.</w:t>
      </w:r>
    </w:p>
    <w:p>
      <w:pPr>
        <w:spacing w:after="0" w:line="139"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231F20"/>
        </w:rPr>
        <w:t>There is uncertainty around third-party coverage and reimbursement of newly approved regenerative medicine type products, including Symvess. In the United States, third-party payors, including government payors such as the Medicare and Medicaid programs, play an important role in determining the extent to which medical products and biologics will be covered and reimbursed. The Medicare and Medicaid programs increasingly are used as models for how private payors and government payors develop their coverage and reimbursement policies. Currently, no RMAT tissue engineered product has established coverage and reimbursement by the CMS. It is difficult to predict what CMS or any comparable foreign regulatory agency will decide with respect to coverage and reimbursement for novel products such as Symvess or our product candidates, as there is no body of established practices and precedents for these types of products.</w:t>
      </w:r>
    </w:p>
    <w:p>
      <w:pPr>
        <w:spacing w:after="0" w:line="151" w:lineRule="exact"/>
        <w:rPr>
          <w:sz w:val="20"/>
          <w:szCs w:val="20"/>
          <w:color w:val="auto"/>
        </w:rPr>
      </w:pPr>
    </w:p>
    <w:p>
      <w:pPr>
        <w:ind w:right="200" w:firstLine="318"/>
        <w:spacing w:after="0" w:line="248" w:lineRule="auto"/>
        <w:rPr>
          <w:sz w:val="20"/>
          <w:szCs w:val="20"/>
          <w:color w:val="auto"/>
        </w:rPr>
      </w:pPr>
      <w:r>
        <w:rPr>
          <w:rFonts w:ascii="Times New Roman" w:cs="Times New Roman" w:eastAsia="Times New Roman" w:hAnsi="Times New Roman"/>
          <w:sz w:val="18"/>
          <w:szCs w:val="18"/>
          <w:color w:val="231F20"/>
        </w:rPr>
        <w:t>The healthcare industry is acutely focused on cost containment, both in the United States and elsewhere. Government authorities and third-party payors have attempted to control costs by limiting coverage and the amount of reimbursement. These payors may not view Symvess and our other products, if approved, as cost-effective, and coverage and reimbursement may not be available to our customers or may not be sufficient to allow our products to be marketed on a competitive basis. Cost control initiatives could also cause us to decrease any price we might establish for our products, which could result in lower than anticipated product revenue. Moreover, eligibility for reimbursement does not imply that any such product will be paid for in all cases or at a rate that covers our costs, including our costs related to research, development, manufacture, sale and distribution. Reimbursement rates may vary, by way of example, according to the use of Symvess or our other products, if approved, and the clinical setting in which it is used. If the prices for our products, if any, decrease or if governmental and other third-party payors do not provide adequate coverage or reimbursement, our business, prospects, operating results and financial condition will suffer, perhaps materially.</w:t>
      </w:r>
    </w:p>
    <w:p>
      <w:pPr>
        <w:spacing w:after="0" w:line="166"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On August 16, 2022, President Biden signed the IRA into law, which sets forth meaningful changes to drug product reimbursement by Medicare. Among other actions, the IRA permits HHS to engage in price-capped negotiation to set the price of certain drugs and biologics reimbursed under Medicare Part B and Part D. The IRA contains statutory exclusions to the negotiation program, including for certain orphan designated drugs for which the only approved indication (or indications) is for the orphan disease or condition. Should Symvess or our other products, if approved, be covered by Medicare Part B or Part D, and fail to fall within a statutory exclusion, such as that for an orphan drug, Symvess or our other products could, after a period of time, be selected for negotiation and become subject to prices representing a significant discount from average prices to wholesalers and direct purchasers. The IRA also establishes a rebate obligation for drug manufacturers that increase prices of Medicare Part B and Part D covered drugs at a rate greater than the rate of inflation. The inflation rebates may require us to pay rebates if we increase the cost of a product covered by Medicare Part B or Part D faster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Our cost-sharing responsibility for any approved product covered by Medicare Part D could be significantly greater under the newly designed Part D benefit structure compared to the pre-IRA benefit design. Additionally, manufacturers that fail to comply with certain provisions of the IRA may be subject to penalties, including civil monetary penalties. The IRA is anticipated to have significant effects on the pharmaceutical industry and may reduce the prices we can charge and reimbursement we can receive for our products, among other effects.</w:t>
      </w:r>
    </w:p>
    <w:p>
      <w:pPr>
        <w:spacing w:after="0" w:line="153" w:lineRule="exact"/>
        <w:rPr>
          <w:sz w:val="20"/>
          <w:szCs w:val="20"/>
          <w:color w:val="auto"/>
        </w:rPr>
      </w:pPr>
    </w:p>
    <w:p>
      <w:pPr>
        <w:ind w:right="240" w:firstLine="318"/>
        <w:spacing w:after="0" w:line="250" w:lineRule="auto"/>
        <w:rPr>
          <w:sz w:val="20"/>
          <w:szCs w:val="20"/>
          <w:color w:val="auto"/>
        </w:rPr>
      </w:pPr>
      <w:r>
        <w:rPr>
          <w:rFonts w:ascii="Times New Roman" w:cs="Times New Roman" w:eastAsia="Times New Roman" w:hAnsi="Times New Roman"/>
          <w:sz w:val="18"/>
          <w:szCs w:val="18"/>
          <w:color w:val="auto"/>
        </w:rPr>
        <w:t>Any reduction in reimbursement from Medicare resulting from the IRA or other legislative or policy changes, or from other government programs may result in a similar reduction in payments from private payers. These healthcare reforms and the implementation of any future cost containment measures or other reforms may prevent us from being able to generate sufficient revenue, attain and/or maintain profitability or commercialize our drug candidates. We cannot be sure whether additional legislative changes will be enacted, or the effect of forthcoming guidance implementing the IRA, or whether FDA regulations, guidance or interpretations will be changed, or what the impact of such changes on our product candidates or the marketing approvals of our product candidates, if any, may be.</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231F20"/>
        </w:rPr>
        <w:t>In some countries, particularly in Europe, the pricing of our product may be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if approved, is unavailable or more limited in scope or amount than we anticipate, or if pricing is set at even lower levels than we anticipate, our business could be harmed, possibly materially.</w:t>
      </w:r>
    </w:p>
    <w:p>
      <w:pPr>
        <w:spacing w:after="0" w:line="14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Product liability lawsuits against us could cause us to incur substantial liabilities that may not be covered by our limited product liability insurance and may limit the development, approval and commercialization of Symvess and any product candidates that we develop in the future.</w:t>
      </w:r>
    </w:p>
    <w:p>
      <w:pPr>
        <w:spacing w:after="0" w:line="125"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8"/>
          <w:szCs w:val="18"/>
          <w:color w:val="231F20"/>
        </w:rPr>
        <w:t>We face an inherent risk of product liability exposure related to the testing of Symvess and our product candidates in human clinical trials. As we begin to sell Symvess, we will face an even greater risk of such exposure. If we cannot successfully defend ourselves against claims that Symvess or our product candidates caused injuries, we will incur substantial liabilities. Regardless of merit or eventual outcome, product liability claims may result in:</w:t>
      </w:r>
    </w:p>
    <w:p>
      <w:pPr>
        <w:spacing w:after="0" w:line="153"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decreased demand for Symvess or any product candidates that we develop or sell, leading to loss of revenue;</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injury to our reputation and significant negative media attention;</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withdrawal, or slower enrollment, of clinical trial participants;</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 costs to defend the related litigation and reduced resources of our management to pursue our business strategy;</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substantial monetary awards to trial participants or patients; and</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inability to further develop or commercialize Symvess or our product candidates.</w:t>
      </w:r>
    </w:p>
    <w:p>
      <w:pPr>
        <w:spacing w:after="0" w:line="190" w:lineRule="exact"/>
        <w:rPr>
          <w:sz w:val="20"/>
          <w:szCs w:val="20"/>
          <w:color w:val="auto"/>
        </w:rPr>
      </w:pPr>
    </w:p>
    <w:p>
      <w:pPr>
        <w:ind w:right="220" w:firstLine="318"/>
        <w:spacing w:after="0" w:line="271" w:lineRule="auto"/>
        <w:rPr>
          <w:sz w:val="20"/>
          <w:szCs w:val="20"/>
          <w:color w:val="auto"/>
        </w:rPr>
      </w:pPr>
      <w:r>
        <w:rPr>
          <w:rFonts w:ascii="Times New Roman" w:cs="Times New Roman" w:eastAsia="Times New Roman" w:hAnsi="Times New Roman"/>
          <w:sz w:val="18"/>
          <w:szCs w:val="18"/>
          <w:color w:val="231F20"/>
        </w:rPr>
        <w:t>We currently hold limited product liability insurance coverage, and it may not be adequate to cover all liabilities that we may incur. We also may not be able to maintain insurance coverage at a reasonable cost or in an amount adequate to satisfy any liability that may arise.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Manufacturing Symvess and Our Product Candidates</w:t>
      </w:r>
    </w:p>
    <w:p>
      <w:pPr>
        <w:spacing w:after="0" w:line="175"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The manufacture of Symvess and our product candidates is complex, we have limited experience manufacturing commercial product, and we have in the past and may in the future encounter batch failures and difficulties in production. If we or any third-party supplier encounter such difficulties, our ability to supply Symvess for commercial sale or our product candidates for clinical trials could be delayed or halted entirely.</w:t>
      </w:r>
    </w:p>
    <w:p>
      <w:pPr>
        <w:spacing w:after="0" w:line="152"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The process of manufacturing our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xml:space="preserve">s, including Symvess, is complex, highly regulated and subject to multiple risks. The manufacture of biologics such as our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xml:space="preserve">s has been, and continues to be, susceptible to product loss and batch failures due to a range of factors including raw material and other component deficiencies, contamination, equipment failure, temporary power outages, improper installation or operation of equipment, damage to facilities, vendor or operator error, inconsistency in yields, variability in product and raw material characteristics and difficulties in scaling the production process. Even minor deviations from normal manufacturing processes has resulted, and could in the future result, in reduced production yields, batch failures, product defects and other supply disruptions. For example, from time to time we have had multiple batch failures in succession. We believe we have identified the root cause of those failures and have implemented appropriate corrective actions. However, if our corrective actions are not successful, or if the FDA disagrees with our root cause analysis or our corrective actions, it may delay or disrupt our manufacturing operations or delay or prevent the filing or approval of marketing applications for our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s. If microbial, viral or other contaminations are discovered in Symvess or our product candidates, or in the manufacturing facilities in which our products are made, manufacturing may be delayed or disrupted for an extended period of time to investigate and remedy the contamination, which would harm our business, operating results and financial condition as well as our reputation. We depend on cell banks in our manufacturing process, and the loss or alteration of our master cell banks would result in significant disruptions to that process.</w:t>
      </w:r>
    </w:p>
    <w:p>
      <w:pPr>
        <w:spacing w:after="0" w:line="200" w:lineRule="exact"/>
        <w:rPr>
          <w:sz w:val="20"/>
          <w:szCs w:val="20"/>
          <w:color w:val="auto"/>
        </w:rPr>
      </w:pPr>
    </w:p>
    <w:p>
      <w:pPr>
        <w:spacing w:after="0" w:line="3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We currently manufacture Symvess for initial commercial distribution and our 6 millimeter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xml:space="preserve">s for our clinical trials at our manufacturing facility in Durham, North Carolina, where we have created a scalable modular manufacturing process, which we refer to as the LUNA200 system, that we believe will enable us to manufacture Symvess in commercial quantities in compliance with cGMPs. Our efforts to scale out our manufacturing operations may not succeed. Scaling out a biologic manufacturing process is a difficult task, as there are risks including, among others, cost overruns, process reproducibility, stability issues, lot consistency and timely availability of raw materials. We have limited years of experience manufacturing our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xml:space="preserve">s in-house with the LUNA200 system, and no experience manufacturing the volume of Symvess and our </w:t>
      </w:r>
      <w:r>
        <w:rPr>
          <w:rFonts w:ascii="Times New Roman" w:cs="Times New Roman" w:eastAsia="Times New Roman" w:hAnsi="Times New Roman"/>
          <w:sz w:val="18"/>
          <w:szCs w:val="18"/>
          <w:color w:val="231F20"/>
        </w:rPr>
        <w:t>ATEV product candidates</w:t>
      </w:r>
      <w:r>
        <w:rPr>
          <w:rFonts w:ascii="Times New Roman" w:cs="Times New Roman" w:eastAsia="Times New Roman" w:hAnsi="Times New Roman"/>
          <w:sz w:val="18"/>
          <w:szCs w:val="18"/>
          <w:color w:val="auto"/>
        </w:rPr>
        <w:t xml:space="preserve"> that we anticipate will be required to achieve planned levels of commercial sales and to supply all of our clinical trials. Additionally, our manufacturing process has evolved over time and we may not have the experience, resources, or facility capacity to handle adoption of future changes or expansion of capacity. The forecasts of demand we plan to use to determine order quantities and lead times for components from outside suppliers may be incorrect, and we may be unable to obtain such components when needed and at a reasonable cost. We also have experienced interruptions in the supply of the raw materials required to manufacture our products, and increased costs due to supply chain disruptions or inflation in the cost of goods, services or other operating inputs. Likewise, supply chain interruptions could affect the transport of Symvess or our clinical trial materials, such as our investigational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xml:space="preserve">s and other supplies, which would negatively impact our ability to conduct our clinical trials or commercialize our product. In addition, we may not be able to develop and implement efficient manufacturing capabilities and processes to manufacture our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xml:space="preserve">s in sufficient volumes that also satisfy the legal, regulatory, quality, price, durability, engineering, design and production standards required to commercialize our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s, including Symvess, successfully.</w:t>
      </w:r>
    </w:p>
    <w:p>
      <w:pPr>
        <w:spacing w:after="0" w:line="153"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 xml:space="preserve">If we are unable to produce sufficient quantities of Symvess for commercialization or our investigational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xml:space="preserve">s for our clinical trial needs, we may need to make additional changes to our manufacturing processes and procedures. Such changes to our manufacturing platform could trigger the need to conduct additional bridging studies between our prior clinical supply and that of any new manufacturing processes and procedures. Should we experience delays or be unable to produce sufficient quantities of our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s, including Symvess, utilizing our current or a modified version of our manufacturing system, we expect that our development and commercialization efforts would be impaired as a result, which would likely materially adversely affect our business, prospects, operating results and financial condition.</w:t>
      </w:r>
    </w:p>
    <w:p>
      <w:pPr>
        <w:spacing w:after="0" w:line="14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Manufacturing facilities are subject to significant government regulations and approvals, which are often costly and could result in adverse consequences to our business if we fail to comply with the regulations or maintain the approvals.</w:t>
      </w:r>
    </w:p>
    <w:p>
      <w:pPr>
        <w:spacing w:after="0" w:line="13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231F20"/>
        </w:rPr>
        <w:t>Our manufacturing facility is subject to ongoing regulation and periodic inspection by the FDA and other regulatory authorities to ensure compliance with cGMPs. Failure to follow and document adherence to such regulations or other regulatory requirements may (i) lead to significant delays in the availability of Symvess for commercial sale or of product for our clinical trials, (ii) result in the termination of or a hold being placed on one or more of our clinical trials,</w:t>
      </w:r>
    </w:p>
    <w:p>
      <w:pPr>
        <w:ind w:right="580" w:firstLine="6"/>
        <w:spacing w:after="0" w:line="248" w:lineRule="auto"/>
        <w:tabs>
          <w:tab w:leader="none" w:pos="309"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 significant modifications to our manufacturing facility, personnel, and procedures, (iv) delay or prevent filing or approval of marketing applications for our product candidates, (v) result in temporary or permanent closures of our manufacturing facilities, and/or (vi) result in other civil or criminal penalties.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Reliance on Third Parties</w:t>
      </w:r>
    </w:p>
    <w:p>
      <w:pPr>
        <w:spacing w:after="0" w:line="17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conduct and support our clinical trials, and those third parties may not perform satisfactorily, including by failing to adhere to regulatory requirements or our stated protocols or to meet deadlines for the completion of such trials.</w:t>
      </w:r>
    </w:p>
    <w:p>
      <w:pPr>
        <w:spacing w:after="0" w:line="13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We do not independently conduct clinical trials for our product candidates and instead rely on third parties, such as CROs, clinical data management organizations, medical institutions and clinical investigators, to perform various functions, including implanting our ATEVs and monitoring patients. The FDA and other regulatory authorities require us and these third parties to comply with GCP and, where applicable, cGTPs for conducting, recording and reporting the results of clinical trials to assure that data and reported results are credible and accurate and that the rights, integrity and confidentiality of patients in clinical trials are protected; ultimately, we remain responsible for ensuring that each of our clinical trials is conducted in accordance with the general investigational plan and trial protocol. Failure by us or these third parties to do so could require us to enroll additional trial subjects beyond those we anticipate, could require us to modify our protocol, which may cause us to lose previously established Special Protocol Assessment (“SPA”) agreements with the FDA or similar agreements with other regulatory authorities concerning whether the design and size of our clinical trial adequately addresses scientific and regulatory requirements to support marketing approval, or could materially harm our ability to complete our clinical trials, including as a result of the need to remove trial sites and participants from the trial, and could result in civil or criminal penalties. We have in the past and may in the future need to terminate trial sites due to</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failure to conduct a trial in accordance with its protocol, applicable regulations, GCPs, and generally accepted research standards.</w:t>
      </w:r>
    </w:p>
    <w:p>
      <w:pPr>
        <w:spacing w:after="0" w:line="177"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231F20"/>
        </w:rPr>
        <w:t>The performance of the sites for our clinical trials may also be adversely affected by various other issues, including the lack of familiarity with the properties of our ATEVs, intervention rates, insufficient training of personnel, variances in medical infrastructure, lack of familiarity with conducting clinical trials in accordance with international regulatory standards, communication difficulties or changes in local regulations. If these third parties do not successfully conduct our clinical trials in accordance with regulatory requirements or our stated protocols, carry out their contractual duties, or meet expected deadlines, we may not be able to obtain, or may be delayed in obtaining, marketing approvals for our product candidates and may not be able to, or may be delayed in our efforts to, successfully commercialize Symvess or our product candidates, if approved by regulatory authorities.</w:t>
      </w:r>
    </w:p>
    <w:p>
      <w:pPr>
        <w:spacing w:after="0" w:line="14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We rely on third-party suppliers, including sole source suppliers, to provide certain components for Symvess and our product candidates. Any failure by a third-party supplier to supply these components for manufacture may delay or impair our ability to commercialize Symvess and to complete our clinical trials for our product candidates.</w:t>
      </w:r>
    </w:p>
    <w:p>
      <w:pPr>
        <w:spacing w:after="0" w:line="152"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231F20"/>
        </w:rPr>
        <w:t>We currently rely, and expect to continue to rely, on third parties for the supply of certain components necessary for Symvess and our product candidates, such as donor tissue, other biologically derived substances, human serum, the PGA polymer mesh and the bioreactor bags in which our ATEVs are grown. Our suppliers for certain of these materials, including SeraCare for the supply of human plasma and Confluent for the supply of polymer mesh, are sole source suppliers. Failure of one or more of our suppliers, including these sole source suppliers, to deliver components necessary for the production of our ATEVs in a timely and sufficient manner, whether due to shortages of such materials, difficulties in scaling up supply to satisfy our clinical trial and commercial needs, contamination, recall, pandemics or otherwise, or to source or manufacture such components in accordance with cGMPs and cGTPs, as applicable, could delay our ability to commercialize Symvess, which would reduce revenue from our sole approved product, or to complete our clinical trials, obtain marketing approval for and commercialize our product candidates. Establishing additional or replacement suppliers for these components could take a substantial amount of time and it may be difficult to establish replacement suppliers who meet regulatory requirements. 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 If our suppliers fail to comply with applicable regulations, and if we do not qualify alternate suppliers, the clinical development, marketing approval or commercialization of our product candidates could be delayed, thereby increasing our costs to complete clinical development and to obtain marketing approval and depriving us of potential product revenue.</w:t>
      </w:r>
    </w:p>
    <w:p>
      <w:pPr>
        <w:spacing w:after="0" w:line="15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We intend to rely on our strategic, global relationship with Fresenius Medical Care to undertake, or assist with, the development and commercialization of certain of our product candidates if we receive marketing approval from relevant regulatory authorities. Disruption of this arrangement could materially adversely affect our business, prospects, operating results and financial condition.</w:t>
      </w:r>
    </w:p>
    <w:p>
      <w:pPr>
        <w:spacing w:after="0" w:line="139"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color w:val="231F20"/>
        </w:rPr>
        <w:t>Under the distribution agreement, Fresenius Medical Care has the exclusive right to sell and distribute the distribution product in the field outside of the United States. In addition, under the terms of the distribution agreement, Fresenius Medical Care will collaborate with Humacyte in its commercialization of the distribution product in the field in the United States, including adoption of the distribution product as a standard of care in patients for which such use is supported by clinical results and health economic analyses. As a result of our arrangement with Fresenius Medical Care, we expect to be reliant on Fresenius Medical Care to undertake or assist with the development and commercialization, as well as, in some cases, obtaining and maintaining regulatory approval, of the distribution product in the field and for Fresenius Medical Care to do so in a manner consistent with applicable law and regulatory requirements outside of the United States. If Fresenius Medical Care otherwise fails to undertake or assist with the development or commercialization, or obtaining or maintaining regulatory approvals, of the distribution product in accordance with the terms of the distribution agreement, our business, prospects, operating results and financial condition would be adversely affected, perhaps materially.</w:t>
      </w:r>
    </w:p>
    <w:p>
      <w:pPr>
        <w:spacing w:after="0" w:line="166"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7"/>
          <w:szCs w:val="17"/>
          <w:color w:val="231F20"/>
        </w:rPr>
        <w:t>Fresenius Medical Care also maintains certain discretionary termination rights on a country-by-country basis with respect to any country outside of the United States under the distribution agreement, as discussed in more detail in the section of this Annual Report on Form 10-K titled “Business — Distribution</w:t>
      </w:r>
    </w:p>
    <w:p>
      <w:pPr>
        <w:spacing w:after="0" w:line="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231F20"/>
        </w:rPr>
        <w:t>— Distribution Agreement with Fresenius Medical Care.” If the distribution agreement is terminated, we may not be able to secure an alternative distributor in the applicable country on a timely basis or at all, in which case our ability to generate revenues from the distribution product in such country would be harmed.</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In addition, if Fresenius Medical Care fails to undertake or assist with the development or commercialization, or obtaining or maintaining regulatory approval, as applicable, of the distribution product in a manner consistent with applicable law and regulatory requirements, patient access to, and demand for, the distribution product could be reduced, our reputation could be damaged, and, under certain circumstances, we could be exposed to potential liability. Furthermore, while Fresenius Medical Care has certain commercialization diligence obligations, Fresenius Medical Care is not restricted from offering its own products and services or the products and services of other companies that compete with the distribution product, and may not undertake or assist with the development or commercialization of the distribution product effectively.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Financial Position and Need for Additional Funding</w:t>
      </w:r>
    </w:p>
    <w:p>
      <w:pPr>
        <w:spacing w:after="0" w:line="17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We have never generated product revenue and have incurred significant losses to date. We expect to continue to incur losses for the foreseeable future and may never generate product revenue or be profitable.</w:t>
      </w:r>
    </w:p>
    <w:p>
      <w:pPr>
        <w:spacing w:after="0" w:line="138" w:lineRule="exact"/>
        <w:rPr>
          <w:sz w:val="20"/>
          <w:szCs w:val="20"/>
          <w:color w:val="auto"/>
        </w:rPr>
      </w:pPr>
    </w:p>
    <w:p>
      <w:pPr>
        <w:ind w:right="140" w:firstLine="318"/>
        <w:spacing w:after="0" w:line="268" w:lineRule="auto"/>
        <w:rPr>
          <w:sz w:val="20"/>
          <w:szCs w:val="20"/>
          <w:color w:val="auto"/>
        </w:rPr>
      </w:pPr>
      <w:r>
        <w:rPr>
          <w:rFonts w:ascii="Times New Roman" w:cs="Times New Roman" w:eastAsia="Times New Roman" w:hAnsi="Times New Roman"/>
          <w:sz w:val="17"/>
          <w:szCs w:val="17"/>
          <w:color w:val="231F20"/>
        </w:rPr>
        <w:t>Since inception, we have generated no product revenue. We incurred net losses of $148.7 million and $110.8 million for the years ended December 31, 2024 and 2023, respectively. As of December 31, 2024 and 2023, we had an accumulated deficit of $686.0 million and $537.3 million, respectively. We have historically financed our operations primarily through the sale of equity securities and convertible debt, proceeds from our going public transaction, borrowings under loan facilities, the Purchase Agreement and, to a lesser extent, through grants from governmental agencies. We have devoted substantially all of our financial resources and efforts to research and development, including preclinical studies and clinical trials and development of manufacturing technology, and we anticipate that our expenses will continue to increase over the next several years as we continue these activities.</w:t>
      </w:r>
    </w:p>
    <w:p>
      <w:pPr>
        <w:spacing w:after="0" w:line="133"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8"/>
          <w:szCs w:val="18"/>
          <w:color w:val="231F20"/>
        </w:rPr>
        <w:t>To become and remain profitable, we must succeed in commercializing Symvess, obtaining marketing approval for Symvess outside of the United States, obtaining marketing approval for our product candidates, and in developing and commercializing additional product candidates that generate significant revenue. We may never succeed in these activities and, even if we do, may never generate revenue that is sufficient to achieve profitability.</w:t>
      </w:r>
    </w:p>
    <w:p>
      <w:pPr>
        <w:spacing w:after="0" w:line="140"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8"/>
          <w:szCs w:val="18"/>
          <w:color w:val="231F20"/>
        </w:rPr>
        <w:t>Even if we do achieve profitability, we may not be able to sustain or increase profitability. Our failure to become and remain profitable would depress the value of our company and could impair our ability to maintain our research and development efforts, expand our business, diversify our product offerings or even continue our operations. A decline in the value of Humacyte could also cause you to lose all or part of your investment in our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use our net operating loss and tax credit carryforwards to offset future taxable income may be subject to certain limitations.</w:t>
      </w:r>
    </w:p>
    <w:p>
      <w:pPr>
        <w:spacing w:after="0" w:line="181"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231F20"/>
        </w:rPr>
        <w:t>As of December 31, 2024, we had net operating loss carryforwards for federal and state tax purposes of approximately $465.0 million and $471.7 million, respectively, which begin to expire in 2025. In addition, we had tax credit carryforwards for federal and state tax purposes of approximately $27.3 million as of December 31, 2024, which begin to expire in 2025 and will expire completely in 2044. The future utilization of net operating loss and tax credit carryforwards may be limited due to changes in ownership. In general, if we experience a greater than 50% aggregate change in ownership of certain significant stockholders or groups over a three-year period (which constitutes an ownership change under Section 382 of the Internal Revenue Code of 1986, as amended (the “Code”)), utilization of our pre-change net operating loss carryforwards is subject to an annual limitation under Section 382 of the Code (and similar state laws). The annual limitation generally is determined by multiplying the value of our stock at the time of such ownership change (subject to certain adjustments) by the applicable long-term tax-exempt rate. Such limitations may result in expiration of a portion of the pre-change net operating loss carryforwards before utilization and may be substantial. In the past we may have experienced, and in the future may experience, ownership changes as a result of subsequent shifts in our stock ownership. As a result, if we earn net taxable income, our ability to use our pre-change net operating loss carryforwards to offset United States federal taxable income may be subject to limitations, which could potentially result in increased future tax liability to us.</w:t>
      </w:r>
    </w:p>
    <w:p>
      <w:pPr>
        <w:spacing w:after="0" w:line="200" w:lineRule="exact"/>
        <w:rPr>
          <w:sz w:val="20"/>
          <w:szCs w:val="20"/>
          <w:color w:val="auto"/>
        </w:rPr>
      </w:pPr>
    </w:p>
    <w:p>
      <w:pPr>
        <w:spacing w:after="0" w:line="3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We expect to need to raise additional funding, which may not be available on acceptable terms, or at all, and any failure to obtain capital when needed may force us to delay, limit or terminate our product development or commercialization efforts.</w:t>
      </w:r>
    </w:p>
    <w:p>
      <w:pPr>
        <w:spacing w:after="0" w:line="125"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231F20"/>
        </w:rPr>
        <w:t>We expect to incur significant expenses in connection with our ongoing activities as we seek to (i) scale out our manufacturing facility to satisfy potential demand for Symvess in the United States, (ii) continue our preclinical and clinical development efforts, including the ongoing clinical trials, and (iii) to commercialize Symvess in the United States and to obtain marketing approval for our 6 millimeter ATEV outside of the United States for one or more approved indications. We will need additional funding in connection with these activities. Our future capital requirements will depend on many factors, including:</w:t>
      </w:r>
    </w:p>
    <w:p>
      <w:pPr>
        <w:spacing w:after="0" w:line="148" w:lineRule="exact"/>
        <w:rPr>
          <w:sz w:val="20"/>
          <w:szCs w:val="20"/>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progress and results of our clinical trials and interpretation of those results by the FDA and other regulatory authorities;</w:t>
      </w:r>
    </w:p>
    <w:p>
      <w:pPr>
        <w:spacing w:after="0" w:line="190" w:lineRule="exact"/>
        <w:rPr>
          <w:rFonts w:ascii="Times New Roman" w:cs="Times New Roman" w:eastAsia="Times New Roman" w:hAnsi="Times New Roman"/>
          <w:sz w:val="18"/>
          <w:szCs w:val="18"/>
          <w:color w:val="231F20"/>
        </w:rPr>
      </w:pPr>
    </w:p>
    <w:p>
      <w:pPr>
        <w:ind w:left="640" w:right="80" w:hanging="316"/>
        <w:spacing w:after="0" w:line="271" w:lineRule="auto"/>
        <w:tabs>
          <w:tab w:leader="none" w:pos="635"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timing and outcome of regulatory review of our product candidates, particularly for approval of Symvess outside of the United States and of our product candidates in the United States;</w:t>
      </w:r>
    </w:p>
    <w:p>
      <w:pPr>
        <w:spacing w:after="0" w:line="128"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preclinical development, laboratory testing and clinical trials for our additional product candidates;</w:t>
      </w:r>
    </w:p>
    <w:p>
      <w:pPr>
        <w:spacing w:after="0" w:line="176" w:lineRule="exact"/>
        <w:rPr>
          <w:rFonts w:ascii="Times New Roman" w:cs="Times New Roman" w:eastAsia="Times New Roman" w:hAnsi="Times New Roman"/>
          <w:sz w:val="18"/>
          <w:szCs w:val="18"/>
          <w:color w:val="231F20"/>
        </w:rPr>
      </w:pPr>
    </w:p>
    <w:p>
      <w:pPr>
        <w:ind w:left="640" w:right="20" w:hanging="316"/>
        <w:spacing w:after="0" w:line="271" w:lineRule="auto"/>
        <w:tabs>
          <w:tab w:leader="none" w:pos="635"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our future commercialization activities, including product manufacturing, marketing and distribution for Symvess in the United States, and any other product candidate for which we receive marketing approval in the future;</w:t>
      </w:r>
    </w:p>
    <w:p>
      <w:pPr>
        <w:spacing w:after="0" w:line="141" w:lineRule="exact"/>
        <w:rPr>
          <w:rFonts w:ascii="Times New Roman" w:cs="Times New Roman" w:eastAsia="Times New Roman" w:hAnsi="Times New Roman"/>
          <w:sz w:val="18"/>
          <w:szCs w:val="18"/>
          <w:color w:val="231F20"/>
        </w:rPr>
      </w:pPr>
    </w:p>
    <w:p>
      <w:pPr>
        <w:ind w:left="640" w:right="500" w:hanging="316"/>
        <w:spacing w:after="0" w:line="271" w:lineRule="auto"/>
        <w:tabs>
          <w:tab w:leader="none" w:pos="635"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revenues, if any, that we receive from commercial sales of Symvess and any product candidates for which we receive marketing approval; and</w:t>
      </w:r>
    </w:p>
    <w:p>
      <w:pPr>
        <w:spacing w:after="0" w:line="128" w:lineRule="exact"/>
        <w:rPr>
          <w:rFonts w:ascii="Times New Roman" w:cs="Times New Roman" w:eastAsia="Times New Roman" w:hAnsi="Times New Roman"/>
          <w:sz w:val="18"/>
          <w:szCs w:val="18"/>
          <w:color w:val="231F20"/>
        </w:rPr>
      </w:pPr>
    </w:p>
    <w:p>
      <w:pPr>
        <w:ind w:left="640" w:right="80" w:hanging="316"/>
        <w:spacing w:after="0" w:line="271" w:lineRule="auto"/>
        <w:tabs>
          <w:tab w:leader="none" w:pos="635"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w:t>
      </w:r>
    </w:p>
    <w:p>
      <w:pPr>
        <w:spacing w:after="0" w:line="128"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231F20"/>
        </w:rPr>
        <w:t>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As of December 31, 2024, we had cash and cash equivalents of $44.9 million and restricted cash of $50.4 million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and as of December 31, 2023, we had cash and cash equivalents of $80.4 million and restricted cash of $0.4 million. Subsequent to December 31, 2024, in March 2025 we completed a public offering of common stock which provided approximately </w:t>
      </w:r>
      <w:r>
        <w:rPr>
          <w:rFonts w:ascii="Times New Roman" w:cs="Times New Roman" w:eastAsia="Times New Roman" w:hAnsi="Times New Roman"/>
          <w:sz w:val="18"/>
          <w:szCs w:val="18"/>
          <w:color w:val="000000"/>
        </w:rPr>
        <w:t>$46.6 million</w:t>
      </w:r>
      <w:r>
        <w:rPr>
          <w:rFonts w:ascii="Times New Roman" w:cs="Times New Roman" w:eastAsia="Times New Roman" w:hAnsi="Times New Roman"/>
          <w:sz w:val="18"/>
          <w:szCs w:val="18"/>
          <w:color w:val="231F20"/>
        </w:rPr>
        <w:t xml:space="preserve"> in net proceeds. Based upon our current operating plan, we believe that our cash and cash equivalents will be sufficient to fund our operations, including clinical trial expenses and capital expenditure requirements, for at least 12 months from the date of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Pursuant to the terms of the Purchase Agreement, we may be limited in our ability to incur future debt.</w:t>
      </w:r>
    </w:p>
    <w:p>
      <w:pPr>
        <w:spacing w:after="0" w:line="181"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On May 12, 2023, the Company and Global entered into the Purchase Agreement with the Purchasers and another affiliate of Oberland, as agent for the Purchasers (the “Agent”), to obtain financing with respect to the further development and commercialization of the Company’s ATEV, to repay the Company’s credit facility with Silicon Valley Bank (“SVB”), and for other general corporate purposes. Pursuant to the terms of the Purchase Agreement, we are limited in our ability to incur additional indebtedness without the prior written consent of the Purchasers. The Purchasers have an option to terminate the Purchase Agreement and to require Global to repurchase the Revenue Interests in the event that we incur additional indebtedness in violation of the terms of the Purchase Agreement.</w:t>
      </w:r>
    </w:p>
    <w:p>
      <w:pPr>
        <w:spacing w:after="0" w:line="14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231F20"/>
        </w:rPr>
        <w:t>We cannot assure you that our business will generate sufficient cash flow from operations, that we will be able to incur future debt on favorable terms or at all, or that future financing will be available to us in amounts sufficient to fund our operations.</w:t>
      </w:r>
    </w:p>
    <w:p>
      <w:pPr>
        <w:spacing w:after="0" w:line="200" w:lineRule="exact"/>
        <w:rPr>
          <w:sz w:val="20"/>
          <w:szCs w:val="20"/>
          <w:color w:val="auto"/>
        </w:rPr>
      </w:pPr>
    </w:p>
    <w:p>
      <w:pPr>
        <w:spacing w:after="0" w:line="3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To date, we have obtained marketing approval for, and begun commercializing, only one product, which may make it difficult for you to evaluate the success of our business to date and to assess our future viability.</w:t>
      </w:r>
    </w:p>
    <w:p>
      <w:pPr>
        <w:spacing w:after="0" w:line="125"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231F20"/>
        </w:rPr>
        <w:t>We recently began commercializing Symvess, our sole approved product in the United States. Our operations to date, with respect to the development of our product candidates, have been limited to organizing and staffing our company, business planning, raising capital, identifying markets for our product candidates, undertaking preclinical studies and clinical trials of our product candidates for various potential indications and establishing research and development, manufacturing and distributing collaborations. We have not yet demonstrated the ability to manufacture an approved product at commercial scale or to successfully commercialize an approved product. Consequently, any predictions you make about our financial prospects may not be as accurate as they could be if we already had commercialized a product.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Government Regulation</w:t>
      </w:r>
    </w:p>
    <w:p>
      <w:pPr>
        <w:spacing w:after="0" w:line="188" w:lineRule="exact"/>
        <w:rPr>
          <w:sz w:val="20"/>
          <w:szCs w:val="20"/>
          <w:color w:val="auto"/>
        </w:rPr>
      </w:pPr>
    </w:p>
    <w:p>
      <w:pPr>
        <w:ind w:right="200"/>
        <w:spacing w:after="0" w:line="306" w:lineRule="auto"/>
        <w:rPr>
          <w:sz w:val="20"/>
          <w:szCs w:val="20"/>
          <w:color w:val="auto"/>
        </w:rPr>
      </w:pPr>
      <w:r>
        <w:rPr>
          <w:rFonts w:ascii="Times New Roman" w:cs="Times New Roman" w:eastAsia="Times New Roman" w:hAnsi="Times New Roman"/>
          <w:sz w:val="17"/>
          <w:szCs w:val="17"/>
          <w:b w:val="1"/>
          <w:bCs w:val="1"/>
          <w:i w:val="1"/>
          <w:iCs w:val="1"/>
          <w:color w:val="231F20"/>
        </w:rPr>
        <w:t>Even though we received marketing approval for Symvess, we continue to be subject to ongoing regulatory obligations and continued regulatory review, which may result in significant additional expense and subject us to significant penalties if we fail to comply with applicable regulatory requirements.</w:t>
      </w:r>
    </w:p>
    <w:p>
      <w:pPr>
        <w:spacing w:after="0" w:line="101"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7"/>
          <w:szCs w:val="17"/>
          <w:color w:val="auto"/>
        </w:rPr>
        <w:t>Symvess and any other product candidates for which we also obtain marketing approval in the United States, will be subject to ongoing regulatory requirements from the FDA and, if approved elsewhere, from applicable non-U.S. regulatory authorities. Any marketing approval that we receive for our product candidates may be subject to limitations on the indicated uses for which the product may be marketed or contain requirements for potentially costly post-marketing follow-up trials to monitor the safety and efficacy of the product. For example, the FDA’s approval of Symvess includes requirements to conduct an open-label study to assess the safety and efficacy of Symvess in certain patients 17 years of age or younger, as well as a long-term observational study to further characterize the risk of graft failure and infection in patients with extremity vascular injury who have received Symvess for the approved indication. The FDA could also approve our product candidates with a REMS, which could include significant restrictions on distribution and/or use of our products. In addition, we are subject to extensive and ongoing post-approval regulatory requirements for Symvess by the FDA, and if approved elsewhere, by other non-U.S. regulatory authorities, with regard to the manufacturing, labelling, packaging, AE reporting, storage, advertising, distribution, promotion and recordkeeping for Symvess and any other product candidates that may receive marketing approval. If we fail to comply with regulatory requirements of the FDA and, if relevant, other non-U.S. regulatory authorities, we could be subject to administrative or judicially imposed sanctions, including the following:</w:t>
      </w:r>
    </w:p>
    <w:p>
      <w:pPr>
        <w:spacing w:after="0" w:line="136" w:lineRule="exact"/>
        <w:rPr>
          <w:sz w:val="20"/>
          <w:szCs w:val="20"/>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issuance of warning letters or untitled letters by regulatory authorities asserting that we are in violation of the law;</w:t>
      </w:r>
    </w:p>
    <w:p>
      <w:pPr>
        <w:spacing w:after="0" w:line="190"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injunctions or significant civil monetary penalties or pursuit by regulatory authorities of civil or criminal prosecutions and fines or other civil and/or criminal penalties against us or our responsible officers;</w:t>
      </w:r>
    </w:p>
    <w:p>
      <w:pPr>
        <w:spacing w:after="0" w:line="128"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or withdrawal of marketing approval;</w:t>
      </w:r>
    </w:p>
    <w:p>
      <w:pPr>
        <w:spacing w:after="0" w:line="176" w:lineRule="exact"/>
        <w:rPr>
          <w:rFonts w:ascii="Times New Roman" w:cs="Times New Roman" w:eastAsia="Times New Roman" w:hAnsi="Times New Roman"/>
          <w:sz w:val="18"/>
          <w:szCs w:val="18"/>
          <w:color w:val="231F20"/>
        </w:rPr>
      </w:pPr>
    </w:p>
    <w:p>
      <w:pPr>
        <w:ind w:left="640" w:right="180" w:hanging="316"/>
        <w:spacing w:after="0" w:line="271" w:lineRule="auto"/>
        <w:tabs>
          <w:tab w:leader="none" w:pos="635"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of any ongoing clinical trials or refusal by regulatory authorities to approve pending marketing applications or supplements to approved applications;</w:t>
      </w:r>
    </w:p>
    <w:p>
      <w:pPr>
        <w:spacing w:after="0" w:line="141"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seizure of products or refusal to allow us to enter into supply contracts, including government contracts, or to import or export products;</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voluntary or mandatory product recalls and publicity requirements; and</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operations, including marketing efforts, or restrictions that mandate costly new manufacturing requirements.</w:t>
      </w:r>
    </w:p>
    <w:p>
      <w:pPr>
        <w:spacing w:after="0" w:line="190"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8"/>
          <w:szCs w:val="18"/>
          <w:color w:val="231F20"/>
        </w:rPr>
        <w:t>Any of these events could reduce market acceptance of Symvess or any of our product candidates that had received marketing approval, substantially reduce our revenue, increase the costs of operating our business, and cause us significant reputational damage, among other consequences. If we ultimately receive approval for Symvess or any of our product candidates in jurisdictions outside the United States, we expect to be subject to similar ongoing regulatory oversight by the relevant foreign regulatory authorities.</w:t>
      </w:r>
    </w:p>
    <w:p>
      <w:pPr>
        <w:spacing w:after="0" w:line="200" w:lineRule="exact"/>
        <w:rPr>
          <w:sz w:val="20"/>
          <w:szCs w:val="20"/>
          <w:color w:val="auto"/>
        </w:rPr>
      </w:pPr>
    </w:p>
    <w:p>
      <w:pPr>
        <w:spacing w:after="0" w:line="3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231F20"/>
        </w:rPr>
        <w:t>Our products may be subject to product recalls that could harm our reputation and could materially and adversely affect our business, financial condition, operating results, cash flows and prospects. The FDA and other regulatory agencies strictly regulate the promotional claims that may be made about approved products. In particular, while the FDA permits the dissemination of truthful and non-misleading information about an approved product, the FDA restricts our ability to promote a product for uses that are not approved by the FDA. The misuse or off-label use of our product may harm our reputation in the marketplace, result in injuries that lead to product liability suits or result in costly investigations, fines or sanctions by regulatory authorities if we are deemed to have engaged in the promotion of these uses, any of which could be costly to our business. We may also face risks in other non-U.S. jurisdictions from product recalls and advertising/promotion rules.</w:t>
      </w:r>
    </w:p>
    <w:p>
      <w:pPr>
        <w:spacing w:after="0" w:line="151" w:lineRule="exact"/>
        <w:rPr>
          <w:sz w:val="20"/>
          <w:szCs w:val="20"/>
          <w:color w:val="auto"/>
        </w:rPr>
      </w:pPr>
    </w:p>
    <w:p>
      <w:pPr>
        <w:ind w:right="120" w:firstLine="318"/>
        <w:spacing w:after="0" w:line="271" w:lineRule="auto"/>
        <w:rPr>
          <w:sz w:val="20"/>
          <w:szCs w:val="20"/>
          <w:color w:val="auto"/>
        </w:rPr>
      </w:pPr>
      <w:r>
        <w:rPr>
          <w:rFonts w:ascii="Times New Roman" w:cs="Times New Roman" w:eastAsia="Times New Roman" w:hAnsi="Times New Roman"/>
          <w:sz w:val="18"/>
          <w:szCs w:val="18"/>
          <w:color w:val="231F20"/>
        </w:rPr>
        <w:t>We could also face product liability suits or regulatory delays due to defects in our products, which could be expensive and time-consuming and result in substantial damages payable by us and increases in our insurance rates.</w:t>
      </w:r>
    </w:p>
    <w:p>
      <w:pPr>
        <w:spacing w:after="0" w:line="12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We may not obtain marketing approval from the FDA for any of our product candidates even if we successfully complete our clinical trials, which failure would materially harm our business, prospects, operating results and financial condition.</w:t>
      </w:r>
    </w:p>
    <w:p>
      <w:pPr>
        <w:spacing w:after="0" w:line="138"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231F20"/>
        </w:rPr>
        <w:t>Prior to commercialization, biologics, like our ATEVs, require the submission of a BLA to, and approval of the BLA by, the FDA. A BLA must be supported by extensive preclinical and clinical data, as well as extensive information regarding chemistry, manufacturing and controls (“CMC”), sufficient to demonstrate the safety, purity, potency and effectiveness of the applicable product candidate to the satisfaction of the FDA. In December 2024, the FDA approved Symvess as a vascular conduit for extremity arterial injury when urgent revascularization is needed to avoid imminent limb loss, and autologous vein graft is not feasible, but there can be no assurance that we will obtain approval outside of the United States for that indication or marketing approval for any of our product candidates.</w:t>
      </w:r>
    </w:p>
    <w:p>
      <w:pPr>
        <w:spacing w:after="0" w:line="149" w:lineRule="exact"/>
        <w:rPr>
          <w:sz w:val="20"/>
          <w:szCs w:val="20"/>
          <w:color w:val="auto"/>
        </w:rPr>
      </w:pPr>
    </w:p>
    <w:p>
      <w:pPr>
        <w:jc w:val="both"/>
        <w:ind w:right="120" w:firstLine="318"/>
        <w:spacing w:after="0" w:line="251" w:lineRule="auto"/>
        <w:rPr>
          <w:sz w:val="20"/>
          <w:szCs w:val="20"/>
          <w:color w:val="auto"/>
        </w:rPr>
      </w:pPr>
      <w:r>
        <w:rPr>
          <w:rFonts w:ascii="Times New Roman" w:cs="Times New Roman" w:eastAsia="Times New Roman" w:hAnsi="Times New Roman"/>
          <w:sz w:val="18"/>
          <w:szCs w:val="18"/>
          <w:color w:val="231F20"/>
        </w:rPr>
        <w:t>The BLA approval process is expensive and uncertain, it may take several years to complete, and we may not be successful in obtaining approval for our product candidates. The FDA has substantial discretion in the approval process and decisions made by the FDA can be unpredictable. The number and types of preclinical studies and clinical trials that will be required for BLA approval varies depending on the product candidate, the disease or the condition that the product candidate is designed to target and the regulations applicable to any particular product candidate. The FDA could delay, limit or deny approval of our product candidates for many reasons, including because it:</w:t>
      </w:r>
    </w:p>
    <w:p>
      <w:pPr>
        <w:spacing w:after="0" w:line="148" w:lineRule="exact"/>
        <w:rPr>
          <w:sz w:val="20"/>
          <w:szCs w:val="20"/>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not deem the product candidate to be adequately safe or effective;</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not find the data from preclinical studies, clinical trials or CMC data sufficient to support approval;</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not approve the manufacturing processes or facilities associated with the product candidate;</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conclude that the long-term integrity of the product candidate for which approval is being sought has not been sufficiently demonstrated;</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change approval policies or adopt new regulations; or</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not accept a submission due to, among other reasons, the content or formatting of the submission.</w:t>
      </w:r>
    </w:p>
    <w:p>
      <w:pPr>
        <w:spacing w:after="0" w:line="177"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231F20"/>
        </w:rPr>
        <w:t>In some cases, the FDA may agree to an SPA for a clinical trial, when it determines that the trial is adequately designed to provide necessary data to support a license application. Even in such cases, however, the FDA may subsequently abandon the SPA if a substantial scientific issue essential to determining the safety or effectiveness of the product candidate has been identified after the testing has begun. In addition, if a company alters the protocol for a trial, the SPA may no longer apply. Further, the results of pivotal clinical trials are always subject to thorough FDA review. Even highly significant and favorable clinical trial results are no guarantee of approval.</w:t>
      </w:r>
    </w:p>
    <w:p>
      <w:pPr>
        <w:spacing w:after="0" w:line="158"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Even though we obtained approval for Symvess from the FDA, we may never obtain approval for our ATEVs outside of the United States, where the regulatory process is also complex and subject to significant uncertainty. Failure to do so would limit our market opportunities and adversely affect our business.</w:t>
      </w:r>
    </w:p>
    <w:p>
      <w:pPr>
        <w:spacing w:after="0" w:line="139" w:lineRule="exact"/>
        <w:rPr>
          <w:sz w:val="20"/>
          <w:szCs w:val="20"/>
          <w:color w:val="auto"/>
        </w:rPr>
      </w:pPr>
    </w:p>
    <w:p>
      <w:pPr>
        <w:ind w:right="80" w:firstLine="318"/>
        <w:spacing w:after="0" w:line="254" w:lineRule="auto"/>
        <w:rPr>
          <w:sz w:val="20"/>
          <w:szCs w:val="20"/>
          <w:color w:val="auto"/>
        </w:rPr>
      </w:pPr>
      <w:r>
        <w:rPr>
          <w:rFonts w:ascii="Times New Roman" w:cs="Times New Roman" w:eastAsia="Times New Roman" w:hAnsi="Times New Roman"/>
          <w:sz w:val="18"/>
          <w:szCs w:val="18"/>
          <w:color w:val="231F20"/>
        </w:rPr>
        <w:t>Even though we received FDA approval to market Symvess in the United States, we must comply with the numerous and varying regulatory and compliance related requirements of other countries, including the submission of extensive preclinical and clinical data, manufacturing and quality information regarding the process and facility, scientific data characterizing the relevant product candidate and other supporting data in order to establish safety and effectiveness.</w:t>
      </w:r>
    </w:p>
    <w:p>
      <w:pPr>
        <w:spacing w:after="0" w:line="200" w:lineRule="exact"/>
        <w:rPr>
          <w:sz w:val="20"/>
          <w:szCs w:val="20"/>
          <w:color w:val="auto"/>
        </w:rPr>
      </w:pPr>
    </w:p>
    <w:p>
      <w:pPr>
        <w:spacing w:after="0" w:line="3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231F20"/>
        </w:rPr>
        <w:t>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marketing approval process in other countries may include all of the risks associated with FDA approval as well as additional, presently unanticipated, risks. Marketing approval in one country does not ensure marketing approval in another, but a failure or delay in obtaining marketing approval in one country may negatively impact the regulatory process in others, including the risk that our product candidates may not be approved for all indications requested and that such approval may be subject to limitations on the indicated uses for which the product candidate may be marketed.</w:t>
      </w:r>
    </w:p>
    <w:p>
      <w:pPr>
        <w:spacing w:after="0" w:line="12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Even if we seek “rolling review” or priority review, the review time for BLAs for our product candidates may be longer and more expensive than for other products because of the novelty and complexity of our product candidates, which would delay our ability to begin commercialization and earn product revenues.</w:t>
      </w:r>
    </w:p>
    <w:p>
      <w:pPr>
        <w:spacing w:after="0" w:line="139" w:lineRule="exact"/>
        <w:rPr>
          <w:sz w:val="20"/>
          <w:szCs w:val="20"/>
          <w:color w:val="auto"/>
        </w:rPr>
      </w:pPr>
    </w:p>
    <w:p>
      <w:pPr>
        <w:ind w:right="100" w:firstLine="318"/>
        <w:spacing w:after="0" w:line="284" w:lineRule="auto"/>
        <w:rPr>
          <w:sz w:val="20"/>
          <w:szCs w:val="20"/>
          <w:color w:val="auto"/>
        </w:rPr>
      </w:pPr>
      <w:r>
        <w:rPr>
          <w:rFonts w:ascii="Times New Roman" w:cs="Times New Roman" w:eastAsia="Times New Roman" w:hAnsi="Times New Roman"/>
          <w:sz w:val="17"/>
          <w:szCs w:val="17"/>
          <w:color w:val="231F20"/>
        </w:rPr>
        <w:t>The marketing approval process for novel product candidates such as ours may take longer to complete and be more expensive than the process for other, better known or extensively studied pharmaceutical or other product candidates. On December 12, 2023, we submitted our BLA for the ATEV in urgent</w:t>
      </w:r>
    </w:p>
    <w:p>
      <w:pPr>
        <w:spacing w:after="0" w:line="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231F20"/>
        </w:rPr>
        <w:t>arterial repair following extremity vascular trauma when synthetic graft is not indicated and autologous vein use is not feasible. We submitted our BLA using a “rolling review,” which means we may submit completed modules of a BLA rather than waiting until every module of the BLA is completed before submitting the full BLA for FDA review. Such “rolling review” is common for indications that are part of one of FDA’s expedited programs, such as our 6 millimeter ATEV, which has received Fast Track and RMAT designations for AV access in hemodialysis, and RMAT designation for urgent arterial repair following extremity vascular trauma. In February 2024, the FDA accepted our BLA in the vascular trauma indication and granted priority review of that BLA. Under priority review, the FDA’s goal is to review an application within six months of the 60-day filing date, compared to ten months for a standard review. Even though we have utilized a “rolling review” and we have received priority review for that BLA, it may not lead to a shorter review period. The FDA could</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require us to submit major amendments to the BLA, which could lead to a longer review time. The FDA could also decide to consult an advisory committee as part of our BLA review process, which often leads to a longer review time. We are not permitted to commercialize our product candidates in the United States until they have been approved by the FDA, and if we experience a lengthier review period than expected, our ability to generate product revenues would be materially harmed.</w:t>
      </w:r>
    </w:p>
    <w:p>
      <w:pPr>
        <w:spacing w:after="0" w:line="139"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We may in the future seek orphan drug designation for the use of our ATEVs to treat congenital pediatric heart defects. We may be unable to obtain such designation or to maintain the benefits associated with orphan drug designation, including market exclusivity, which may cause our revenue, if any, to be reduced.</w:t>
      </w:r>
    </w:p>
    <w:p>
      <w:pPr>
        <w:spacing w:after="0" w:line="139"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231F20"/>
        </w:rPr>
        <w:t>Under the Orphan Drug Act, the FDA may grant orphan designation to a drug or biologic intended to treat a rare disease or condition, defined as a disease or condition with a patient population of fewer than 200,000 in the United States, or a patient population of 200,000 or more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 BLA. In the United States,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w:t>
      </w:r>
    </w:p>
    <w:p>
      <w:pPr>
        <w:spacing w:after="0" w:line="164"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In addition, if FDA approves a BLA for a biologic that has received orphan drug designation, then FDA may not approve another application for the same drug or biologic for the same disease or condition until the expiration of seven years from the date of the approval of the orphan BLA. This is known as orphan exclusivity. However, even if one of our biological product candidates receives orphan exclusivity, the FDA can still approve different drugs or biologics for use in treating the same indication or disease, as well as the same drug or biologic for a different indication or disease. The FDA can also approve the same drug or biologic for the same indication or disease if the subsequent drug or biologic demonstrates clinical superiority. Furthermore, the FDA can waive orphan exclusivity if we are unable to manufacture sufficient supply of our product.</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231F20"/>
        </w:rPr>
        <w:t>Inadequate funding for the FDA and other government agencies, including from government shut downs, global health concerns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3" w:lineRule="exact"/>
        <w:rPr>
          <w:sz w:val="20"/>
          <w:szCs w:val="20"/>
          <w:color w:val="auto"/>
        </w:rPr>
      </w:pPr>
    </w:p>
    <w:p>
      <w:pPr>
        <w:ind w:right="300" w:firstLine="318"/>
        <w:spacing w:after="0" w:line="258" w:lineRule="auto"/>
        <w:rPr>
          <w:sz w:val="20"/>
          <w:szCs w:val="20"/>
          <w:color w:val="auto"/>
        </w:rPr>
      </w:pPr>
      <w:r>
        <w:rPr>
          <w:rFonts w:ascii="Times New Roman" w:cs="Times New Roman" w:eastAsia="Times New Roman" w:hAnsi="Times New Roman"/>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w:t>
      </w:r>
    </w:p>
    <w:p>
      <w:pPr>
        <w:spacing w:after="0" w:line="140"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8"/>
          <w:szCs w:val="18"/>
          <w:color w:val="231F20"/>
        </w:rPr>
        <w:t>Disruptions at the FDA and other agencies may also slow the time necessary for new product candidates to be reviewed and/or approved by necessary government agencies, which could adversely affect our business. In addition, government funding of other government agencies on which our operations may rely, including those that fund research and development activities, is subject to the political process, which is inherently fluid and unpredictable.</w:t>
      </w:r>
    </w:p>
    <w:p>
      <w:pPr>
        <w:spacing w:after="0" w:line="153" w:lineRule="exact"/>
        <w:rPr>
          <w:sz w:val="20"/>
          <w:szCs w:val="20"/>
          <w:color w:val="auto"/>
        </w:rPr>
      </w:pPr>
    </w:p>
    <w:p>
      <w:pPr>
        <w:ind w:right="120" w:firstLine="318"/>
        <w:spacing w:after="0" w:line="249" w:lineRule="auto"/>
        <w:rPr>
          <w:sz w:val="20"/>
          <w:szCs w:val="20"/>
          <w:color w:val="auto"/>
        </w:rPr>
      </w:pPr>
      <w:r>
        <w:rPr>
          <w:rFonts w:ascii="Times New Roman" w:cs="Times New Roman" w:eastAsia="Times New Roman" w:hAnsi="Times New Roman"/>
          <w:sz w:val="18"/>
          <w:szCs w:val="18"/>
          <w:color w:val="231F20"/>
        </w:rPr>
        <w:t>We may experience delays or rejections based upon additional government regulation from future legislation or administrative action, or changes in regulatory agency policy during the period of product development, clinical trials and the review process. In addition, 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4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b w:val="1"/>
          <w:bCs w:val="1"/>
          <w:i w:val="1"/>
          <w:iCs w:val="1"/>
          <w:color w:val="231F20"/>
        </w:rPr>
        <w:t>Designation of our product candidates for expedited programs, such as Fast Track designation, Breakthrough Therapy Designation, or RMAT designation, or accelerated approval by the FDA, or priority designation by the Department of Defense, may not lead to a faster development or regulatory review or approval process, and even if granted, will not increase the likelihood that our product candidates will receive marketing approval.</w:t>
      </w:r>
    </w:p>
    <w:p>
      <w:pPr>
        <w:spacing w:after="0" w:line="120"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231F20"/>
        </w:rPr>
        <w:t>In 2014, the FDA granted Fast Track designation for our 6 millimeter ATEV for use in the creation of AV access for hemodialysis, in 2017, the FDA granted RMAT designation for our 6 millimeter ATEV for the creation of vascular access for performing hemodialysis, in 2023, the FDA granted RMAT designation for our 6 millimeter ATEV for urgent arterial repair following extremity vascular trauma, and in 2024, the FDA granted RMAT designation for the ATEV for patients with advanced PAD. We have not received designations pursuant to any of the FDA’s expedited programs for our other indications, although we may in the future seek such designations if such product candidates meet the criteria for that designation. In addition, even with one or more of these designations, we may not experience a faster development process, or faster review or approval, for our product candidates compared to product candidates that are not part of the expedited programs. Further, the FDA may withdraw a designation if it believes that the designation is no longer supported by data from our clinical development program. In addition, a product candidate may no longer demonstrate a potential to address unmet medical need if, for example, a new product is approved that addresses the same need, which could lead to loss of a designation. The loss of a designation under an expedited program, including a Fast Track designation, Breakthrough Therapy Designation, or RMAT designation, could significantly increase the costs of development and length of time required before we could seek marketing approval of such a product candidate.</w:t>
      </w:r>
    </w:p>
    <w:p>
      <w:pPr>
        <w:spacing w:after="0" w:line="162"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231F20"/>
        </w:rPr>
        <w:t>In addition, in 2018, our ATEV product candidate was assigned a priority designation by the Secretary of Defense under Public Law 115-92. Similar to the designations described above that FDA may grant, a priority designation by the Department of Defense does not change the standards for approval but may expedite the development or approval process.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Healthcare reform measures could hinder or prevent commercial success of Symvess or our product candidates.</w:t>
      </w:r>
    </w:p>
    <w:p>
      <w:pPr>
        <w:spacing w:after="0" w:line="181"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231F20"/>
        </w:rPr>
        <w:t>Our industry is highly regulated, and changes in or revisions to laws and regulations that make gaining coverage of and adequate reimbursement for Symvess or our product candidates more difficult or subject to different criteria and standards may adversely impact our business, prospects, operating results and financial condition. In the United States, there have been and we expect there will continue to be a number of legislative, regulatory and other changes to the healthcare system to contain or reduce healthcare costs that may adversely affect our ability to set a price we believe is fair for Symvess or our product candidates, our ability to generate revenues and achieve or maintain profitability, and the availability of capital.</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40" w:firstLine="318"/>
        <w:spacing w:after="0" w:line="301" w:lineRule="auto"/>
        <w:rPr>
          <w:sz w:val="20"/>
          <w:szCs w:val="20"/>
          <w:color w:val="auto"/>
        </w:rPr>
      </w:pPr>
      <w:r>
        <w:rPr>
          <w:rFonts w:ascii="Times New Roman" w:cs="Times New Roman" w:eastAsia="Times New Roman" w:hAnsi="Times New Roman"/>
          <w:sz w:val="17"/>
          <w:szCs w:val="17"/>
          <w:color w:val="231F20"/>
        </w:rPr>
        <w:t>Federal and state lawmakers regularly propose and, at times, enact legislation that would result in significant changes to the healthcare system, some of which are intended to contain or reduce the costs of medical products and services. At the federal level, the Inflation Reduction Act of 2022, or IRA:</w:t>
      </w:r>
    </w:p>
    <w:p>
      <w:pPr>
        <w:spacing w:after="0" w:line="105"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Requires manufacturers to pay rebates for a Medicare Part B or Part D drug if the price increases for the drug exceed the rate of inflation.</w:t>
      </w:r>
    </w:p>
    <w:p>
      <w:pPr>
        <w:spacing w:after="0" w:line="176" w:lineRule="exact"/>
        <w:rPr>
          <w:rFonts w:ascii="Times New Roman" w:cs="Times New Roman" w:eastAsia="Times New Roman" w:hAnsi="Times New Roman"/>
          <w:sz w:val="18"/>
          <w:szCs w:val="18"/>
          <w:color w:val="231F20"/>
        </w:rPr>
      </w:pPr>
    </w:p>
    <w:p>
      <w:pPr>
        <w:ind w:left="640" w:hanging="316"/>
        <w:spacing w:after="0" w:line="258" w:lineRule="auto"/>
        <w:tabs>
          <w:tab w:leader="none" w:pos="63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Eliminates the “donut hole” under Medicare Part D beginning in 2025 by significantly lowering the beneficiary maximum out-of-pocket cost and requiring manufacturers to subsidize 10% of Part D enrollees’ prescription costs for brand drugs below the out-of-pocket maximum and 20% once the out-of-pocket maximum has been reached.</w:t>
      </w:r>
    </w:p>
    <w:p>
      <w:pPr>
        <w:spacing w:after="0" w:line="153"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the rebate rule that would require pass through of pharmacy benefit manager rebates to beneficiaries.</w:t>
      </w:r>
    </w:p>
    <w:p>
      <w:pPr>
        <w:spacing w:after="0" w:line="176" w:lineRule="exact"/>
        <w:rPr>
          <w:rFonts w:ascii="Times New Roman" w:cs="Times New Roman" w:eastAsia="Times New Roman" w:hAnsi="Times New Roman"/>
          <w:sz w:val="18"/>
          <w:szCs w:val="18"/>
          <w:color w:val="231F20"/>
        </w:rPr>
      </w:pPr>
    </w:p>
    <w:p>
      <w:pPr>
        <w:ind w:left="640" w:hanging="316"/>
        <w:spacing w:after="0" w:line="249" w:lineRule="auto"/>
        <w:tabs>
          <w:tab w:leader="none" w:pos="63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Directs the Centers for Medicare &amp; Medicaid Services, or CMS, to engage in price-capped negotiation for certain Medicare Part B and Part D drugs and biologics. Specifically, the IRA’s Price Negotiation Program applies to high-expenditure single-source drugs and biologics that have been approved for at least 7 or 11 years, respectively, among other negotiation selection criteria, beginning with ten high-cost Part D drugs starting in 2026, followed by 15 Part D drugs in 2027, 15 Part B or Part D drugs in 2028, and 20 Part B or Part D drugs in 2029 and beyond. The negotiated prices will be capped at a statutorily determined ceiling price. There are statutory exemptions from the IRA’s Price Negotiation Program, including for a drug that has only a single orphan drug designation and is approved only for an indication or indications within the scope of such designation. The IRA’s Price Negotiation Program is currently the subject of legal challenges.</w:t>
      </w:r>
    </w:p>
    <w:p>
      <w:pPr>
        <w:spacing w:after="0" w:line="151" w:lineRule="exact"/>
        <w:rPr>
          <w:sz w:val="20"/>
          <w:szCs w:val="20"/>
          <w:color w:val="auto"/>
        </w:rPr>
      </w:pPr>
    </w:p>
    <w:p>
      <w:pPr>
        <w:ind w:right="140" w:firstLine="318"/>
        <w:spacing w:after="0" w:line="254" w:lineRule="auto"/>
        <w:rPr>
          <w:sz w:val="20"/>
          <w:szCs w:val="20"/>
          <w:color w:val="auto"/>
        </w:rPr>
      </w:pPr>
      <w:r>
        <w:rPr>
          <w:rFonts w:ascii="Times New Roman" w:cs="Times New Roman" w:eastAsia="Times New Roman" w:hAnsi="Times New Roman"/>
          <w:sz w:val="18"/>
          <w:szCs w:val="18"/>
          <w:color w:val="231F20"/>
        </w:rPr>
        <w:t>Manufacturers that fail to comply with the IRA may be subject to various penalties, including civil monetary penalties or a potential excise tax. The IRA permits the Secretary of Health and Human Services, or HHS Secretary, to implement many of the IRA’s provisions through guidance, as opposed to regulation, for the initial years. The IRA is anticipated to have significant effects on the pharmaceutical industry and may reduce the prices pharmaceutical manufacturers can charge and the reimbursement pharmaceutical manufacturers can receive for approved products, among other effects.</w:t>
      </w:r>
    </w:p>
    <w:p>
      <w:pPr>
        <w:spacing w:after="0" w:line="156"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231F20"/>
        </w:rPr>
        <w:t>Lowering prescription drug prices was a stated priority of the Biden administration. On October 14, 2022, President Biden signed an executive order to lower prescription drug costs for Americans. In response to this directive, the Center for Medicare and Medicaid Innovation developed new models intended to lower drug costs under Medicare and Medicaid. These models include designing new payment methods for drugs approved under accelerated approval to encourage timely confirmatory trial completion and improve access to post-market safety and efficacy data, with the goal of reducing Medicare spending on drugs that have no confirmed clinical benefit; creating a list of generic drugs for which the out-of-pocket Part D costs will be capped at $2 a month per drug; and establishing a new approach for administering outcomes-based agreements for cell and gene therapies. President Biden also signed an executive order on July 9, 2021, affirming the administration’s policy to support legislative reforms that would lower the prices of prescription drugs, including by supporting the development and market entry of lower-cost generic drugs and biosimilars, and support the enactment of a public health insurance option. Among other things, the executive order directs the HHS Secretary to provide a report on actions to combat excessive pricing of prescription drugs, continue to clarify and improve the approval framework for generic drugs and identify and address any efforts to impede generic drug competition, enhance the domestic drug supply chain, reduce the price that the Federal government pays for drugs, and address price gouging in the industry. It is unclear whether these initiatives will be continued or expanded upon in the Trump administration.</w:t>
      </w:r>
    </w:p>
    <w:p>
      <w:pPr>
        <w:spacing w:after="0" w:line="157"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231F20"/>
        </w:rPr>
        <w:t>The American Rescue Plan Act of 2021 eliminated the statutory Medicaid drug rebate cap, currently set at 100% of a drug’s average manufacturer price, for single source and innovator multiple source drugs, as of January 1, 2024. In addition,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cannot predict how further developments of or changes to these laws and regulations will affect our business.</w:t>
      </w: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00" w:firstLine="318"/>
        <w:spacing w:after="0" w:line="264" w:lineRule="auto"/>
        <w:rPr>
          <w:sz w:val="20"/>
          <w:szCs w:val="20"/>
          <w:color w:val="auto"/>
        </w:rPr>
      </w:pPr>
      <w:r>
        <w:rPr>
          <w:rFonts w:ascii="Times New Roman" w:cs="Times New Roman" w:eastAsia="Times New Roman" w:hAnsi="Times New Roman"/>
          <w:sz w:val="17"/>
          <w:szCs w:val="17"/>
          <w:color w:val="231F20"/>
        </w:rPr>
        <w:t xml:space="preserve">The FDA also released a final rule, effective November 30, 2020, providing guidance for states to build and submit plans for importation of drugs from Canada. Additionally, on November 20, 2020, HHS finalized a regulation removing safe harbor protection for price reductions from pharmaceutical manufacturers to plan sponsors under Part D, either directly or through pharmacy benefit managers, unless the price reduction is required by law. The 2020 rule also creates a new safe harbor for price reductions reflected at the point-of-sale, as well as a safe harbor for certain fixed fee arrangements between pharmacy benefit managers and manufacturers. Pursuant to a court order, HHS subsequently delayed the effective date for aspects of the rule, including those relating to pharmacy benefit managers, until 2023. The rule </w:t>
      </w:r>
      <w:r>
        <w:rPr>
          <w:rFonts w:ascii="Times New Roman" w:cs="Times New Roman" w:eastAsia="Times New Roman" w:hAnsi="Times New Roman"/>
          <w:sz w:val="17"/>
          <w:szCs w:val="17"/>
          <w:color w:val="000000"/>
        </w:rPr>
        <w:t>was then effectively delayed until January 1, 2026, as part of the Infrastructure Investment and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Jobs Act, which was signed into law on November 15, 2021. In addition, on November 19, 2021, the House of Representatives passed a version of the Build Back Better Act that includes a provision prohibiting the implementation, administration, or enforcement of the rule. </w:t>
      </w:r>
      <w:r>
        <w:rPr>
          <w:rFonts w:ascii="Times New Roman" w:cs="Times New Roman" w:eastAsia="Times New Roman" w:hAnsi="Times New Roman"/>
          <w:sz w:val="17"/>
          <w:szCs w:val="17"/>
          <w:color w:val="231F20"/>
        </w:rPr>
        <w:t>Although a number of these, and other</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proposed measures may require authorization through additional legislation to become effective, and the Trump administration may reverse or otherwise change these measures, Congress has indicated that it will continue to seek new legislative measures to control drug costs.</w:t>
      </w:r>
    </w:p>
    <w:p>
      <w:pPr>
        <w:spacing w:after="0" w:line="139"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8"/>
          <w:szCs w:val="18"/>
          <w:color w:val="231F20"/>
        </w:rPr>
        <w:t>The ultimate content, timing, or effect of any healthcare reform legislation or executive order or the impact that the resulting changes may have on us is uncertain, but we expect there will continue to be legislative and regulatory proposals at the federal and state levels directed at containing or lowering the cost of health care.</w:t>
      </w:r>
    </w:p>
    <w:p>
      <w:pPr>
        <w:spacing w:after="0" w:line="13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healthcare regulations, we could face substantial penalties and our business, prospects, operating results and financial condition could be adversely affected.</w:t>
      </w:r>
    </w:p>
    <w:p>
      <w:pPr>
        <w:spacing w:after="0" w:line="138"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231F20"/>
        </w:rPr>
        <w:t>Certain federal and state healthcare laws and regulations pertaining to fraud and abuse and patients’ rights are applicable to our business even though we do not and will not control referrals of healthcare services. We could also be subject to patient privacy regulation by both the U.S. Government and the states in which we conduct our business. Our employees, independent contractors, consultants, commercial partners and vendors may engage in misconduct or other improper activities, including non-compliance with regulatory standards and requirements. The regulations that may affect our ability to operate include, without limitation:</w:t>
      </w:r>
    </w:p>
    <w:p>
      <w:pPr>
        <w:spacing w:after="0" w:line="148" w:lineRule="exact"/>
        <w:rPr>
          <w:sz w:val="20"/>
          <w:szCs w:val="20"/>
          <w:color w:val="auto"/>
        </w:rPr>
      </w:pPr>
    </w:p>
    <w:p>
      <w:pPr>
        <w:ind w:left="640" w:right="280" w:hanging="316"/>
        <w:spacing w:after="0" w:line="254" w:lineRule="auto"/>
        <w:tabs>
          <w:tab w:leader="none" w:pos="63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even if the person does not have actual knowledge of the statute or specific intent to violate it;</w:t>
      </w:r>
    </w:p>
    <w:p>
      <w:pPr>
        <w:spacing w:after="0" w:line="142"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False Claims Act, which prohibits, among other things, individuals or entities from knowingly presenting, or causing to be presented, false claims, or knowingly using false statements, to obtain payment from the U.S. Government;</w:t>
      </w:r>
    </w:p>
    <w:p>
      <w:pPr>
        <w:spacing w:after="0" w:line="141" w:lineRule="exact"/>
        <w:rPr>
          <w:rFonts w:ascii="Times New Roman" w:cs="Times New Roman" w:eastAsia="Times New Roman" w:hAnsi="Times New Roman"/>
          <w:sz w:val="18"/>
          <w:szCs w:val="18"/>
          <w:color w:val="231F20"/>
        </w:rPr>
      </w:pPr>
    </w:p>
    <w:p>
      <w:pPr>
        <w:ind w:left="640" w:right="280" w:hanging="316"/>
        <w:spacing w:after="0" w:line="271" w:lineRule="auto"/>
        <w:tabs>
          <w:tab w:leader="none" w:pos="63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criminal laws that prohibit executing a scheme to defraud any healthcare benefit program or making false statements relating to healthcare matters;</w:t>
      </w:r>
    </w:p>
    <w:p>
      <w:pPr>
        <w:spacing w:after="0" w:line="128" w:lineRule="exact"/>
        <w:rPr>
          <w:rFonts w:ascii="Times New Roman" w:cs="Times New Roman" w:eastAsia="Times New Roman" w:hAnsi="Times New Roman"/>
          <w:sz w:val="18"/>
          <w:szCs w:val="18"/>
          <w:color w:val="231F20"/>
        </w:rPr>
      </w:pPr>
    </w:p>
    <w:p>
      <w:pPr>
        <w:jc w:val="both"/>
        <w:ind w:left="640" w:right="40" w:hanging="316"/>
        <w:spacing w:after="0" w:line="254" w:lineRule="auto"/>
        <w:tabs>
          <w:tab w:leader="none" w:pos="63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provider, practitioner, or supplier of items or services reimbursable by a federal or state governmental program;</w:t>
      </w:r>
    </w:p>
    <w:p>
      <w:pPr>
        <w:spacing w:after="0" w:line="142" w:lineRule="exact"/>
        <w:rPr>
          <w:rFonts w:ascii="Times New Roman" w:cs="Times New Roman" w:eastAsia="Times New Roman" w:hAnsi="Times New Roman"/>
          <w:sz w:val="18"/>
          <w:szCs w:val="18"/>
          <w:color w:val="231F20"/>
        </w:rPr>
      </w:pPr>
    </w:p>
    <w:p>
      <w:pPr>
        <w:ind w:left="640" w:right="80" w:hanging="316"/>
        <w:spacing w:after="0" w:line="254" w:lineRule="auto"/>
        <w:tabs>
          <w:tab w:leader="none" w:pos="63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transparency requirements under the ACA, including the provision commonly referred to as the Physician Payments Sunshine Act and its implementing regulations, which require applicable manufacturers of drugs, devices, biologics and medical supplies for which payment is available under Medicare, Medicaid, or the State Children’s Health Insurance Program to report annually to CMS information related to payments or other transfers of value made to certain health care professionals and teaching hospitals;</w:t>
      </w:r>
    </w:p>
    <w:p>
      <w:pPr>
        <w:spacing w:after="0" w:line="156" w:lineRule="exact"/>
        <w:rPr>
          <w:rFonts w:ascii="Times New Roman" w:cs="Times New Roman" w:eastAsia="Times New Roman" w:hAnsi="Times New Roman"/>
          <w:sz w:val="18"/>
          <w:szCs w:val="18"/>
          <w:color w:val="231F20"/>
        </w:rPr>
      </w:pPr>
    </w:p>
    <w:p>
      <w:pPr>
        <w:ind w:left="640" w:right="540" w:hanging="316"/>
        <w:spacing w:after="0" w:line="271" w:lineRule="auto"/>
        <w:tabs>
          <w:tab w:leader="none" w:pos="63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government price reporting laws, which require us to calculate and report complex pricing metrics in an accurate and timely manner to government programs;</w:t>
      </w:r>
    </w:p>
    <w:p>
      <w:pPr>
        <w:spacing w:after="0" w:line="128" w:lineRule="exact"/>
        <w:rPr>
          <w:rFonts w:ascii="Times New Roman" w:cs="Times New Roman" w:eastAsia="Times New Roman" w:hAnsi="Times New Roman"/>
          <w:sz w:val="18"/>
          <w:szCs w:val="18"/>
          <w:color w:val="231F20"/>
        </w:rPr>
      </w:pPr>
    </w:p>
    <w:p>
      <w:pPr>
        <w:ind w:left="640" w:right="800" w:hanging="316"/>
        <w:spacing w:after="0" w:line="271" w:lineRule="auto"/>
        <w:tabs>
          <w:tab w:leader="none" w:pos="63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consumer protection and unfair competition laws, which broadly regulate marketplace activities and activities that potentially harm consumers;</w:t>
      </w: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right="60" w:hanging="316"/>
        <w:spacing w:after="0" w:line="271" w:lineRule="auto"/>
        <w:tabs>
          <w:tab w:leader="none" w:pos="63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HIPAA, which governs the conduct of certain electronic healthcare transactions and protects the security and privacy of protected health information; and</w:t>
      </w:r>
    </w:p>
    <w:p>
      <w:pPr>
        <w:spacing w:after="0" w:line="128" w:lineRule="exact"/>
        <w:rPr>
          <w:rFonts w:ascii="Times New Roman" w:cs="Times New Roman" w:eastAsia="Times New Roman" w:hAnsi="Times New Roman"/>
          <w:sz w:val="18"/>
          <w:szCs w:val="18"/>
          <w:color w:val="231F20"/>
        </w:rPr>
      </w:pPr>
    </w:p>
    <w:p>
      <w:pPr>
        <w:ind w:left="640" w:right="100" w:hanging="316"/>
        <w:spacing w:after="0" w:line="271" w:lineRule="auto"/>
        <w:tabs>
          <w:tab w:leader="none" w:pos="63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state law equivalents of each of the above federal laws, such as anti-kickback and false claims laws which may apply to items or services reimbursed by any third-party payor, including commercial insurers.</w:t>
      </w:r>
    </w:p>
    <w:p>
      <w:pPr>
        <w:spacing w:after="0" w:line="128"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If our operations are found to be in violation of any of the laws described above or any other governmental regulations that apply to us, we may be subject to penalties, including civil and criminal penalties, damages, fines, exclusion from participating in federal health care programs and the curtailment or restructuring of our operations. Any penalties, damages, fines, curtailment, exclusion, or restructuring of our operations could adversely affect our ability to operate our business, prospects, operating results and financial condition.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and fraud and abuse laws may prove costly.</w:t>
      </w:r>
    </w:p>
    <w:p>
      <w:pPr>
        <w:spacing w:after="0" w:line="158" w:lineRule="exact"/>
        <w:rPr>
          <w:sz w:val="20"/>
          <w:szCs w:val="20"/>
          <w:color w:val="auto"/>
        </w:rPr>
      </w:pPr>
    </w:p>
    <w:p>
      <w:pPr>
        <w:ind w:right="140"/>
        <w:spacing w:after="0" w:line="306" w:lineRule="auto"/>
        <w:rPr>
          <w:sz w:val="20"/>
          <w:szCs w:val="20"/>
          <w:color w:val="auto"/>
        </w:rPr>
      </w:pPr>
      <w:r>
        <w:rPr>
          <w:rFonts w:ascii="Times New Roman" w:cs="Times New Roman" w:eastAsia="Times New Roman" w:hAnsi="Times New Roman"/>
          <w:sz w:val="17"/>
          <w:szCs w:val="17"/>
          <w:b w:val="1"/>
          <w:bCs w:val="1"/>
          <w:i w:val="1"/>
          <w:iCs w:val="1"/>
          <w:color w:val="231F20"/>
        </w:rPr>
        <w:t>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w:t>
      </w:r>
    </w:p>
    <w:p>
      <w:pPr>
        <w:spacing w:after="0" w:line="101" w:lineRule="exact"/>
        <w:rPr>
          <w:sz w:val="20"/>
          <w:szCs w:val="20"/>
          <w:color w:val="auto"/>
        </w:rPr>
      </w:pPr>
    </w:p>
    <w:p>
      <w:pPr>
        <w:ind w:right="20" w:firstLine="318"/>
        <w:spacing w:after="0" w:line="263" w:lineRule="auto"/>
        <w:rPr>
          <w:sz w:val="20"/>
          <w:szCs w:val="20"/>
          <w:color w:val="auto"/>
        </w:rPr>
      </w:pPr>
      <w:r>
        <w:rPr>
          <w:rFonts w:ascii="Times New Roman" w:cs="Times New Roman" w:eastAsia="Times New Roman" w:hAnsi="Times New Roman"/>
          <w:sz w:val="17"/>
          <w:szCs w:val="17"/>
          <w:color w:val="231F20"/>
        </w:rPr>
        <w:t>Our internal computer systems (including our LUNA200 manufacturing system) and those of third parties on which we rely, including our CROs and other contractors and consultants, are vulnerable to damage from computer viruses, unauthorized access, natural disasters, terrorism, war and telecommunication and electrical failures. These risks may be compounded as our information technology hardware ages. If such an event were to occur and cause interruptions in our operations, it could have a material adverse effect on our business operations, including a material disruption of our development program.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commercialization of Symvess or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43"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We have previously been, and expect to remain, the target of cyber-attacks. During late 2020 and early 2021, a professional services firm providing services to the Company was the target of a cyber-attack. The Company believes that it was not materially impacted by the attack. Our third-party service providers and partners, with whom we may share data, are subject to similar risks as we are relating to cybersecurity, privacy violations, business interruption, and systems, as well as employee failures. While we have procedures in place for selecting and managing our relationships with third-party service providers and other business partners, we do not have control over their business operations or governance and compliance systems, practices and procedures, and our management of multiple third party service providers increases our operational complexity. If we fail to adequately monitor our third party service providers’ and partners’ performance, including for compliance with our agreements and regulatory and legal requirements, we may have to incur additional costs to correct errors, our reputation could be harmed or we could be subject to litigation, claims, legal or regulatory proceedings, inquiries or investigations. These risks may also be present if our third party service providers and partners use separate information systems that are not integrated with our systems and suffer a cybersecurity incident. As a result, we are subject to the risk that the activities associated with our third party service providers and partners will adversely affect our business, even if the cyber incident does not directly impact our systems or information.</w:t>
      </w:r>
    </w:p>
    <w:p>
      <w:pPr>
        <w:spacing w:after="0" w:line="162"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231F20"/>
        </w:rPr>
        <w:t>As we become more dependent on information technologies to conduct our operations, cyber incidents, including deliberate attacks, such as ransomware attacks, and attempts to gain unauthorized access to computer systems (including our LUNA200 manufacturing system)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the effect of these incidents has not historically been material to our results of operations, financial condition or prospects, cyber threats are persistent and constantly evolving. Such threats have increased in frequency, scope and potential impact in recent years, which increase the difficulty of detecting and successfully defending against them. As cyber threats continue to evolve, we</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231F20"/>
        </w:rPr>
        <w:t>may be required to incur additional expenses in order to enhance our protective measures or to remediate any information security vulnerability. There can be no assurance that we or our third-party providers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w:t>
      </w:r>
    </w:p>
    <w:p>
      <w:pPr>
        <w:spacing w:after="0" w:line="151"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148" w:lineRule="exact"/>
        <w:rPr>
          <w:sz w:val="20"/>
          <w:szCs w:val="20"/>
          <w:color w:val="auto"/>
        </w:rPr>
      </w:pPr>
    </w:p>
    <w:p>
      <w:pPr>
        <w:ind w:firstLine="318"/>
        <w:spacing w:after="0" w:line="273" w:lineRule="auto"/>
        <w:rPr>
          <w:sz w:val="20"/>
          <w:szCs w:val="20"/>
          <w:color w:val="auto"/>
        </w:rPr>
      </w:pPr>
      <w:r>
        <w:rPr>
          <w:rFonts w:ascii="Times New Roman" w:cs="Times New Roman" w:eastAsia="Times New Roman" w:hAnsi="Times New Roman"/>
          <w:sz w:val="17"/>
          <w:szCs w:val="17"/>
          <w:color w:val="231F20"/>
        </w:rPr>
        <w:t>Moreover, if our data management systems do not effectively collect, store, process and report relevant data for the operation of our business (whether due to equipment malfunction or constraints, software deficiencies, cybersecurity attack and/or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report our internal and external operating results.</w:t>
      </w:r>
    </w:p>
    <w:p>
      <w:pPr>
        <w:spacing w:after="0" w:line="13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environmental, health and safety laws and regulations, we could become subject to fines and penalties or incur costs that could harm our business.</w:t>
      </w:r>
    </w:p>
    <w:p>
      <w:pPr>
        <w:spacing w:after="0" w:line="125"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In the event of contamination or injury resulting from our use or production of hazardous materials, we could be held liable for any resulting damages even if we contract with a third party for their disposal, and any liability could exceed our resources. We also could incur significant costs associated with civil or criminal fines and penalties resulting from contamination or injury from our use or production of hazardous materials. Although we maintain workers’ compensation insurance to cover us for costs and expenses we may incur due to injuries to our employees resulting from the use or production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materials.</w:t>
      </w:r>
    </w:p>
    <w:p>
      <w:pPr>
        <w:spacing w:after="0" w:line="153" w:lineRule="exact"/>
        <w:rPr>
          <w:sz w:val="20"/>
          <w:szCs w:val="20"/>
          <w:color w:val="auto"/>
        </w:rPr>
      </w:pPr>
    </w:p>
    <w:p>
      <w:pPr>
        <w:ind w:right="160" w:firstLine="318"/>
        <w:spacing w:after="0" w:line="258" w:lineRule="auto"/>
        <w:rPr>
          <w:sz w:val="20"/>
          <w:szCs w:val="20"/>
          <w:color w:val="auto"/>
        </w:rPr>
      </w:pPr>
      <w:r>
        <w:rPr>
          <w:rFonts w:ascii="Times New Roman" w:cs="Times New Roman" w:eastAsia="Times New Roman" w:hAnsi="Times New Roman"/>
          <w:sz w:val="18"/>
          <w:szCs w:val="18"/>
          <w:color w:val="231F20"/>
        </w:rPr>
        <w:t>In addition, we may be required to incur substantial costs to comply with future environmental, health and safety laws and regulations. Compliance with such laws and regulations may divert resources away from our research, development and manufacturing efforts. Failure to comply with these laws and regulations also may result in substantial fines, penalties or other sanctions.</w:t>
      </w:r>
    </w:p>
    <w:p>
      <w:pPr>
        <w:spacing w:after="0" w:line="149"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Failure to comply with health and data protection laws and regulations could lead to government enforcement actions (which could include civil or criminal penalties), private litigation and adverse publicity and could negatively affect our operating results and business.</w:t>
      </w:r>
    </w:p>
    <w:p>
      <w:pPr>
        <w:spacing w:after="0" w:line="125"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231F20"/>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privacy and health information privacy laws and federal and state consumer protection laws (</w:t>
      </w:r>
      <w:r>
        <w:rPr>
          <w:rFonts w:ascii="Times New Roman" w:cs="Times New Roman" w:eastAsia="Times New Roman" w:hAnsi="Times New Roman"/>
          <w:sz w:val="18"/>
          <w:szCs w:val="18"/>
          <w:i w:val="1"/>
          <w:iCs w:val="1"/>
          <w:color w:val="231F20"/>
        </w:rPr>
        <w:t>e.g.</w:t>
      </w:r>
      <w:r>
        <w:rPr>
          <w:rFonts w:ascii="Times New Roman" w:cs="Times New Roman" w:eastAsia="Times New Roman" w:hAnsi="Times New Roman"/>
          <w:sz w:val="18"/>
          <w:szCs w:val="18"/>
          <w:color w:val="231F20"/>
        </w:rPr>
        <w:t>,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including HIPAA. Depending on the facts and circumstances, we could be subject to civil or criminal penalties if we obtain, use, or disclose individually identifiable health information maintained by a HIPAA-covered entity in a manner that is not authorized or permitted by HIPAA.</w:t>
      </w: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231F20"/>
        </w:rPr>
        <w:t>International data protection laws, including Regulation 2016/679, known as the General Data Protection Regulation (“GDPR”), may also apply to health-related and other personal information obtained outside of the United States. The GDPR will increase our responsibility and liability in relation to personal data that we process, and we may be required to put in place additional mechanisms to ensure compliance with the new EU (which also includes the European Economic Area, or “EEA”) data protection rules. Further, the United Kingdom’s separation from the EU has created more uncertainty with regard to data protection regulation in the United Kingdom (the “UK”). The UK retained the GDPR in UK law, which sits alongside the amended version of the Data Protection Act 2018. The EU adopted an adequacy decision so data can be transferred from the EU to the UK. Additionally, there are no new requirements for transfer from the UK to the EU. However, going forward, the EU and UK’s data protection rules could diverge and data transfers may not be possible and/or new arrangements may need to be put in place. In particular, it is unclear to what extent the UK regime will begin diverging from the GDPR and how data transfers to and from the UK will be regulated.</w:t>
      </w:r>
    </w:p>
    <w:p>
      <w:pPr>
        <w:spacing w:after="0" w:line="153"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231F20"/>
        </w:rPr>
        <w:t>In addition, California enacted the California Consumer Privacy Act (“CCPA”), which creates individual privacy rights for California consumers (as defined in the law) and places increased privacy and security obligations on entities handling personal data of consumers or households, and the CCPA was supplemented by the California Consumer Rights Act (“CPRA”). There are a number of other states that have considered similar privacy proposals, with states like Virginia and Colorado, among others, enacting their own privacy laws. Some states are also considering consumer health data privacy laws, with states like Washington and Nevada enacting such laws. In addition, the use of pixels and other website technologies increasingly are attracting attention from privacy regulators and private litigants, including under theories involving state wiretap laws. These privacy laws may impact our business activities and exemplify the vulnerability of our business to the evolving regulatory environment related to personal data.</w:t>
      </w:r>
    </w:p>
    <w:p>
      <w:pPr>
        <w:spacing w:after="0" w:line="151"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231F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4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We or the third parties upon which we depend may be adversely affected by natural disasters, and our business continuity and disaster recovery plans may not adequately protect us from a serious disaster.</w:t>
      </w:r>
    </w:p>
    <w:p>
      <w:pPr>
        <w:spacing w:after="0" w:line="125"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231F20"/>
        </w:rPr>
        <w:t>Natural disasters such as hurricanes could severely disrupt our operations and have a material adverse effect on our business, prospects, operating results and financial condition. In addition, flooding, lightning strikes, meteor strikes, and polar vortices could affect our building operations. If a natural disaster, power outage or other unforeseen event occurred that prevented us from using all or a significant portion of our headquarters, that damaged critical infrastructure, such as our in-house manufacturing facility, or that otherwise significantly disrupted our operations, it may be difficult or, in certain cases, impossible for us to continue our business for a substantial period of time. The disaster recovery and business continuity plans we have in place currently may prove inadequate in the event of a natural disaster or similar event. We may incur substantial expenses as a result of any natural disaster, which could have a material adverse effect on our business.</w:t>
      </w:r>
    </w:p>
    <w:p>
      <w:pPr>
        <w:spacing w:after="0" w:line="14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anti-corruption and a variety of other laws governing our international operations. If we fail to comply with these laws, we could be subject to, among other things, civil or criminal penalties, other sanctions and remedial measures, and reputational damage, which could adversely affect our business, prospects, operating results and financial condition.</w:t>
      </w:r>
    </w:p>
    <w:p>
      <w:pPr>
        <w:spacing w:after="0" w:line="152"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231F20"/>
        </w:rPr>
        <w:t>Our operations are subject to anti-corruption laws, including the U.S. Foreign Corrupt Practices Act (“FCPA”), the U.K. Bribery Act and other anti-corruption laws. Anti-corruption laws are interpreted broadly and prohibit companies and their employees, agents, contractors, and partners from authorizing, promising, offering, or providing, directly or indirectly, improper payments or anything else of value to recipients in the public or private sector. We are conducting certain of our trials at a number of trial sites around the world. Certain of these jurisdictions pose a risk of potential FCPA violations, and we have relationships with third parties, including government-affiliated hospitals and universities, whose actions could potentially subject us to liability under the FCPA or local anti-corruption laws.</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20" w:firstLine="318"/>
        <w:spacing w:after="0" w:line="254" w:lineRule="auto"/>
        <w:rPr>
          <w:sz w:val="20"/>
          <w:szCs w:val="20"/>
          <w:color w:val="auto"/>
        </w:rPr>
      </w:pPr>
      <w:r>
        <w:rPr>
          <w:rFonts w:ascii="Times New Roman" w:cs="Times New Roman" w:eastAsia="Times New Roman" w:hAnsi="Times New Roman"/>
          <w:sz w:val="18"/>
          <w:szCs w:val="18"/>
          <w:color w:val="231F20"/>
        </w:rPr>
        <w:t>We are also subject to other laws and regulations governing our international operations, including regulations administered by the U.S. Department of Commerce’s Bureau of Industry and Security, the U.S. Department of the Treasury’s Office of Foreign Assets Control, and various non-U.S. government entities, including applicable economic sanctions on countries and persons, customs requirements, currency exchange regulations and transfer pricing regulations.</w:t>
      </w:r>
    </w:p>
    <w:p>
      <w:pPr>
        <w:spacing w:after="0" w:line="143"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231F20"/>
        </w:rPr>
        <w:t>If we fail to comply with applicable anti-corruption laws and other legal requirements, we may become subject to criminal and civil penalties, disgorgement and other sanctions and remedial measures, including the loss of export or import privileges and debarment, and face substantial legal expenses. Likewise, even an investigation by U.S. or foreign authorities of potential violations of such laws could damage our reputation. In either case, our business, prospects, operating results and financial condition could be adversely affected. Under certain circumstances, we could also be held liable for the activities of our employees, contractors, and partners that violate anti-corruption laws, even if we do not explicitly authorize or have actual knowledge of such activities. Even allegations of such violations could potentially damage our reputation and harm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88"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Our ability to successfully commercialize Symvess or our product candidates, if approved, may be impaired if we are unable to obtain and maintain effective intellectual property rights for our proprietary scientific technology platform, Symvess and our product candidates.</w:t>
      </w:r>
    </w:p>
    <w:p>
      <w:pPr>
        <w:spacing w:after="0" w:line="125"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Our success depends in large part on our and our licensors’ ability to obtain and maintain patent and other intellectual property protection in the United States and in other countries with respect to our proprietary scientific technology platform and products. We have sought to protect our proprietary position by filing patent applications in the United States and abroad related to our novel technologies and product candidates that we and/or our licensors view as important to our business. This process is expensive and time-consuming, and we and our licensors may not be able to file and prosecute all necessary or desirable patent applications at a reasonable cost or in a timely manner. It is also possible that we and/or our licensors will fail to identify patentable aspects of our research and development output before it is too late to obtain patent protection. In some circumstances, we may not have the right to control the preparation, filing and prosecution of patent applications, or to maintain the patents or enforce the patents, covering technology or products that we license from third parties. Our existing patents and any future patents and the existing and any future licenses to third-party patents we obtain may not be sufficiently broad to prevent others from using our technologies or from developing competing products and technologies.</w:t>
      </w:r>
    </w:p>
    <w:p>
      <w:pPr>
        <w:spacing w:after="0" w:line="153"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231F20"/>
        </w:rPr>
        <w:t>The patent position of biotechnology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our and our licensors’ patent rights are highly uncertain. Additionally, changes in either the patent laws or interpretation of the patent laws in the United States and other countries may diminish the value of our owned or licensed patents or narrow the scope of our patent protection. The laws of foreign countries may not protect our rights to the same extent as the laws of the United States.</w:t>
      </w:r>
    </w:p>
    <w:p>
      <w:pPr>
        <w:spacing w:after="0" w:line="162" w:lineRule="exact"/>
        <w:rPr>
          <w:sz w:val="20"/>
          <w:szCs w:val="20"/>
          <w:color w:val="auto"/>
        </w:rPr>
      </w:pPr>
    </w:p>
    <w:p>
      <w:pPr>
        <w:ind w:right="100" w:firstLine="318"/>
        <w:spacing w:after="0" w:line="264" w:lineRule="auto"/>
        <w:rPr>
          <w:sz w:val="20"/>
          <w:szCs w:val="20"/>
          <w:color w:val="auto"/>
        </w:rPr>
      </w:pPr>
      <w:r>
        <w:rPr>
          <w:rFonts w:ascii="Times New Roman" w:cs="Times New Roman" w:eastAsia="Times New Roman" w:hAnsi="Times New Roman"/>
          <w:sz w:val="17"/>
          <w:szCs w:val="17"/>
          <w:color w:val="231F20"/>
        </w:rPr>
        <w:t>Even if our owned and licensed patent applications issue as patents, they may not issue in a form that will provide us with any meaningful protection, prevent competitors from competing with us or otherwise provide us with any competitive advantage. We, or our licensors, may fail to identify patentable aspects of inventions made in the course of development and commercialization activities before it is too late to obtain patent protection on them. Therefore, we may miss potential opportunities to strengthen our patent position. Our competitors may be able to circumvent our owned or licensed patents by developing similar or alternative technologies or products in a non-infringing manner. The issuance of a patent is not conclusive as to its scope, validity or enforceability, and our owned and licensed patents may be challenged in the courts or patent offices in the United States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future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or otherwise provide us with a competitive advantage.</w:t>
      </w:r>
    </w:p>
    <w:p>
      <w:pPr>
        <w:spacing w:after="0" w:line="200" w:lineRule="exact"/>
        <w:rPr>
          <w:sz w:val="20"/>
          <w:szCs w:val="20"/>
          <w:color w:val="auto"/>
        </w:rPr>
      </w:pPr>
    </w:p>
    <w:p>
      <w:pPr>
        <w:spacing w:after="0" w:line="34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293" w:right="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The patent protection we obtain for Symvess or our product candidates may not be sufficient enough to provide us with any competitive advantage or our owned or licensed patents may be challenged.</w:t>
      </w:r>
    </w:p>
    <w:p>
      <w:pPr>
        <w:spacing w:after="0" w:line="125"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7"/>
          <w:szCs w:val="17"/>
          <w:color w:val="231F20"/>
        </w:rPr>
        <w:t>In some instances, agreements through which we license patent rights may not give us control over patent prosecution or maintenance, so that we may not be able to control which claims or arguments are presented, how claims are amended, and may not be able to secure, maintain, or successfully enforce necessary or desirable patent protection from those patent rights. We have not had and do not have primary control over patent prosecution and maintenance for certain of the patents and patent applications we license and therefore cannot guarantee that these patents and applications will be prosecuted or maintained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 Moreover, some of our in-licensed patents and patent applications are, and our future owned and licensed patents may be, co-owned with third parties. If we are unable to obtain an exclusive license to any such third-party co-owners’ interest in any future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39" w:lineRule="exact"/>
        <w:rPr>
          <w:sz w:val="20"/>
          <w:szCs w:val="20"/>
          <w:color w:val="auto"/>
        </w:rPr>
      </w:pPr>
    </w:p>
    <w:p>
      <w:pPr>
        <w:ind w:right="140" w:firstLine="318"/>
        <w:spacing w:after="0" w:line="249" w:lineRule="auto"/>
        <w:rPr>
          <w:sz w:val="20"/>
          <w:szCs w:val="20"/>
          <w:color w:val="auto"/>
        </w:rPr>
      </w:pPr>
      <w:r>
        <w:rPr>
          <w:rFonts w:ascii="Times New Roman" w:cs="Times New Roman" w:eastAsia="Times New Roman" w:hAnsi="Times New Roman"/>
          <w:sz w:val="18"/>
          <w:szCs w:val="18"/>
          <w:color w:val="231F20"/>
        </w:rPr>
        <w:t>It is possible that defects of form in the preparation or filing of our owned or licensed patents or patent applications may exist, or may arise in the future, for example with respect to proper priority claims, inventorship, claim scope, or requests for patent term adjustments or extensions.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owned or 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61"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8"/>
          <w:szCs w:val="18"/>
          <w:color w:val="231F20"/>
        </w:rPr>
        <w:t>Pending patent applications cannot be enforced against third parties practicing the technology claimed in such applications unless and until a patent issues from such applications. For applications filed on or after March 16, 2013 in the United States, the first to file a patent application is generally entitled to the patent, assuming the other requirements for patentability are met.</w:t>
      </w:r>
    </w:p>
    <w:p>
      <w:pPr>
        <w:spacing w:after="0" w:line="140"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231F20"/>
        </w:rPr>
        <w:t>Prior to March 16, 2013, however,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prior patent applications on inventions claimed in our owned or licensed patents or applications that were filed on or before March 15, 2013, an interference proceeding in the United States can be initiated by such third parties to determine who was the first to invent any of the subject matter covered by the patent claims of such owned or licensed patent applications. If third parties have filed such prior applications after March 15, 2013, a derivation proceeding in the United States can be initiated by such third parties to determine whether our owned or licensed invention was derived from theirs.</w:t>
      </w:r>
    </w:p>
    <w:p>
      <w:pPr>
        <w:spacing w:after="0" w:line="153"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231F20"/>
        </w:rPr>
        <w:t xml:space="preserve">Moreover, because the issuance of a patent is not conclusive as to its inventorship, scope, validity or enforceability, our owned and licensed patents or pending patent applications may be challenged in the courts or patent offices in the United States and abroad. There is no assurance that all of the potentially relevant prior art relating to our owned or licensed patents and patent applications has been found. If such prior art exists, it may be used to invalidate a patent, or may prevent a patent from issuing from a pending patent application. For example, such patent filings may be subject to a third-party submission of prior art to the U.S. Patent and Trademark Office (“USPTO”), or to other patent offices around the world. Alternately or additionally, we may become involved in post-grant review procedures, oppositions, derivation proceedings, </w:t>
      </w:r>
      <w:r>
        <w:rPr>
          <w:rFonts w:ascii="Times New Roman" w:cs="Times New Roman" w:eastAsia="Times New Roman" w:hAnsi="Times New Roman"/>
          <w:sz w:val="17"/>
          <w:szCs w:val="17"/>
          <w:i w:val="1"/>
          <w:iCs w:val="1"/>
          <w:color w:val="231F20"/>
        </w:rPr>
        <w:t>ex parte</w:t>
      </w:r>
      <w:r>
        <w:rPr>
          <w:rFonts w:ascii="Times New Roman" w:cs="Times New Roman" w:eastAsia="Times New Roman" w:hAnsi="Times New Roman"/>
          <w:sz w:val="17"/>
          <w:szCs w:val="17"/>
          <w:color w:val="231F20"/>
        </w:rPr>
        <w:t xml:space="preserve"> reexaminations, </w:t>
      </w:r>
      <w:r>
        <w:rPr>
          <w:rFonts w:ascii="Times New Roman" w:cs="Times New Roman" w:eastAsia="Times New Roman" w:hAnsi="Times New Roman"/>
          <w:sz w:val="17"/>
          <w:szCs w:val="17"/>
          <w:i w:val="1"/>
          <w:iCs w:val="1"/>
          <w:color w:val="231F20"/>
        </w:rPr>
        <w:t>inter partes</w:t>
      </w:r>
      <w:r>
        <w:rPr>
          <w:rFonts w:ascii="Times New Roman" w:cs="Times New Roman" w:eastAsia="Times New Roman" w:hAnsi="Times New Roman"/>
          <w:sz w:val="17"/>
          <w:szCs w:val="17"/>
          <w:color w:val="231F20"/>
        </w:rPr>
        <w:t xml:space="preserve"> review, supplemental examinations, or interference proceedings or challenges in district court, in the United States or in various foreign patent offices, including both national and regional, challenging patents or patent applications in which we have rights, including patents on which we rely to protect our business. An adverse determination in any such challenges may result in loss of the patent or in patent or patent application claims being narrowed, invalidated or held unenforceable, in whole or in part, or in denial of the patent application or loss or reduction in the scope of one or more claims of the patent or patent application, any of which could limit our ability to</w:t>
      </w:r>
    </w:p>
    <w:p>
      <w:pPr>
        <w:spacing w:after="0" w:line="200" w:lineRule="exact"/>
        <w:rPr>
          <w:sz w:val="20"/>
          <w:szCs w:val="20"/>
          <w:color w:val="auto"/>
        </w:rPr>
      </w:pPr>
    </w:p>
    <w:p>
      <w:pPr>
        <w:spacing w:after="0" w:line="3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p>
    <w:p>
      <w:pPr>
        <w:spacing w:after="0" w:line="140" w:lineRule="exact"/>
        <w:rPr>
          <w:sz w:val="20"/>
          <w:szCs w:val="20"/>
          <w:color w:val="auto"/>
        </w:rPr>
      </w:pPr>
    </w:p>
    <w:p>
      <w:pPr>
        <w:ind w:right="260" w:firstLine="318"/>
        <w:spacing w:after="0" w:line="271" w:lineRule="auto"/>
        <w:rPr>
          <w:sz w:val="20"/>
          <w:szCs w:val="20"/>
          <w:color w:val="auto"/>
        </w:rPr>
      </w:pPr>
      <w:r>
        <w:rPr>
          <w:rFonts w:ascii="Times New Roman" w:cs="Times New Roman" w:eastAsia="Times New Roman" w:hAnsi="Times New Roman"/>
          <w:sz w:val="18"/>
          <w:szCs w:val="18"/>
          <w:color w:val="231F20"/>
        </w:rPr>
        <w:t>Pending and future patent applications may not result in patents being issued that protect our business, in whole or in part, or which effectively prevent others from commercializing competitive products.</w:t>
      </w:r>
    </w:p>
    <w:p>
      <w:pPr>
        <w:spacing w:after="0" w:line="128" w:lineRule="exact"/>
        <w:rPr>
          <w:sz w:val="20"/>
          <w:szCs w:val="20"/>
          <w:color w:val="auto"/>
        </w:rPr>
      </w:pPr>
    </w:p>
    <w:p>
      <w:pPr>
        <w:jc w:val="both"/>
        <w:ind w:right="60" w:firstLine="318"/>
        <w:spacing w:after="0" w:line="251" w:lineRule="auto"/>
        <w:rPr>
          <w:sz w:val="20"/>
          <w:szCs w:val="20"/>
          <w:color w:val="auto"/>
        </w:rPr>
      </w:pPr>
      <w:r>
        <w:rPr>
          <w:rFonts w:ascii="Times New Roman" w:cs="Times New Roman" w:eastAsia="Times New Roman" w:hAnsi="Times New Roman"/>
          <w:sz w:val="18"/>
          <w:szCs w:val="18"/>
          <w:color w:val="231F20"/>
        </w:rPr>
        <w:t>Competitors may also be able to design around our owned or licensed patents. Changes in either the patent laws or interpretation of the patent laws in the United States and other countries may diminish the value of our owned or licensed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 Any such developments could have a material adverse effect on our ability to generate revenue.</w:t>
      </w:r>
    </w:p>
    <w:p>
      <w:pPr>
        <w:spacing w:after="0" w:line="162"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231F20"/>
        </w:rPr>
        <w:t>Issued patents that we have or may obtain or license may not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Our competitors may also seek approval to market their own products similar to or otherwise competitive with our products. In these circumstances, we may need to defend or assert our owned or licensed patents, or both, including by filing lawsuits alleging patent infringement. In any of these types of proceedings, a court or other agency with jurisdiction may find our owned or licensed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business, financial condition, results of operations and prospects.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become involved in lawsuits to protect or enforce our patents, which could be expensive, time-consuming and unsuccessful.</w:t>
      </w:r>
    </w:p>
    <w:p>
      <w:pPr>
        <w:spacing w:after="0" w:line="181"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231F20"/>
        </w:rPr>
        <w:t>Competitors may infringe, misappropriate or violate our owned or licensed patents or other intellectual property. To counter infringement or unauthorized use, we may be required to file infringement claims, which can be expensive and time-consuming. In addition, in an infringement proceeding, a court may decide that a patent of ours is invalid or unenforceable, in whole or in part. There is also a risk that, even if the validity of such patents is upheld, the court will construe the patent’s claims narrowly and refuse to stop the other party from using the technology at issue on the grounds that our owned or licensed patents do not cover such technology. The standards that courts use to interpret patents are not always applied predictably or uniformly and can change, particularly as new technologies develop. As a result, we do not know how much protection, if any, will be given to our owned or licensed patents if we attempt to enforce them and they are challenged in court. An adverse result in any litigation proceeding could put one or more of our owned or licensed patents at risk of being invalidated or interpreted narrowly.</w:t>
      </w:r>
    </w:p>
    <w:p>
      <w:pPr>
        <w:spacing w:after="0" w:line="161"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Inequitable conduct is frequently raised as a defense during intellectual property litigation. It is believed that all parties involved in the prosecution of our patent applications have complied with their duties of disclosure in the course of prosecuting our patent applications; however, it is possible that legal claims to the contrary could be asserted if we were engaged in intellectual property litigation, and the results of any such legal claims are uncertain due to the inherent uncertainty of litigation. If a court determines that any party involved in the prosecution of our owned or licensed patents failed to comply with its duty of candor, the subject patent could be held to be unenforceable.</w:t>
      </w:r>
    </w:p>
    <w:p>
      <w:pPr>
        <w:spacing w:after="0" w:line="148" w:lineRule="exact"/>
        <w:rPr>
          <w:sz w:val="20"/>
          <w:szCs w:val="20"/>
          <w:color w:val="auto"/>
        </w:rPr>
      </w:pPr>
    </w:p>
    <w:p>
      <w:pPr>
        <w:ind w:right="160" w:firstLine="318"/>
        <w:spacing w:after="0" w:line="254" w:lineRule="auto"/>
        <w:rPr>
          <w:sz w:val="20"/>
          <w:szCs w:val="20"/>
          <w:color w:val="auto"/>
        </w:rPr>
      </w:pPr>
      <w:r>
        <w:rPr>
          <w:rFonts w:ascii="Times New Roman" w:cs="Times New Roman" w:eastAsia="Times New Roman" w:hAnsi="Times New Roman"/>
          <w:sz w:val="18"/>
          <w:szCs w:val="18"/>
          <w:color w:val="231F20"/>
        </w:rPr>
        <w:t>Furthermore, because of the substantial amount of discovery required in connection with intellectual property litigation, there is a risk that some of our confidential information could be compromised by disclosure during this type of litigation. Intellectual property litigation or other legal proceedings may cause us to incur significant expenses and may also absorb significant management time. Uncertainties resulting from our participation in patent litigation or other proceedings could have a material adverse effect on our business.</w:t>
      </w:r>
    </w:p>
    <w:p>
      <w:pPr>
        <w:spacing w:after="0" w:line="200" w:lineRule="exact"/>
        <w:rPr>
          <w:sz w:val="20"/>
          <w:szCs w:val="20"/>
          <w:color w:val="auto"/>
        </w:rPr>
      </w:pPr>
    </w:p>
    <w:p>
      <w:pPr>
        <w:spacing w:after="0" w:line="3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Third parties may initiate legal proceedings alleging that we are infringing, misappropriating or otherwise violating their intellectual property rights, the outcome of which would be uncertain and could harm our business, prospects, operating results and financial condition.</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231F20"/>
        </w:rPr>
        <w:t>Third parties may assert infringement, misappropriation or other claims against us, or other parties we have agreed to indemnify, based on existing third-party patents or patents that may be granted in the future as well as other intellectual property rights. There may be existing third-party patents or patent applications covering aspects of our technology. Furthermore,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48"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231F20"/>
        </w:rPr>
        <w:t>Because of the inevitable uncertainty in intellectual property litigation, we could lose a patent infringement or other action asserted against us regardless of our perception of the merits of the case. If we are found to infringe upon, misappropriate or otherwise violate a third party’s intellectual property rights, we could be required to obtain a license from such third party to continue developing and commercializing our products and technology. However, we may not be able to obtain any required license on commercially reasonable terms or at all. Even if we are able to obtain a license, it may be non-exclusive, thereby giving our competitors access to the same technologies licensed to us. We could be forced, including by court order, to cease commercializing the implicated technology or product. In addition, in any such proceeding or litigation, we could be found liable for monetary damages, which could be significant, including treble damages and attorneys’ fees, if we are found to have willfully infringed a patent. A finding of infringement, misappropriation or that we otherwise violated intellectual property rights could prevent us from commercializing Symvess or our product candidates or force us to cease some or all of our business operations.</w:t>
      </w:r>
    </w:p>
    <w:p>
      <w:pPr>
        <w:spacing w:after="0" w:line="162"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our obligations in our intellectual property licenses with third parties, we could lose license rights that are important to our business.</w:t>
      </w:r>
    </w:p>
    <w:p>
      <w:pPr>
        <w:spacing w:after="0" w:line="125"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231F20"/>
        </w:rPr>
        <w:t>We are a party to intellectual property license agreements with third parties. For example, we have licenses with each of Duke University and Yale University for patents associated with our proprietary technology, among others, and may enter into additional license agreements in the future. 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platform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148" w:lineRule="exact"/>
        <w:rPr>
          <w:sz w:val="20"/>
          <w:szCs w:val="20"/>
          <w:color w:val="auto"/>
        </w:rPr>
      </w:pPr>
    </w:p>
    <w:p>
      <w:pPr>
        <w:jc w:val="both"/>
        <w:ind w:right="300" w:firstLine="318"/>
        <w:spacing w:after="0" w:line="258" w:lineRule="auto"/>
        <w:rPr>
          <w:sz w:val="20"/>
          <w:szCs w:val="20"/>
          <w:color w:val="auto"/>
        </w:rPr>
      </w:pPr>
      <w:r>
        <w:rPr>
          <w:rFonts w:ascii="Times New Roman" w:cs="Times New Roman" w:eastAsia="Times New Roman" w:hAnsi="Times New Roman"/>
          <w:sz w:val="18"/>
          <w:szCs w:val="18"/>
          <w:color w:val="231F20"/>
        </w:rPr>
        <w:t>Further, the agreements under which we currently license intellectual property or technology from third parties are complex, and certain provisions in such agreements may be susceptible to multiple interpretations. Accordingly, disputes may arise between us and our licensor, our licensor and its licensors, regarding intellectual property subject to a license agreement, including those relating to:</w:t>
      </w:r>
    </w:p>
    <w:p>
      <w:pPr>
        <w:spacing w:after="0" w:line="153" w:lineRule="exact"/>
        <w:rPr>
          <w:sz w:val="20"/>
          <w:szCs w:val="20"/>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of rights, if any, granted under the license agreement and other interpretation-related issues;</w:t>
      </w:r>
    </w:p>
    <w:p>
      <w:pPr>
        <w:spacing w:after="0" w:line="176" w:lineRule="exact"/>
        <w:rPr>
          <w:rFonts w:ascii="Times New Roman" w:cs="Times New Roman" w:eastAsia="Times New Roman" w:hAnsi="Times New Roman"/>
          <w:sz w:val="18"/>
          <w:szCs w:val="18"/>
          <w:color w:val="231F20"/>
        </w:rPr>
      </w:pPr>
    </w:p>
    <w:p>
      <w:pPr>
        <w:ind w:left="640" w:right="620" w:hanging="316"/>
        <w:spacing w:after="0" w:line="271" w:lineRule="auto"/>
        <w:tabs>
          <w:tab w:leader="none" w:pos="63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and the extent to which our technology and processes infringe on intellectual property of the licensor that is not subject to the license agreement;</w:t>
      </w:r>
    </w:p>
    <w:p>
      <w:pPr>
        <w:spacing w:after="0" w:line="128"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our licensor or its licensor had the right to grant the license agreement;</w:t>
      </w:r>
    </w:p>
    <w:p>
      <w:pPr>
        <w:spacing w:after="0" w:line="190" w:lineRule="exact"/>
        <w:rPr>
          <w:rFonts w:ascii="Times New Roman" w:cs="Times New Roman" w:eastAsia="Times New Roman" w:hAnsi="Times New Roman"/>
          <w:sz w:val="18"/>
          <w:szCs w:val="18"/>
          <w:color w:val="231F20"/>
        </w:rPr>
      </w:pPr>
    </w:p>
    <w:p>
      <w:pPr>
        <w:ind w:left="640" w:right="520" w:hanging="316"/>
        <w:spacing w:after="0" w:line="271" w:lineRule="auto"/>
        <w:tabs>
          <w:tab w:leader="none" w:pos="63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third parties are entitled to compensation or equitable relief, such as an injunction, for our use of the intellectual property without their authorization;</w:t>
      </w:r>
    </w:p>
    <w:p>
      <w:pPr>
        <w:spacing w:after="0" w:line="128"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right to sublicense patent and other rights to third parties under collaborative development relationships;</w:t>
      </w:r>
    </w:p>
    <w:p>
      <w:pPr>
        <w:spacing w:after="0" w:line="176" w:lineRule="exact"/>
        <w:rPr>
          <w:rFonts w:ascii="Times New Roman" w:cs="Times New Roman" w:eastAsia="Times New Roman" w:hAnsi="Times New Roman"/>
          <w:sz w:val="18"/>
          <w:szCs w:val="18"/>
          <w:color w:val="231F20"/>
        </w:rPr>
      </w:pPr>
    </w:p>
    <w:p>
      <w:pPr>
        <w:ind w:left="640" w:right="1260" w:hanging="316"/>
        <w:spacing w:after="0" w:line="271" w:lineRule="auto"/>
        <w:tabs>
          <w:tab w:leader="none" w:pos="63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we are complying with our obligations with respect to the use of the licensed technology in relation to our development and commercialization of Symvess and our product candidates;</w:t>
      </w:r>
    </w:p>
    <w:p>
      <w:pPr>
        <w:spacing w:after="0" w:line="200" w:lineRule="exact"/>
        <w:rPr>
          <w:sz w:val="20"/>
          <w:szCs w:val="20"/>
          <w:color w:val="auto"/>
        </w:rPr>
      </w:pPr>
    </w:p>
    <w:p>
      <w:pPr>
        <w:spacing w:after="0" w:line="3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involvement in the prosecution of the licensed patents and our licensors’ overall patent enforcement strategy;</w:t>
      </w:r>
    </w:p>
    <w:p>
      <w:pPr>
        <w:spacing w:after="0" w:line="176"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allocation of ownership of inventions and know-how resulting from the joint creation or use of intellectual property by our licensors and by us and our partners; and</w:t>
      </w:r>
    </w:p>
    <w:p>
      <w:pPr>
        <w:spacing w:after="0" w:line="128"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of royalties, milestones or other payments due under the license agreement.</w:t>
      </w:r>
    </w:p>
    <w:p>
      <w:pPr>
        <w:spacing w:after="0" w:line="190"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231F20"/>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If disputes over intellectual property that we have licensed prevent or impair our ability to maintain our current licensing arrangements on acceptable terms, or are insufficient to provide us the necessary rights to use the intellectual property, we may be unable to successfully develop and commercialize Symvess or the other affected product candidates. If we or any such licensors fail to adequately protect this intellectual property, our ability to commercialize Symvess or our product candidates, if approved, could suffer. Any disputes with our licensors or any termination of the licenses on which we depend could have a material adverse effect on our business, financial condition, results of operations and prospects.</w:t>
      </w:r>
    </w:p>
    <w:p>
      <w:pPr>
        <w:spacing w:after="0" w:line="14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We may not be successful in obtaining necessary intellectual property rights to product candidates for our development pipeline through acquisitions and in-licenses.</w:t>
      </w:r>
    </w:p>
    <w:p>
      <w:pPr>
        <w:spacing w:after="0" w:line="125"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231F20"/>
        </w:rPr>
        <w:t>Although we intend to develop product candidates through our own internal research, we may need to obtain additional licenses from others to advance our research or allow commercialization of our product candidates. However, we may be unable to acquire or in-license intellectual property rights relating to, or necessary for, any such product candidates from third parties on commercially reasonable terms or at all. In that event, we may be unable to develop or commercialize such product candidates. We may also be unable to identify additional, future product candidates that we believe are an appropriate strategic fit for our company and intellectual property relating to, or necessary for, such product candidates.</w:t>
      </w:r>
    </w:p>
    <w:p>
      <w:pPr>
        <w:spacing w:after="0" w:line="162"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231F20"/>
        </w:rPr>
        <w:t>The in-licensing and acquisition of third-party intellectual property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44"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We may be unable to protect the confidentiality of our trade secrets, particularly in light of our reliance on third parties, which increases the possibility that such trade secrets will be disclosed or misappropriated, thus harming our business and competitive position.</w:t>
      </w:r>
    </w:p>
    <w:p>
      <w:pPr>
        <w:spacing w:after="0" w:line="125"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7"/>
          <w:szCs w:val="17"/>
          <w:color w:val="231F20"/>
        </w:rPr>
        <w:t>In addition to our patented technology and products, we rely upon trade secrets, including unpatented know-how, technology and other proprietary information to develop and maintain our competitive position, particularly with respect to our manufacturing process. We seek to protect our trade secrets, in part, through confidentiality agreements with our employees, collaborators and consultants. We seek to have agreements with our employees and selected consultants that obligate them to assign any inventions created during their tenure with us. However, we may not obtain these agreements in all circumstances and the assignment of intellectual property under such agreements may not be self-executing. If the employees, collaborators or consultants that are parties to these agreements breach or violate their respective terms, we may not have adequate remedies for any such breach or violation. Our trade secrets could also be misappropriated by our competitors. Enforcing a claim that a party illegally disclosed or misappropriated a trade secret is difficult, expensive, time-consuming and potentially distracting,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such a party from using that technology or information to compete with us. If our trade secrets are disclosed to or misappropriated or independently developed by a third party, it would harm our ability to protect our rights and could materially harm our business and competitive position.</w:t>
      </w:r>
    </w:p>
    <w:p>
      <w:pPr>
        <w:spacing w:after="0" w:line="200" w:lineRule="exact"/>
        <w:rPr>
          <w:sz w:val="20"/>
          <w:szCs w:val="20"/>
          <w:color w:val="auto"/>
        </w:r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Third parties may assert that our employees or consultants have wrongfully used or disclosed confidential information or misappropriated trade secrets.</w:t>
      </w:r>
    </w:p>
    <w:p>
      <w:pPr>
        <w:spacing w:after="0" w:line="192" w:lineRule="exact"/>
        <w:rPr>
          <w:sz w:val="20"/>
          <w:szCs w:val="20"/>
          <w:color w:val="auto"/>
        </w:rPr>
      </w:pPr>
    </w:p>
    <w:p>
      <w:pPr>
        <w:ind w:right="140" w:firstLine="318"/>
        <w:spacing w:after="0" w:line="268" w:lineRule="auto"/>
        <w:rPr>
          <w:sz w:val="20"/>
          <w:szCs w:val="20"/>
          <w:color w:val="auto"/>
        </w:rPr>
      </w:pPr>
      <w:r>
        <w:rPr>
          <w:rFonts w:ascii="Times New Roman" w:cs="Times New Roman" w:eastAsia="Times New Roman" w:hAnsi="Times New Roman"/>
          <w:sz w:val="17"/>
          <w:szCs w:val="17"/>
          <w:color w:val="231F20"/>
        </w:rPr>
        <w:t>We may employ individuals or engage consultants that previously worked with other organizations, including our competitors or potential competitors. Although we seek to ensure that such persons do not use the proprietary information or know-how of others in their work for us, we may be subject to claims that we or they, or both, have inadvertently or otherwise used or disclosed intellectual property, including trade secrets or other proprietary information, of a former employer or other third party. Litigation may be necessary to defend against these claims. If we fail in defending any such claims or settling those claims, we may lose valuable intellectual property rights or personnel in addition to paying monetary damages or a settlement. Even if we are successful in defending against such claims, litigation could result in substantial costs and be a distraction to management and other employees.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terms may be inadequate to protect our competitive position on Symvess or our product candidates for an adequate amount of time.</w:t>
      </w:r>
    </w:p>
    <w:p>
      <w:pPr>
        <w:spacing w:after="0" w:line="194"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ATEVs, including Symvess, are obtained, once the patent life has expired, we may face competition, including from other competing technologies. As a result, our owned and licensed patent portfolio may not provide us with sufficient rights to exclude others from commercializing products similar or identical to ours.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w:t>
      </w:r>
    </w:p>
    <w:p>
      <w:pPr>
        <w:spacing w:after="0" w:line="181" w:lineRule="exact"/>
        <w:rPr>
          <w:sz w:val="20"/>
          <w:szCs w:val="20"/>
          <w:color w:val="auto"/>
        </w:rPr>
      </w:pPr>
    </w:p>
    <w:p>
      <w:pPr>
        <w:jc w:val="both"/>
        <w:ind w:right="180" w:firstLine="318"/>
        <w:spacing w:after="0" w:line="267" w:lineRule="auto"/>
        <w:rPr>
          <w:sz w:val="20"/>
          <w:szCs w:val="20"/>
          <w:color w:val="auto"/>
        </w:rPr>
      </w:pPr>
      <w:r>
        <w:rPr>
          <w:rFonts w:ascii="Times New Roman" w:cs="Times New Roman" w:eastAsia="Times New Roman" w:hAnsi="Times New Roman"/>
          <w:sz w:val="17"/>
          <w:szCs w:val="17"/>
          <w:color w:val="231F20"/>
        </w:rPr>
        <w:t>Filing, prosecuting, maintaining, defending and enforcing patents on Symvess or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w:t>
      </w:r>
    </w:p>
    <w:p>
      <w:pPr>
        <w:spacing w:after="0" w:line="246" w:lineRule="auto"/>
        <w:rPr>
          <w:sz w:val="20"/>
          <w:szCs w:val="20"/>
          <w:color w:val="auto"/>
        </w:rPr>
      </w:pPr>
      <w:r>
        <w:rPr>
          <w:rFonts w:ascii="Times New Roman" w:cs="Times New Roman" w:eastAsia="Times New Roman" w:hAnsi="Times New Roman"/>
          <w:sz w:val="18"/>
          <w:szCs w:val="18"/>
          <w:color w:val="231F20"/>
        </w:rPr>
        <w:t>Consequently, we may not be able to prevent third parties from practicing our inventions in countries outside the United States, or from selling or importing products made using our inventions in and into or other jurisdictions. Competitors may use our technologies in jurisdictions where we have not obtained patent protection to develop their own products and may also export infringing products to territories where we have patent protection, but enforcement rights are not as strong as those in the United States. These products may compete with our products, to the extent approved, and our owned or licensed patents or other intellectual property rights may not be effective or sufficient to prevent them from doing so.</w:t>
      </w:r>
    </w:p>
    <w:p>
      <w:pPr>
        <w:spacing w:after="0" w:line="166"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or licensed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owned or licensed patents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w:t>
      </w:r>
    </w:p>
    <w:p>
      <w:pPr>
        <w:spacing w:after="0" w:line="138" w:lineRule="exact"/>
        <w:rPr>
          <w:sz w:val="20"/>
          <w:szCs w:val="20"/>
          <w:color w:val="auto"/>
        </w:rPr>
      </w:pPr>
    </w:p>
    <w:p>
      <w:pPr>
        <w:ind w:right="140" w:firstLine="318"/>
        <w:spacing w:after="0" w:line="265" w:lineRule="auto"/>
        <w:rPr>
          <w:sz w:val="20"/>
          <w:szCs w:val="20"/>
          <w:color w:val="auto"/>
        </w:rPr>
      </w:pPr>
      <w:r>
        <w:rPr>
          <w:rFonts w:ascii="Times New Roman" w:cs="Times New Roman" w:eastAsia="Times New Roman" w:hAnsi="Times New Roman"/>
          <w:sz w:val="17"/>
          <w:szCs w:val="17"/>
          <w:color w:val="231F20"/>
        </w:rPr>
        <w:t>In Europe, a new unitary patent system took effect on June 1, 2023, and may significantly impact European patents, including those granted before the introduction of the new system. Under the new system, Applicants can, upon grant of a patent, opt for that patent to become a Unitary Patent which will be subject to the jurisdiction of a new Unitary Patent Court (“UPC”). Patents granted before the implementation of the new system can be opted out of UPC jurisdiction, remaining as national patents in the UPC countries. Patents that remain under the jurisdiction of the UPC may be challenged in a single UPC-based revocation proceeding that, if successful, could invalidate the patent in all countries who are signatories to the UPC. Further, because the UPC is a new court system and there is little precedent for the court’s laws, there is increased uncertainty regarding the outcome of any patent litigation. We are unable to predict what impact the new patent regime may have on our ability to exclude competitors in the European market. In addition to changes in patents laws, geopolitical dynamics, including Russia’s incursion into Ukraine, may impact our ability to obtain and enforce patents in particular jurisdictions. If we are unable to obtain and enforce patents as needed in particular markets, our ability to exclude competitors in those markets may be reduced.</w:t>
      </w:r>
    </w:p>
    <w:p>
      <w:pPr>
        <w:spacing w:after="0" w:line="200" w:lineRule="exact"/>
        <w:rPr>
          <w:sz w:val="20"/>
          <w:szCs w:val="20"/>
          <w:color w:val="auto"/>
        </w:rPr>
      </w:pPr>
    </w:p>
    <w:p>
      <w:pPr>
        <w:spacing w:after="0" w:line="3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60" w:firstLine="318"/>
        <w:spacing w:after="0" w:line="250" w:lineRule="auto"/>
        <w:rPr>
          <w:sz w:val="20"/>
          <w:szCs w:val="20"/>
          <w:color w:val="auto"/>
        </w:rPr>
      </w:pPr>
      <w:r>
        <w:rPr>
          <w:rFonts w:ascii="Times New Roman" w:cs="Times New Roman" w:eastAsia="Times New Roman" w:hAnsi="Times New Roman"/>
          <w:sz w:val="18"/>
          <w:szCs w:val="18"/>
          <w:color w:val="231F20"/>
        </w:rPr>
        <w:t>Many countries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14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231F20"/>
        </w:rPr>
        <w:t>Some of our internal intellectual property and most of our in-licensed intellectual property has been generated under U.S. Government grants and contracts that trigger certain obligations and U.S. Government rights and thus is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43" w:lineRule="exact"/>
        <w:rPr>
          <w:sz w:val="20"/>
          <w:szCs w:val="20"/>
          <w:color w:val="auto"/>
        </w:rPr>
      </w:pPr>
    </w:p>
    <w:p>
      <w:pPr>
        <w:ind w:firstLine="318"/>
        <w:spacing w:after="0" w:line="246" w:lineRule="auto"/>
        <w:rPr>
          <w:sz w:val="20"/>
          <w:szCs w:val="20"/>
          <w:color w:val="auto"/>
        </w:rPr>
      </w:pPr>
      <w:r>
        <w:rPr>
          <w:rFonts w:ascii="Times New Roman" w:cs="Times New Roman" w:eastAsia="Times New Roman" w:hAnsi="Times New Roman"/>
          <w:sz w:val="18"/>
          <w:szCs w:val="18"/>
          <w:color w:val="231F20"/>
        </w:rPr>
        <w:t>Some of our internal intellectual property and most of our in-licensed intellectual property has been generated under U.S. Government grants and contracts that trigger certain obligations and U.S. Government rights under federal statutes and regulations, including the Bayh-Dole Act of 1980 and the Federal Technology Transfer Act of 1986. For example, the U.S. Government has a non-exclusive, non-transferable, irrevocable worldwide license to inventions conceived or first actually reduced to practice in the performance of a U.S. Government agreement. In addition, the U.S. Government has certain “march-in” rights to require us to grant exclusive, partially exclusive, or non-exclusive licenses to such inventions for the benefit of a third party if the U.S. Government determines that: (i) action is necessary to alleviate health or safety needs not reasonably met by us, our assignees, our licensees, or, in some cases, our licensors, (ii) action is necessary due to noncompliance with a U.S.-based manufacturing requirement applicable to exclusive licenses, (iii) action is necessary to meet requirements for public use specified by federal regulations and such requirements are not reasonably satisfied by us, our assignees, our licensees, and, in some cases, our licensors, and (iv) with respect to inventions made under funding agreements, adequate steps have not been taken to achieve practical application of the invention. The U.S. Government also has the right to take title to these inventions if we, or the applicable licensor, fails to disclose, elect title to, file or prosecute a patent application for, or defend or obtain a patent covering such inventions within time limits specified in particular funding agreements. The U.S. Government also has varying rights to use and disclose information, including copyrighted works, generated or delivered under a U.S. Government agreement depending on the terms of the agreement and the nature of the information. Intellectual property generated under a U.S. Government agreement is also subject to certain reporting requirements, compliance with which may require us or the applicable licensor to expend substantial resources. In addition, when inventions that are conceived or first actually reduced to practice under a U.S. Government funding agreement are exclusively licensed, products embodying or produced through the use of such inventions must be manufactured substantially in the United States. This U.S.-based manufacturing requirement may limit our ability to contract with non-U.S. companies to produce a covered product, although this requirement can be waived in certain circumstances. To the extent that any of our licensors’ current or future intellectual property is generated in the performance of U.S. Government grants or contracts, these requirements may apply to such intellectual property.</w:t>
      </w:r>
    </w:p>
    <w:p>
      <w:pPr>
        <w:spacing w:after="0" w:line="174"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and trade names are not adequately protected, then we may not be able to build name recognition in our marks of interest and our business may be adversely affected.</w:t>
      </w:r>
    </w:p>
    <w:p>
      <w:pPr>
        <w:spacing w:after="0" w:line="125" w:lineRule="exact"/>
        <w:rPr>
          <w:sz w:val="20"/>
          <w:szCs w:val="20"/>
          <w:color w:val="auto"/>
        </w:rPr>
      </w:pPr>
    </w:p>
    <w:p>
      <w:pPr>
        <w:ind w:right="60" w:firstLine="318"/>
        <w:spacing w:after="0" w:line="266" w:lineRule="auto"/>
        <w:rPr>
          <w:sz w:val="20"/>
          <w:szCs w:val="20"/>
          <w:color w:val="auto"/>
        </w:rPr>
      </w:pPr>
      <w:r>
        <w:rPr>
          <w:rFonts w:ascii="Times New Roman" w:cs="Times New Roman" w:eastAsia="Times New Roman" w:hAnsi="Times New Roman"/>
          <w:sz w:val="17"/>
          <w:szCs w:val="17"/>
          <w:color w:val="231F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Intellectual property rights do not necessarily address all potential threats.</w:t>
      </w:r>
    </w:p>
    <w:p>
      <w:pPr>
        <w:spacing w:after="0" w:line="181"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8"/>
          <w:szCs w:val="18"/>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8" w:lineRule="exact"/>
        <w:rPr>
          <w:sz w:val="20"/>
          <w:szCs w:val="20"/>
          <w:color w:val="auto"/>
        </w:rPr>
      </w:pPr>
    </w:p>
    <w:p>
      <w:pPr>
        <w:ind w:left="640" w:right="120" w:hanging="316"/>
        <w:spacing w:after="0" w:line="271" w:lineRule="auto"/>
        <w:tabs>
          <w:tab w:leader="none" w:pos="63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others may be able to make products that are similar to Symvess or any of our product candidates we may develop or utilize similar technology but that are not covered by the claims of the patents that we own or license or may own or license in the future;</w:t>
      </w:r>
    </w:p>
    <w:p>
      <w:pPr>
        <w:spacing w:after="0" w:line="141" w:lineRule="exact"/>
        <w:rPr>
          <w:rFonts w:ascii="Times New Roman" w:cs="Times New Roman" w:eastAsia="Times New Roman" w:hAnsi="Times New Roman"/>
          <w:sz w:val="18"/>
          <w:szCs w:val="18"/>
          <w:color w:val="231F20"/>
        </w:rPr>
      </w:pPr>
    </w:p>
    <w:p>
      <w:pPr>
        <w:ind w:left="640" w:right="60" w:hanging="316"/>
        <w:spacing w:after="0" w:line="271" w:lineRule="auto"/>
        <w:tabs>
          <w:tab w:leader="none" w:pos="63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current or future licensors might not have been the first to make the inventions covered by the issued patent or pending patent application that we own or license or may own or license in the future;</w:t>
      </w:r>
    </w:p>
    <w:p>
      <w:pPr>
        <w:spacing w:after="0" w:line="128"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current or future licensors might not have been the first to file patent applications covering certain of our or their inventions;</w:t>
      </w:r>
    </w:p>
    <w:p>
      <w:pPr>
        <w:spacing w:after="0" w:line="176" w:lineRule="exact"/>
        <w:rPr>
          <w:rFonts w:ascii="Times New Roman" w:cs="Times New Roman" w:eastAsia="Times New Roman" w:hAnsi="Times New Roman"/>
          <w:sz w:val="18"/>
          <w:szCs w:val="18"/>
          <w:color w:val="231F20"/>
        </w:rPr>
      </w:pPr>
    </w:p>
    <w:p>
      <w:pPr>
        <w:ind w:left="640" w:right="100" w:hanging="316"/>
        <w:spacing w:after="0" w:line="271" w:lineRule="auto"/>
        <w:tabs>
          <w:tab w:leader="none" w:pos="63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others may independently develop similar or alternative technologies or duplicate any of our technologies without infringing our owned or licensed intellectual property rights;</w:t>
      </w:r>
    </w:p>
    <w:p>
      <w:pPr>
        <w:spacing w:after="0" w:line="141"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it is possible that our and our licensors’ pending owned or licensed patent applications or those that we may own or license in the future will not lead to issued patents;</w:t>
      </w:r>
    </w:p>
    <w:p>
      <w:pPr>
        <w:spacing w:after="0" w:line="128"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issued patents that we hold rights to may be held invalid or unenforceable, including as a result of legal challenges by our competitors;</w:t>
      </w:r>
    </w:p>
    <w:p>
      <w:pPr>
        <w:spacing w:after="0" w:line="176" w:lineRule="exact"/>
        <w:rPr>
          <w:rFonts w:ascii="Times New Roman" w:cs="Times New Roman" w:eastAsia="Times New Roman" w:hAnsi="Times New Roman"/>
          <w:sz w:val="18"/>
          <w:szCs w:val="18"/>
          <w:color w:val="231F20"/>
        </w:rPr>
      </w:pPr>
    </w:p>
    <w:p>
      <w:pPr>
        <w:ind w:left="640" w:right="320" w:hanging="316"/>
        <w:spacing w:after="0" w:line="271" w:lineRule="auto"/>
        <w:tabs>
          <w:tab w:leader="none" w:pos="63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41"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not develop additional proprietary technologies that are patentable;</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patents of others may harm our business; and</w:t>
      </w:r>
    </w:p>
    <w:p>
      <w:pPr>
        <w:spacing w:after="0" w:line="176" w:lineRule="exact"/>
        <w:rPr>
          <w:rFonts w:ascii="Times New Roman" w:cs="Times New Roman" w:eastAsia="Times New Roman" w:hAnsi="Times New Roman"/>
          <w:sz w:val="18"/>
          <w:szCs w:val="18"/>
          <w:color w:val="231F20"/>
        </w:rPr>
      </w:pPr>
    </w:p>
    <w:p>
      <w:pPr>
        <w:ind w:left="640" w:right="120" w:hanging="316"/>
        <w:spacing w:after="0" w:line="271" w:lineRule="auto"/>
        <w:tabs>
          <w:tab w:leader="none" w:pos="63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choose not to file a patent in order to maintain certain trade secrets or know-how, and a third party may subsequently file a patent covering such intellectual property.</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Should any of these events occur, they could harm our business, financial condition, results of operations, and prospects.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Business Matters and Our Ability to Manage Growth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Our future success depends on our ability to retain our key employees, consultants and advisors and to attract, retain and motivate qualified personnel.</w:t>
      </w:r>
    </w:p>
    <w:p>
      <w:pPr>
        <w:spacing w:after="0" w:line="20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We are highly dependent on the research and development, clinical, regulatory, financial, commercial, and manufacturing expertise of the principal members of our management, scientific and clinical teams. The loss of the services of our executive officers or other key employees could impede the achievement of our research, development and commercialization objectives and seriously harm our ability to successfully implement our business strategy. Furthermore, losing or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our product candidates. Competition to hire from this limited pool is intense. We also experience competition for the hiring of scientific and clinical personnel from public and private universities and research institutions. In addition, we rely on consultants and advisors, including scientific, commercial and clinical advisors, to assist us in formulating our research and development and commercialization strategy. Our consultants and advisors may have commitments under employment, consulting or advisory contracts with other entities that may limit their availability to us. If we are unable to continue to attract and retain high quality personnel, our ability to pursue our growth strategy will be limited.</w:t>
      </w:r>
    </w:p>
    <w:p>
      <w:pPr>
        <w:spacing w:after="0" w:line="200" w:lineRule="exact"/>
        <w:rPr>
          <w:sz w:val="20"/>
          <w:szCs w:val="20"/>
          <w:color w:val="auto"/>
        </w:rPr>
      </w:pPr>
    </w:p>
    <w:p>
      <w:pPr>
        <w:spacing w:after="0" w:line="36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293"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We expect to increase the size of our workforce in the future, and we may encounter difficulties in managing this growth, which could harm our operations.</w:t>
      </w:r>
    </w:p>
    <w:p>
      <w:pPr>
        <w:spacing w:after="0" w:line="125"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231F20"/>
        </w:rPr>
        <w:t>As of December 31, 2024, we had 220 employees. As we move forward in our efforts to commercialize Symvess and our product candidates, if approved, we expect to continue to experience significant growth in the number of our employees and the scope of our operations, particularly in the areas of development, regulatory affairs, manufacturing, sales and marketing and quality and compliance and support functions. Due to our limited financial resources, we may not be able to effectively manage the expansion of our operations, maintain competitive compensation packages, or recruit and train additional qualified personnel. The expansion of our operations may lead to significant costs and may divert our management and business development resources. Any inability to manage this growth effectively could delay the execution of our business plans or harm our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Ownership of Our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price of our common stock may be volatile.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price of our common stock may fluctuate due to a variety of factors, including:</w:t>
      </w:r>
    </w:p>
    <w:p>
      <w:pPr>
        <w:spacing w:after="0" w:line="177"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fluctuations in our quarterly and annual results and those of other public companies in our industry;</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mergers and strategic alliances in the industry in which we operate;</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prices and conditions in the industry in which we operate;</w:t>
      </w:r>
    </w:p>
    <w:p>
      <w:pPr>
        <w:spacing w:after="0" w:line="176" w:lineRule="exact"/>
        <w:rPr>
          <w:rFonts w:ascii="Times New Roman" w:cs="Times New Roman" w:eastAsia="Times New Roman" w:hAnsi="Times New Roman"/>
          <w:sz w:val="18"/>
          <w:szCs w:val="18"/>
          <w:color w:val="231F20"/>
        </w:rPr>
      </w:pPr>
    </w:p>
    <w:p>
      <w:pPr>
        <w:ind w:left="640" w:right="260" w:hanging="316"/>
        <w:spacing w:after="0" w:line="271" w:lineRule="auto"/>
        <w:tabs>
          <w:tab w:leader="none" w:pos="63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publication of negative news articles or other media releases which could affect public opinion about our products or result in increased regulatory scrutiny of our product and product candidates;</w:t>
      </w:r>
    </w:p>
    <w:p>
      <w:pPr>
        <w:spacing w:after="0" w:line="141"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government regulation;</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or actual military conflicts or acts of terrorism;</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concerning the Company or our competitors; and</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general state of the securities markets.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These market and industry factors may materially reduce the market price of our common stock, regardless of our operating performance.</w:t>
      </w:r>
    </w:p>
    <w:p>
      <w:pPr>
        <w:spacing w:after="0" w:line="173"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Reports published by analysts, including projections in those reports that differ from our actual results, could adversely affect the price and trading volume of our common stock.</w:t>
      </w:r>
    </w:p>
    <w:p>
      <w:pPr>
        <w:spacing w:after="0" w:line="138"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We expect that securities research analysts will establish and publish their own periodic projections for our business. These projections may vary widely and may not accurately predict the results we actually achieve. Our stock price may decline if our actual results do not match the projections of these securities research analysts. Similarly, if one or more of the analysts who write reports on the Company downgrades our stock or publishes inaccurate or unfavorable research about our business, our stock price could decline. If one or more of these analysts ceases coverage of the Company or fails to publish reports on the Company regularly, our stock price or trading volume could decline.</w:t>
      </w:r>
    </w:p>
    <w:p>
      <w:pPr>
        <w:spacing w:after="0" w:line="14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We may issue additional shares of common stock or other equity securities without stockholder approval, which would dilute your ownership interests and may depress the market price of our common stock.</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As of December 31, 2024, we had warrants outstanding to purchase up to an aggregate of 14,079,314 shares of our common stock and options outstanding</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 purchase up to an aggregate of 12,274,139 shares of our common stock. As of December 31, 2024, we had the Option outstanding to purchase up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$8,050,000 </w:t>
      </w:r>
      <w:r>
        <w:rPr>
          <w:rFonts w:ascii="Times New Roman" w:cs="Times New Roman" w:eastAsia="Times New Roman" w:hAnsi="Times New Roman"/>
          <w:sz w:val="17"/>
          <w:szCs w:val="17"/>
          <w:color w:val="231F20"/>
        </w:rPr>
        <w:t>worth of shares of our common stock. Under the Humacyte, Inc. 2021 Long-Term Incentive Plan (the “2021 Plan”) and the Humacyte, Inc. 2021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Employee Stock Purchase Plan (the “ESPP”), as of December 31, 2024 we also have the ability to issue 5,817,353 shares and 1,030,033 shares, respectively.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In addition, the aggregate number of shares under the 2021 Plan and the ESPP will automatically increase on January 1 of each year, in an amount equal to 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and 1%, respectively, of the number of shares of our capital stock outstanding on December 31 of the preceding year, unless our board of directors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“Board”) acts prior to January 1 of a given year to provide that the increase for such year will be a lesser number. We may also issue additional shares of</w:t>
      </w:r>
    </w:p>
    <w:p>
      <w:pPr>
        <w:spacing w:after="0" w:line="200" w:lineRule="exact"/>
        <w:rPr>
          <w:sz w:val="20"/>
          <w:szCs w:val="20"/>
          <w:color w:val="auto"/>
        </w:rPr>
      </w:pPr>
    </w:p>
    <w:p>
      <w:pPr>
        <w:spacing w:after="0" w:line="3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color w:val="231F20"/>
        </w:rPr>
        <w:t>common stock or other equity securities of equal or senior rank in the future in connection with, among other things, future acquisitions or repayment of outstanding indebtedness, without stockholder approval, in a number of circumstances.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Our issuance of additional shares of common stock or other equity securities of equal or senior rank would have the following effects:</w:t>
      </w:r>
    </w:p>
    <w:p>
      <w:pPr>
        <w:spacing w:after="0" w:line="177"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existing stockholders’ proportionate ownership interest in the Company will decrease;</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of cash available per share, including for payment of dividends in the future, may decrease;</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relative voting strength of each previously outstanding share of common stock may be diminished; and</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market price of shares of our common stock may decline.</w:t>
      </w:r>
    </w:p>
    <w:p>
      <w:pPr>
        <w:spacing w:after="0" w:line="186"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Because we do not anticipate paying any cash dividends on our common stock in the foreseeable future, capital appreciation, if any, will be your sole source of gains and you may never receive a return on your investment.</w:t>
      </w:r>
    </w:p>
    <w:p>
      <w:pPr>
        <w:spacing w:after="0" w:line="125"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231F20"/>
        </w:rPr>
        <w:t>We intend to retain future earnings, if any, for future operations, expansion and debt repayment and have no current plans to pay any cash dividends for the foreseeable future. Any decision to declare and pay dividends as a public company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on any existing and future outstanding indebtedness we or our subsidiaries incur. As a result, you may not receive any return on an investment in our securities unless you sell your securities for a price greater than that which you paid for it.</w:t>
      </w:r>
    </w:p>
    <w:p>
      <w:pPr>
        <w:spacing w:after="0" w:line="145"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The Public Warrants may not be in the money in the future, and they may expire worthless, and the terms of the Public Warrants may be amended in a manner adverse to a holder if holders of at least 50% of the then outstanding Public Warrants approve of such amendment.</w:t>
      </w:r>
    </w:p>
    <w:p>
      <w:pPr>
        <w:spacing w:after="0" w:line="138"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231F20"/>
        </w:rPr>
        <w:t>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“Warrants”). The Warrants were issued in registered form under a warrant agreement between Continental Stock Transfer &amp; Trust Company, as warrant agent, and our predecessor AHAC. The warrant agreement provides that the terms of the Warrants may be amended without the consent of any holder to cure any ambiguity or correct any defective provision or correct any mistake,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warrant agreement with respect to the Private Placement Warrants, holders of at least 50% of the number of the then outstanding Private Placement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spacing w:after="0" w:line="139"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We may redeem your unexpired Public Warrants prior to their exercise at a time that is disadvantageous to you, thereby making your Public Warrants worth less than they would be if you held and exercised them at a later time.</w:t>
      </w:r>
    </w:p>
    <w:p>
      <w:pPr>
        <w:spacing w:after="0" w:line="125" w:lineRule="exact"/>
        <w:rPr>
          <w:sz w:val="20"/>
          <w:szCs w:val="20"/>
          <w:color w:val="auto"/>
        </w:rPr>
      </w:pPr>
    </w:p>
    <w:p>
      <w:pPr>
        <w:ind w:right="100" w:firstLine="318"/>
        <w:spacing w:after="0" w:line="248" w:lineRule="auto"/>
        <w:rPr>
          <w:sz w:val="20"/>
          <w:szCs w:val="20"/>
          <w:color w:val="auto"/>
        </w:rPr>
      </w:pPr>
      <w:r>
        <w:rPr>
          <w:rFonts w:ascii="Times New Roman" w:cs="Times New Roman" w:eastAsia="Times New Roman" w:hAnsi="Times New Roman"/>
          <w:sz w:val="18"/>
          <w:szCs w:val="18"/>
          <w:color w:val="231F20"/>
        </w:rPr>
        <w:t>We have the ability to redeem outstanding Public Warrants prior to their expiration, at a price of $0.01 per Warrant, provided that the last reported sales price of our common stock equals or exceeds $18.00 per share (as adjusted for share subdivisions, share dividends, rights issuances, subdivisions, reorganizations, recapitalizations and the like) for any 20 trading days within a 30 trading-day period ending on the third trading day prior to the date we send the notice of redemption to the holders thereof. If and when the Public Warrants become redeemable by us, we may exercise our redemption right even if we are unable to register or qualify the underlying securities for sale under all applicable state securities laws. 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w:t>
      </w:r>
    </w:p>
    <w:p>
      <w:pPr>
        <w:spacing w:after="0" w:line="200" w:lineRule="exact"/>
        <w:rPr>
          <w:sz w:val="20"/>
          <w:szCs w:val="20"/>
          <w:color w:val="auto"/>
        </w:rPr>
      </w:pPr>
    </w:p>
    <w:p>
      <w:pPr>
        <w:spacing w:after="0" w:line="3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20" w:firstLine="318"/>
        <w:spacing w:after="0" w:line="271" w:lineRule="auto"/>
        <w:rPr>
          <w:sz w:val="20"/>
          <w:szCs w:val="20"/>
          <w:color w:val="auto"/>
        </w:rPr>
      </w:pPr>
      <w:r>
        <w:rPr>
          <w:rFonts w:ascii="Times New Roman" w:cs="Times New Roman" w:eastAsia="Times New Roman" w:hAnsi="Times New Roman"/>
          <w:sz w:val="18"/>
          <w:szCs w:val="18"/>
          <w:color w:val="231F20"/>
        </w:rPr>
        <w:t>The value received upon exercise of the Public Warrants (i) may be less than the value the holders would have received if they had exercised their Public Warrants at a later time where the underlying share price is higher and (ii) may not compensate the holders for the value of the Public Warrants.</w:t>
      </w:r>
    </w:p>
    <w:p>
      <w:pPr>
        <w:spacing w:after="0" w:line="128" w:lineRule="exact"/>
        <w:rPr>
          <w:sz w:val="20"/>
          <w:szCs w:val="20"/>
          <w:color w:val="auto"/>
        </w:rPr>
      </w:pPr>
    </w:p>
    <w:p>
      <w:pPr>
        <w:ind w:right="100" w:firstLine="318"/>
        <w:spacing w:after="0" w:line="280" w:lineRule="auto"/>
        <w:rPr>
          <w:sz w:val="20"/>
          <w:szCs w:val="20"/>
          <w:color w:val="auto"/>
        </w:rPr>
      </w:pPr>
      <w:r>
        <w:rPr>
          <w:rFonts w:ascii="Times New Roman" w:cs="Times New Roman" w:eastAsia="Times New Roman" w:hAnsi="Times New Roman"/>
          <w:sz w:val="17"/>
          <w:szCs w:val="17"/>
          <w:color w:val="231F20"/>
        </w:rPr>
        <w:t>The Private Placement Warrants are not subject to the same risk of redemption as the Public Warrants as the Private Placement Warrants are not redeemable so long as they are held by the Sponsor, the underwriters of AHAC’s initial public offering or their permitted transferees. If the Private Placement Warrants are held by holders other than the Sponsor, the underwriters or their permitted transferees, the Private Placement Warrants will be redeemable by us.</w:t>
      </w:r>
    </w:p>
    <w:p>
      <w:pPr>
        <w:spacing w:after="0" w:line="11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We have derivative securities that are accounted for as assets and liabilities and the changes in value of such derivative securities could have a material effect on our financial results.</w:t>
      </w:r>
    </w:p>
    <w:p>
      <w:pPr>
        <w:spacing w:after="0" w:line="138" w:lineRule="exact"/>
        <w:rPr>
          <w:sz w:val="20"/>
          <w:szCs w:val="20"/>
          <w:color w:val="auto"/>
        </w:rPr>
      </w:pPr>
    </w:p>
    <w:p>
      <w:pPr>
        <w:ind w:right="80" w:firstLine="318"/>
        <w:spacing w:after="0" w:line="265" w:lineRule="auto"/>
        <w:rPr>
          <w:sz w:val="20"/>
          <w:szCs w:val="20"/>
          <w:color w:val="auto"/>
        </w:rPr>
      </w:pPr>
      <w:r>
        <w:rPr>
          <w:rFonts w:ascii="Times New Roman" w:cs="Times New Roman" w:eastAsia="Times New Roman" w:hAnsi="Times New Roman"/>
          <w:sz w:val="17"/>
          <w:szCs w:val="17"/>
          <w:color w:val="231F20"/>
        </w:rPr>
        <w:t>Included on the Company’s consolidated balance sheets as of December 31, 2024 are derivative liabilities related to the Contingent Consideration, the Private Placement Warrants, warrants issued in our October 2024 and November 2024 registered direct offerings (the “Registered Direct Offerings”), and the Purchasers’ put option under the Purchase Agreement, and a derivative asset related to our Common Stock Purchase Agreement.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the Contingent Consideration, the Private Placement Warrants and the warrants issued in our Registered Direct Offerings each reporting period and that the amount of such gains or losses could be material.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inflation.</w:t>
      </w:r>
    </w:p>
    <w:p>
      <w:pPr>
        <w:spacing w:after="0" w:line="181"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231F20"/>
        </w:rPr>
        <w:t>Increases in inflation may have an adverse effect on our business. Current and future inflationary effects may be driven by, among other things, supply chain disruptions and governmental stimulus or fiscal policies. Continuing increases in inflation could impact the overall demand for our products, our costs for labor, material and services, and the margins we are able to realize on our products, all of which could have an adverse impact on our business, financial position, results of operations and cash flows. Inflation may also result in higher interest rates, which in turn would result in higher interest expense related to our variable rate indebtedness and any borrowings we undertake to refinance existing fixed rate indebtedness.</w:t>
      </w:r>
    </w:p>
    <w:p>
      <w:pPr>
        <w:spacing w:after="0" w:line="15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and may continue to be subject to legal and other proceedings that could cause us to incur significant expenses, divert our management’s attention, and materially harm our business, financial condition, and operating results.</w:t>
      </w:r>
    </w:p>
    <w:p>
      <w:pPr>
        <w:spacing w:after="0" w:line="123"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231F20"/>
        </w:rPr>
        <w:t xml:space="preserve">As disclosed in </w:t>
      </w:r>
      <w:r>
        <w:rPr>
          <w:rFonts w:ascii="Times New Roman" w:cs="Times New Roman" w:eastAsia="Times New Roman" w:hAnsi="Times New Roman"/>
          <w:sz w:val="18"/>
          <w:szCs w:val="18"/>
          <w:i w:val="1"/>
          <w:iCs w:val="1"/>
          <w:color w:val="231F20"/>
        </w:rPr>
        <w:t>Legal Proceedings</w:t>
      </w:r>
      <w:r>
        <w:rPr>
          <w:rFonts w:ascii="Times New Roman" w:cs="Times New Roman" w:eastAsia="Times New Roman" w:hAnsi="Times New Roman"/>
          <w:sz w:val="18"/>
          <w:szCs w:val="18"/>
          <w:color w:val="231F20"/>
        </w:rPr>
        <w:t>, we and our affiliates currently are subject to various lawsuits and demands. These proceedings, as well as any litigation, government inquiries or investigations, regulatory proceedings, as well as personal injury or class action claims and lawsuits, and securities, commercial and intellectual property infringement matters that we could face in the future, can be protracted and expensive, and have results that are difficult to predict. Determining reserves for pending litigation and other legal and regulatory matters requires significant judgment, and there can be no assurance that our expectations or estimates will prove correct. Adverse outcomes with respect to any of these legal proceedings may result in significant settlement costs or judgments, penalties and fines. Even if these proceedings are resolved in our favor, the time and resources necessary to resolve them, or public scrutiny related to them, could divert the resources of our management and require significant expenditures.</w:t>
      </w:r>
    </w:p>
    <w:p>
      <w:pPr>
        <w:spacing w:after="0" w:line="143"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Changes in U.S. government policies under the Trump administration, including increased tariffs and reductions in federal research funding, could adversely affect our business.</w:t>
      </w:r>
    </w:p>
    <w:p>
      <w:pPr>
        <w:spacing w:after="0" w:line="138"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231F20"/>
        </w:rPr>
        <w:t>Recent policy actions by the Trump administration, including the imposition of new tariffs on imported materials and goods from certain foreign countries, including Canada, Mexico and China, and the temporary freeze on federal grants and loans, may have an adverse impact on our business. Increased tariffs on critical raw materials, components, and finished goods could raise our production costs, disrupt our supply chain, and reduce our competitiveness in the marketplace. Additionally, the administration's halt on certain federal research grants may negatively impact our industry. Any prolonged reductions in such funding could slow innovation, delay collaborations, and limit the adoption of new technologies that contribute to our business growth. If these or similar policy changes continue or expand, we may face increased costs. Although we cannot predict the full extent of these impacts, any prolonged disruption could adversely affect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25" w:lineRule="exact"/>
        <w:rPr>
          <w:sz w:val="20"/>
          <w:szCs w:val="20"/>
          <w:color w:val="auto"/>
        </w:rPr>
      </w:pPr>
    </w:p>
    <w:p>
      <w:pPr>
        <w:ind w:right="160" w:firstLine="318"/>
        <w:spacing w:after="0" w:line="254" w:lineRule="auto"/>
        <w:rPr>
          <w:sz w:val="20"/>
          <w:szCs w:val="20"/>
          <w:color w:val="auto"/>
        </w:rPr>
      </w:pPr>
      <w:r>
        <w:rPr>
          <w:rFonts w:ascii="Times New Roman" w:cs="Times New Roman" w:eastAsia="Times New Roman" w:hAnsi="Times New Roman"/>
          <w:sz w:val="18"/>
          <w:szCs w:val="18"/>
          <w:color w:val="231F20"/>
        </w:rPr>
        <w:t>We may be forced to write-down or write-off assets, restructure our operations, or incur impairment or other charges that could result in losses. Even though these charges may be non-cash items and may not have an immediate impact on our liquidity, the fact that we may report charges of this nature could contribute to negative market perceptions about our securities. In addition, charges of this nature may cause us to be unable to obtain future financing on favorable terms or at all. Accordingly, a stockholder could suffer a reduction in the value of their shares.</w:t>
      </w:r>
    </w:p>
    <w:p>
      <w:pPr>
        <w:spacing w:after="0" w:line="139"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b w:val="1"/>
          <w:bCs w:val="1"/>
          <w:i w:val="1"/>
          <w:iCs w:val="1"/>
          <w:color w:val="231F20"/>
        </w:rPr>
        <w:t>The obligations associated with being a public company involve significant expenses and will require significant resources and management attention, which may divert from our business operations.</w:t>
      </w:r>
    </w:p>
    <w:p>
      <w:pPr>
        <w:spacing w:after="0" w:line="138"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8"/>
          <w:szCs w:val="18"/>
          <w:color w:val="231F20"/>
        </w:rPr>
        <w:t>As a public company,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will incur significant legal, accounting and other expenses. Our entire management team and many of its other employees devotes substantial time to compliance.</w:t>
      </w:r>
    </w:p>
    <w:p>
      <w:pPr>
        <w:spacing w:after="0" w:line="143" w:lineRule="exact"/>
        <w:rPr>
          <w:sz w:val="20"/>
          <w:szCs w:val="20"/>
          <w:color w:val="auto"/>
        </w:rPr>
      </w:pPr>
    </w:p>
    <w:p>
      <w:pPr>
        <w:jc w:val="both"/>
        <w:ind w:right="240" w:firstLine="318"/>
        <w:spacing w:after="0" w:line="254" w:lineRule="auto"/>
        <w:rPr>
          <w:sz w:val="20"/>
          <w:szCs w:val="20"/>
          <w:color w:val="auto"/>
        </w:rPr>
      </w:pPr>
      <w:r>
        <w:rPr>
          <w:rFonts w:ascii="Times New Roman" w:cs="Times New Roman" w:eastAsia="Times New Roman" w:hAnsi="Times New Roman"/>
          <w:sz w:val="18"/>
          <w:szCs w:val="18"/>
          <w:color w:val="231F20"/>
        </w:rPr>
        <w:t>These rules and regulations result in our incurring substantial legal and financial compliance costs and will make some activities more time-consuming and costly. For example, these rules and regulations, and other factors, may make it more difficult and more expensive in the future for Humacyte to obtain director and officer liability insurance. As a result, it may be difficult for us to attract and retain qualified people to serve on the Board or committees of the Board or as executive officers.</w:t>
      </w:r>
    </w:p>
    <w:p>
      <w:pPr>
        <w:spacing w:after="0" w:line="13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We are an “emerging growth company” and a “smaller reporting company” within the meaning of the rules adopted by the SEC,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52"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We are an emerging growth company as defined in the JOBS Act, and we may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from the closing of AHAC’s initial public offering, although circumstances could cause us to lose that status earlier, including if the market value of our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49"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0" w:firstLine="318"/>
        <w:spacing w:after="0" w:line="249" w:lineRule="auto"/>
        <w:rPr>
          <w:sz w:val="20"/>
          <w:szCs w:val="20"/>
          <w:color w:val="auto"/>
        </w:rPr>
      </w:pPr>
      <w:r>
        <w:rPr>
          <w:rFonts w:ascii="Times New Roman" w:cs="Times New Roman" w:eastAsia="Times New Roman" w:hAnsi="Times New Roman"/>
          <w:sz w:val="18"/>
          <w:szCs w:val="18"/>
          <w:color w:val="231F20"/>
        </w:rPr>
        <w:t>Additionally, we are a “smaller reporting company” as defined under the Exchange Act. Smaller reporting companies may take advantage of certain reduced disclosure obligations, including, among other things, providing only two years of audited financial statements. We will remain a smaller reporting company for so long as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 To the extent we take advantage of such reduced disclosure obligations, it may also make comparison of our financial statements with other public companies difficult or impossible.</w:t>
      </w:r>
    </w:p>
    <w:p>
      <w:pPr>
        <w:spacing w:after="0" w:line="14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If we fail to maintain an effective system of internal control over financial reporting, we may not be able to accurately report our financial results. As a result, stockholders could lose confidence in our financial and other public reporting, which would harm our business and the trading price of our common stock.</w:t>
      </w:r>
    </w:p>
    <w:p>
      <w:pPr>
        <w:spacing w:after="0" w:line="139" w:lineRule="exact"/>
        <w:rPr>
          <w:sz w:val="20"/>
          <w:szCs w:val="20"/>
          <w:color w:val="auto"/>
        </w:rPr>
      </w:pPr>
    </w:p>
    <w:p>
      <w:pPr>
        <w:ind w:right="180" w:firstLine="318"/>
        <w:spacing w:after="0" w:line="258" w:lineRule="auto"/>
        <w:rPr>
          <w:sz w:val="20"/>
          <w:szCs w:val="20"/>
          <w:color w:val="auto"/>
        </w:rPr>
      </w:pPr>
      <w:r>
        <w:rPr>
          <w:rFonts w:ascii="Times New Roman" w:cs="Times New Roman" w:eastAsia="Times New Roman" w:hAnsi="Times New Roman"/>
          <w:sz w:val="18"/>
          <w:szCs w:val="18"/>
          <w:color w:val="231F20"/>
        </w:rPr>
        <w:t>Effective internal control over financial reporting is necessary for us to provide reliable financial reports. Any failure to implement new or improved controls necessary to maintain effective internal control over financial reporting, or difficulties encountered in their implementation, could cause us to fail to meet our reporting obligations.</w:t>
      </w:r>
    </w:p>
    <w:p>
      <w:pPr>
        <w:spacing w:after="0" w:line="153"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8"/>
          <w:szCs w:val="18"/>
          <w:color w:val="231F20"/>
        </w:rPr>
        <w:t>In addition, any testing by us conducted in connection with Section 404 of the Sarbanes-Oxley Act, or our independent registered public accounting firm, may identify deficiencies in our internal control over financial reporting that are deemed to be material weaknesses.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3"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8"/>
          <w:szCs w:val="18"/>
          <w:color w:val="231F20"/>
        </w:rPr>
        <w:t>Our failure to remediate any material weaknesses or failure to identify and address any material weaknesses or control deficiencies could result in inaccuracies in our financial statements and could also impair our ability to comply with applicable financial reporting requirements and related regulatory filings on a timely basis, which could cause investors to lose confidence in our reported financial information, which may result in volatility in and a decline in the market price of our common stock.</w:t>
      </w:r>
    </w:p>
    <w:p>
      <w:pPr>
        <w:spacing w:after="0" w:line="143"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As long as we are an emerging growth company under the JOBS Act or a non-accelerated filer and a “smaller reporting company” as defined in Rule 12b-2 of the Exchange Act,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deficiencies that our management’s assessment might not. Undetected material weaknesses in our internal control over financial reporting could lead to financial statement restatements and require us to incur the expense of remediation.</w:t>
      </w:r>
    </w:p>
    <w:p>
      <w:pPr>
        <w:spacing w:after="0" w:line="158" w:lineRule="exact"/>
        <w:rPr>
          <w:sz w:val="20"/>
          <w:szCs w:val="20"/>
          <w:color w:val="auto"/>
        </w:rPr>
      </w:pPr>
    </w:p>
    <w:p>
      <w:pPr>
        <w:jc w:val="both"/>
        <w:ind w:right="34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Anti-takeover provisions in our Second Amended and Restated Certificate of Incorporation and under Delaware law could make an acquisition of the Company, which may be beneficial to our stockholders, more difficult, and may prevent attempts by our stockholders to replace or remove our current management.</w:t>
      </w:r>
    </w:p>
    <w:p>
      <w:pPr>
        <w:spacing w:after="0" w:line="139" w:lineRule="exact"/>
        <w:rPr>
          <w:sz w:val="20"/>
          <w:szCs w:val="20"/>
          <w:color w:val="auto"/>
        </w:rPr>
      </w:pPr>
    </w:p>
    <w:p>
      <w:pPr>
        <w:ind w:right="240" w:firstLine="318"/>
        <w:spacing w:after="0" w:line="251" w:lineRule="auto"/>
        <w:rPr>
          <w:sz w:val="20"/>
          <w:szCs w:val="20"/>
          <w:color w:val="auto"/>
        </w:rPr>
      </w:pPr>
      <w:r>
        <w:rPr>
          <w:rFonts w:ascii="Times New Roman" w:cs="Times New Roman" w:eastAsia="Times New Roman" w:hAnsi="Times New Roman"/>
          <w:sz w:val="18"/>
          <w:szCs w:val="18"/>
          <w:color w:val="231F20"/>
        </w:rPr>
        <w:t>Our Second Amended and Restated Certificate of Incorporation (the “Charter”) contains provisions that may delay or prevent an acquisition of the company or change in our management. These provisions may make it more difficult for stockholders to replace or remove members of the Board. Because the Board is responsible for appointing the members of the management team, these provisions could in turn frustrate or prevent any attempt by our stockholders to replace or remove our current management. In addition, these provisions could limit the price that investors might be willing to pay in the future for shares of our common stock. Among other things, these provisions include:</w:t>
      </w:r>
    </w:p>
    <w:p>
      <w:pPr>
        <w:spacing w:after="0" w:line="148" w:lineRule="exact"/>
        <w:rPr>
          <w:sz w:val="20"/>
          <w:szCs w:val="20"/>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limitation of the liability of, and the indemnification of, our directors and officers;</w:t>
      </w:r>
    </w:p>
    <w:p>
      <w:pPr>
        <w:spacing w:after="0" w:line="190" w:lineRule="exact"/>
        <w:rPr>
          <w:rFonts w:ascii="Times New Roman" w:cs="Times New Roman" w:eastAsia="Times New Roman" w:hAnsi="Times New Roman"/>
          <w:sz w:val="18"/>
          <w:szCs w:val="18"/>
          <w:color w:val="231F20"/>
        </w:rPr>
      </w:pPr>
    </w:p>
    <w:p>
      <w:pPr>
        <w:ind w:left="640" w:right="100" w:hanging="316"/>
        <w:spacing w:after="0" w:line="271" w:lineRule="auto"/>
        <w:tabs>
          <w:tab w:leader="none" w:pos="635"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provisions that permit only (i) the chairperson of the Board, (ii) our chief executive officer or (iii) a majority of our Board to call special meetings of stockholders and therefore do not permit our stockholders to call stockholder meetings;</w:t>
      </w:r>
    </w:p>
    <w:p>
      <w:pPr>
        <w:spacing w:after="0" w:line="128"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prohibition on actions by our stockholders by written consent; and</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the Board to issue preferred stock without stockholder approval.</w:t>
      </w:r>
    </w:p>
    <w:p>
      <w:pPr>
        <w:spacing w:after="0" w:line="200" w:lineRule="exact"/>
        <w:rPr>
          <w:sz w:val="20"/>
          <w:szCs w:val="20"/>
          <w:color w:val="auto"/>
        </w:rPr>
      </w:pPr>
    </w:p>
    <w:p>
      <w:pPr>
        <w:spacing w:after="0" w:line="3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231F20"/>
        </w:rPr>
        <w:t>Moreover, because we are incorporated in Delaware, we are governed by the provisions of Section 203 of the Delaware General Corporation Law (the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This could discourage, delay or prevent a third party from acquiring or merging with us, whether or not it is desired by, or beneficial to, our stockholders. This could also have the effect of discouraging others from making tender offers for our common stock, including transactions that may be in our stockholders’ best interests. Finally, these provisions establish advance notice requirements for nominations for election to the board of directors or for proposing matters that can be acted upon at stockholder meetings. These provisions would apply even if the offer may be considered beneficial by some stockholders.</w:t>
      </w:r>
    </w:p>
    <w:p>
      <w:pPr>
        <w:spacing w:after="0" w:line="14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Our Charter provides that, unless we consent in writing to the selection of an alternative forum,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139" w:lineRule="exact"/>
        <w:rPr>
          <w:sz w:val="20"/>
          <w:szCs w:val="20"/>
          <w:color w:val="auto"/>
        </w:rPr>
      </w:pPr>
    </w:p>
    <w:p>
      <w:pPr>
        <w:ind w:right="280" w:firstLine="318"/>
        <w:spacing w:after="0" w:line="271" w:lineRule="auto"/>
        <w:rPr>
          <w:sz w:val="20"/>
          <w:szCs w:val="20"/>
          <w:color w:val="auto"/>
        </w:rPr>
      </w:pPr>
      <w:r>
        <w:rPr>
          <w:rFonts w:ascii="Times New Roman" w:cs="Times New Roman" w:eastAsia="Times New Roman" w:hAnsi="Times New Roman"/>
          <w:sz w:val="18"/>
          <w:szCs w:val="18"/>
          <w:color w:val="231F20"/>
        </w:rPr>
        <w:t>Our Charter provides that the Court of Chancery of the State of Delaware will be the exclusive forum for the following types of actions or proceedings under Delaware statutory or common law:</w:t>
      </w:r>
    </w:p>
    <w:p>
      <w:pPr>
        <w:spacing w:after="0" w:line="141" w:lineRule="exact"/>
        <w:rPr>
          <w:sz w:val="20"/>
          <w:szCs w:val="20"/>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derivative action or proceeding brought on our behalf;</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breach of fiduciary duty;</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arising under the DGCL, our Charter or our amended and restated bylaws (the “Bylaws”);</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or proceeding asserting a claim as to which the DGCL confers jurisdiction upon the Court of Chancery of the State of Delaware; and</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that is governed by the internal affairs doctrine or otherwise related to our internal affairs.</w:t>
      </w:r>
    </w:p>
    <w:p>
      <w:pPr>
        <w:spacing w:after="0" w:line="177" w:lineRule="exact"/>
        <w:rPr>
          <w:sz w:val="20"/>
          <w:szCs w:val="20"/>
          <w:color w:val="auto"/>
        </w:rPr>
      </w:pPr>
    </w:p>
    <w:p>
      <w:pPr>
        <w:ind w:right="200" w:firstLine="318"/>
        <w:spacing w:after="0" w:line="251" w:lineRule="auto"/>
        <w:rPr>
          <w:sz w:val="20"/>
          <w:szCs w:val="20"/>
          <w:color w:val="auto"/>
        </w:rPr>
      </w:pPr>
      <w:r>
        <w:rPr>
          <w:rFonts w:ascii="Times New Roman" w:cs="Times New Roman" w:eastAsia="Times New Roman" w:hAnsi="Times New Roman"/>
          <w:sz w:val="18"/>
          <w:szCs w:val="18"/>
          <w:color w:val="231F20"/>
        </w:rPr>
        <w:t>This exclusive forum provision may limit a stockholder’s ability to bring a claim in a judicial forum that it finds favorable for disputes with us or any of our directors, officers, other employees or stockholders, which may discourage lawsuits with respect to such claims. We cannot be certain that a court will decide that this provision is either applicable or enforceable, and if a court were to find the choice of forum provision contained in our Charter to be inapplicable or unenforceable in an action, we may incur additional costs associated with resolving such action in other jurisdictions, which could harm our business, operating results and financial condition.</w:t>
      </w:r>
    </w:p>
    <w:p>
      <w:pPr>
        <w:spacing w:after="0" w:line="162"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8"/>
          <w:szCs w:val="18"/>
          <w:color w:val="231F20"/>
        </w:rPr>
        <w:t>This exclusive forum provision will not apply to suits brought to enforce any liability or duty created by the Exchange Act or any other claim for which the federal courts have exclusive jurisdiction. In addition,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1B. Unresolved Staff Comments.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None.</w:t>
      </w: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1C. Cybersecurity.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7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auto"/>
        </w:rPr>
        <w:t>We have certain processes for assessing, identifying, and managing material risks from cybersecurity threats, which are integrated into our enterprise risk management processes. Specifically, we have processes for:</w:t>
      </w:r>
    </w:p>
    <w:p>
      <w:pPr>
        <w:spacing w:after="0" w:line="139" w:lineRule="exact"/>
        <w:rPr>
          <w:sz w:val="20"/>
          <w:szCs w:val="20"/>
          <w:color w:val="auto"/>
        </w:rPr>
      </w:pPr>
    </w:p>
    <w:p>
      <w:pPr>
        <w:ind w:left="640" w:right="300" w:hanging="316"/>
        <w:spacing w:after="0" w:line="254" w:lineRule="auto"/>
        <w:tabs>
          <w:tab w:leader="none" w:pos="635"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Identifying and Managing Cybersecurity Risks </w:t>
      </w:r>
      <w:r>
        <w:rPr>
          <w:rFonts w:ascii="Times New Roman" w:cs="Times New Roman" w:eastAsia="Times New Roman" w:hAnsi="Times New Roman"/>
          <w:sz w:val="18"/>
          <w:szCs w:val="18"/>
          <w:color w:val="231F20"/>
        </w:rPr>
        <w:t>— We have implemented a cross-functional approach to assessing, identifying and managing</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material cybersecurity threats and incidents. We periodically review, assess, update and test our policies, standards, processes and practices in a manner intended to address cybersecurity threats and events. The results of such reviews, assessments and tests are evaluated by management and periodically reported to our Audit Committee of the Board of Directors, and our Board of Directors.</w:t>
      </w:r>
    </w:p>
    <w:p>
      <w:pPr>
        <w:spacing w:after="0" w:line="142" w:lineRule="exact"/>
        <w:rPr>
          <w:rFonts w:ascii="Times New Roman" w:cs="Times New Roman" w:eastAsia="Times New Roman" w:hAnsi="Times New Roman"/>
          <w:sz w:val="18"/>
          <w:szCs w:val="18"/>
          <w:color w:val="231F20"/>
        </w:rPr>
      </w:pPr>
    </w:p>
    <w:p>
      <w:pPr>
        <w:ind w:left="640" w:right="60" w:hanging="316"/>
        <w:spacing w:after="0" w:line="259" w:lineRule="auto"/>
        <w:tabs>
          <w:tab w:leader="none" w:pos="635"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Technical Safeguards </w:t>
      </w:r>
      <w:r>
        <w:rPr>
          <w:rFonts w:ascii="Times New Roman" w:cs="Times New Roman" w:eastAsia="Times New Roman" w:hAnsi="Times New Roman"/>
          <w:sz w:val="18"/>
          <w:szCs w:val="18"/>
          <w:color w:val="231F20"/>
        </w:rPr>
        <w:t>— We have integrated cybersecurity into our overall information technology operations and designed our processes and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systems to help protect our information assets and operations from internal and external cyber threats, protect employee and patient information from unauthorized access or attack as well as secure our networks and systems.</w:t>
      </w:r>
    </w:p>
    <w:p>
      <w:pPr>
        <w:spacing w:after="0" w:line="176" w:lineRule="exact"/>
        <w:rPr>
          <w:rFonts w:ascii="Times New Roman" w:cs="Times New Roman" w:eastAsia="Times New Roman" w:hAnsi="Times New Roman"/>
          <w:sz w:val="18"/>
          <w:szCs w:val="18"/>
          <w:color w:val="231F20"/>
        </w:rPr>
      </w:pPr>
    </w:p>
    <w:p>
      <w:pPr>
        <w:ind w:left="640" w:right="20" w:hanging="316"/>
        <w:spacing w:after="0" w:line="241" w:lineRule="auto"/>
        <w:tabs>
          <w:tab w:leader="none" w:pos="635" w:val="left"/>
        </w:tabs>
        <w:numPr>
          <w:ilvl w:val="0"/>
          <w:numId w:val="38"/>
        </w:numPr>
        <w:rPr>
          <w:rFonts w:ascii="Arial" w:cs="Arial" w:eastAsia="Arial" w:hAnsi="Arial"/>
          <w:sz w:val="21"/>
          <w:szCs w:val="21"/>
          <w:color w:val="231F20"/>
        </w:rPr>
      </w:pPr>
      <w:r>
        <w:rPr>
          <w:rFonts w:ascii="Times New Roman" w:cs="Times New Roman" w:eastAsia="Times New Roman" w:hAnsi="Times New Roman"/>
          <w:sz w:val="18"/>
          <w:szCs w:val="18"/>
          <w:b w:val="1"/>
          <w:bCs w:val="1"/>
          <w:color w:val="231F20"/>
        </w:rPr>
        <w:t xml:space="preserve">Incident Response and Recovery Planning </w:t>
      </w:r>
      <w:r>
        <w:rPr>
          <w:rFonts w:ascii="Times New Roman" w:cs="Times New Roman" w:eastAsia="Times New Roman" w:hAnsi="Times New Roman"/>
          <w:sz w:val="18"/>
          <w:szCs w:val="18"/>
          <w:color w:val="231F20"/>
        </w:rPr>
        <w:t>— To better facilitate our cybersecurity program, our cybersecurity team works collaboratively across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our Company to implement programs designed to protect our information systems from cybersecurity threats and to promptly respond to any material cybersecurity incidents. We conduct regular tabletop exercises, including incident simulations to test these plans and ensure personnel are familiar with their roles and responsibilities in a response scenario.</w:t>
      </w:r>
    </w:p>
    <w:p>
      <w:pPr>
        <w:spacing w:after="0" w:line="166" w:lineRule="exact"/>
        <w:rPr>
          <w:rFonts w:ascii="Arial" w:cs="Arial" w:eastAsia="Arial" w:hAnsi="Arial"/>
          <w:sz w:val="21"/>
          <w:szCs w:val="21"/>
          <w:color w:val="231F20"/>
        </w:rPr>
      </w:pPr>
    </w:p>
    <w:p>
      <w:pPr>
        <w:ind w:left="640" w:right="100" w:hanging="316"/>
        <w:spacing w:after="0" w:line="259" w:lineRule="auto"/>
        <w:tabs>
          <w:tab w:leader="none" w:pos="635"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Third-Party Risk Management </w:t>
      </w:r>
      <w:r>
        <w:rPr>
          <w:rFonts w:ascii="Times New Roman" w:cs="Times New Roman" w:eastAsia="Times New Roman" w:hAnsi="Times New Roman"/>
          <w:sz w:val="18"/>
          <w:szCs w:val="18"/>
          <w:color w:val="231F20"/>
        </w:rPr>
        <w:t>— We maintain a risk-based approach to identifying and overseeing material cybersecurity threats presented by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third parties and the systems of third parties that could adversely impact our business in the event of a material cybersecurity incident affecting those third-party systems.</w:t>
      </w:r>
    </w:p>
    <w:p>
      <w:pPr>
        <w:spacing w:after="0" w:line="137" w:lineRule="exact"/>
        <w:rPr>
          <w:rFonts w:ascii="Times New Roman" w:cs="Times New Roman" w:eastAsia="Times New Roman" w:hAnsi="Times New Roman"/>
          <w:sz w:val="18"/>
          <w:szCs w:val="18"/>
          <w:color w:val="231F20"/>
        </w:rPr>
      </w:pPr>
    </w:p>
    <w:p>
      <w:pPr>
        <w:ind w:left="640" w:right="60" w:hanging="316"/>
        <w:spacing w:after="0" w:line="254" w:lineRule="auto"/>
        <w:tabs>
          <w:tab w:leader="none" w:pos="635"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Education and Awareness </w:t>
      </w:r>
      <w:r>
        <w:rPr>
          <w:rFonts w:ascii="Times New Roman" w:cs="Times New Roman" w:eastAsia="Times New Roman" w:hAnsi="Times New Roman"/>
          <w:sz w:val="18"/>
          <w:szCs w:val="18"/>
          <w:color w:val="231F20"/>
        </w:rPr>
        <w:t>— We provide training regarding cybersecurity threats as a means to equip our employees, directors and consultants with</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tools to make employees, directors and consultants aware of and to address cybersecurity threats, and to communicate our evolving information security policies, standards, processes and practices. We also use technology-based tools to mitigate cybersecurity risks and to bolster our employee-based cybersecurity programs.</w:t>
      </w:r>
    </w:p>
    <w:p>
      <w:pPr>
        <w:spacing w:after="0" w:line="145"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7"/>
          <w:szCs w:val="17"/>
          <w:color w:val="auto"/>
        </w:rPr>
        <w:t>We adjust our cybersecurity policies, standards, processes, and practices as necessary based on the information provided by our assessments, audits and reviews. Such processes include (i) procedural and technical safeguards, (ii) response plans, (iii) annual tests on our systems, (iv) incident simulations and (v) routine review of our cybersecurity policies and procedures to identify risks and improve our practices. We engage certain external cybersecurity firms to enhance our cybersecurity oversight. We include confidentiality provisions in all contracts with third-party service providers, and data protection provisions in certain contracts with third-party service providers where applicable, to help protect us and our employees and patients from any related vulnerabilities.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Board of Directors is responsible for exercising oversight of management’s identification and management of, and planning for, risks from cybersecurity threats. While the full Board of Directors has overall responsibility for risk oversight, the Board of Directors has delegated oversight responsibility related to risks from cybersecurity threats to the Audit Committee. The Audit Committee reports to the Board of Directors at least annually, and notifies the Board of Directors as necessary regarding significant new cybersecurity threats or incidents. The Audit Committee of our Board of Directors meets not less than annually to discuss our approach to overseeing cybersecurity threats with management, including with members of our internal cybersecurity team. Any material cybersecurity incidents are promptly reported by management to our Audit Committee.</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We use an internal management committee to run our information and technology function, comprised of information technology, finance, and legal employees, and led by our Vice President – Information Technology and Automation, and Chief Financial Officer, each of whom have experience managing the information and technology functions, and cybersecurity safeguards, at multiple prior companies. Through ongoing communications with this management committee, senior management is informed about and monitors the prevention, detection, mitigation and remediation of cybersecurity threats and incidents in real-time and reports such threats and incidents to the Audit Committee, when appropriate. Management updates the Audit Committee annually with an overview of our cybersecurity threat risk management and strategy processes. Members of the Audit Committee are also encouraged to regularly engage in ad hoc conversations with management on cybersecurity-related topics and discuss any updates to our cybersecurity risk management and strategy programs. The Audit Committee is notified between such updates regarding material new cybersecurity threats or incidents that meet pre-established reporting thresholds and any ongoing updates regarding any risk, as needed.</w:t>
      </w:r>
    </w:p>
    <w:p>
      <w:pPr>
        <w:spacing w:after="0" w:line="15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not identified any risks from cybersecurity threats, including as a result of any previous cybersecurity incidents, that have materially affected or are reasonably likely to materially affect our company, including our business strategy, results of operations or financial condition. However, as discussed under “Risk Factors” in Part I, Item 1A of this Annual Report on Form 10-K, cybersecurity threats could pose multiple risks to us. As cybersecurity threats become more frequent, sophisticated, and coordinated, it is reasonably likely that we will be required to expend greater resources to continue to modify and enhance our protective measures.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2. Properties.</w:t>
      </w:r>
    </w:p>
    <w:p>
      <w:pPr>
        <w:spacing w:after="0" w:line="192" w:lineRule="exact"/>
        <w:rPr>
          <w:sz w:val="20"/>
          <w:szCs w:val="20"/>
          <w:color w:val="auto"/>
        </w:rPr>
      </w:pPr>
    </w:p>
    <w:p>
      <w:pPr>
        <w:ind w:right="40" w:firstLine="318"/>
        <w:spacing w:after="0" w:line="280" w:lineRule="auto"/>
        <w:rPr>
          <w:sz w:val="20"/>
          <w:szCs w:val="20"/>
          <w:color w:val="auto"/>
        </w:rPr>
      </w:pPr>
      <w:r>
        <w:rPr>
          <w:rFonts w:ascii="Times New Roman" w:cs="Times New Roman" w:eastAsia="Times New Roman" w:hAnsi="Times New Roman"/>
          <w:sz w:val="17"/>
          <w:szCs w:val="17"/>
          <w:color w:val="231F20"/>
        </w:rPr>
        <w:t>Our corporate headquarters, manufacturing, and research and development facilities are located in Durham, North Carolina where we lease approximately 83,000 square feet of space. This space includes approximately 55,000 square feet for production and distribution operations including manufacturing, bioprocessing, quality control, mechanical space and inventory. The remainder of the facility consists of offices, laboratories, and common spaces.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3. Legal Proceedings</w:t>
      </w:r>
    </w:p>
    <w:p>
      <w:pPr>
        <w:spacing w:after="0" w:line="177"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 xml:space="preserve">On November 18, 2024, James A. Cutshall filed a putative class action lawsuit, captioned </w:t>
      </w:r>
      <w:r>
        <w:rPr>
          <w:rFonts w:ascii="Times New Roman" w:cs="Times New Roman" w:eastAsia="Times New Roman" w:hAnsi="Times New Roman"/>
          <w:sz w:val="18"/>
          <w:szCs w:val="18"/>
          <w:i w:val="1"/>
          <w:iCs w:val="1"/>
          <w:color w:val="auto"/>
        </w:rPr>
        <w:t>Cutshall v. Humacyte, Inc., et al</w:t>
      </w:r>
      <w:r>
        <w:rPr>
          <w:rFonts w:ascii="Times New Roman" w:cs="Times New Roman" w:eastAsia="Times New Roman" w:hAnsi="Times New Roman"/>
          <w:sz w:val="18"/>
          <w:szCs w:val="18"/>
          <w:color w:val="auto"/>
        </w:rPr>
        <w:t>., No. 1:24-cv-00954 (the “Securities Litigation”), against the Company and certain of the Company’s officers in the United States District Court for the Middle District of North Carolina. The complaint in the Securities Litigation asserts claims under Sections 10(b) and 20(a) of the Exchange Act on behalf of a putative class of persons and entities that purchased or otherwise acquired securities of the Company between May 10, 2024 and October 17, 2024, based on allegations that the defendants made or were responsible for false or misleading statements and omissions related to the BLA for the vascular trauma indication and to alleged deficiencies at the Company’s Durham, North Carolina manufacturing facility. The Complaint seeks a variety of relief, including unspecified compensatory damages, attorneys fees and costs. On January 31, 2025, the court appointed co-lead plaintiffs. On February 19, 2025, the court entered a scheduling order directing the co-lead plaintiffs to file a consolidated amended complaint by April 24, 2025 and the defendants to answer or otherwise respond to the amended complaint by June 27, 2025.</w:t>
      </w:r>
    </w:p>
    <w:p>
      <w:pPr>
        <w:spacing w:after="0" w:line="160" w:lineRule="exact"/>
        <w:rPr>
          <w:sz w:val="20"/>
          <w:szCs w:val="20"/>
          <w:color w:val="auto"/>
        </w:rPr>
      </w:pPr>
    </w:p>
    <w:p>
      <w:pPr>
        <w:ind w:right="120" w:firstLine="318"/>
        <w:spacing w:after="0" w:line="264" w:lineRule="auto"/>
        <w:rPr>
          <w:sz w:val="20"/>
          <w:szCs w:val="20"/>
          <w:color w:val="auto"/>
        </w:rPr>
      </w:pPr>
      <w:r>
        <w:rPr>
          <w:rFonts w:ascii="Times New Roman" w:cs="Times New Roman" w:eastAsia="Times New Roman" w:hAnsi="Times New Roman"/>
          <w:sz w:val="17"/>
          <w:szCs w:val="17"/>
          <w:color w:val="auto"/>
        </w:rPr>
        <w:t xml:space="preserve">On January 7 and 10, 2025, putative stockholders of the Company filed two verified stockholder derivative actions in the United States District Court for the Middle District of North Carolina, captioned </w:t>
      </w:r>
      <w:r>
        <w:rPr>
          <w:rFonts w:ascii="Times New Roman" w:cs="Times New Roman" w:eastAsia="Times New Roman" w:hAnsi="Times New Roman"/>
          <w:sz w:val="17"/>
          <w:szCs w:val="17"/>
          <w:i w:val="1"/>
          <w:iCs w:val="1"/>
          <w:color w:val="auto"/>
        </w:rPr>
        <w:t>Silva v. Sebelius, et al</w:t>
      </w:r>
      <w:r>
        <w:rPr>
          <w:rFonts w:ascii="Times New Roman" w:cs="Times New Roman" w:eastAsia="Times New Roman" w:hAnsi="Times New Roman"/>
          <w:sz w:val="17"/>
          <w:szCs w:val="17"/>
          <w:color w:val="auto"/>
        </w:rPr>
        <w:t>., No. 1:25-cv-00005 (the “</w:t>
      </w:r>
      <w:r>
        <w:rPr>
          <w:rFonts w:ascii="Times New Roman" w:cs="Times New Roman" w:eastAsia="Times New Roman" w:hAnsi="Times New Roman"/>
          <w:sz w:val="17"/>
          <w:szCs w:val="17"/>
          <w:i w:val="1"/>
          <w:iCs w:val="1"/>
          <w:color w:val="auto"/>
        </w:rPr>
        <w:t>Silva</w:t>
      </w:r>
      <w:r>
        <w:rPr>
          <w:rFonts w:ascii="Times New Roman" w:cs="Times New Roman" w:eastAsia="Times New Roman" w:hAnsi="Times New Roman"/>
          <w:sz w:val="17"/>
          <w:szCs w:val="17"/>
          <w:color w:val="auto"/>
        </w:rPr>
        <w:t xml:space="preserve"> Action”) and </w:t>
      </w:r>
      <w:r>
        <w:rPr>
          <w:rFonts w:ascii="Times New Roman" w:cs="Times New Roman" w:eastAsia="Times New Roman" w:hAnsi="Times New Roman"/>
          <w:sz w:val="17"/>
          <w:szCs w:val="17"/>
          <w:i w:val="1"/>
          <w:iCs w:val="1"/>
          <w:color w:val="auto"/>
        </w:rPr>
        <w:t>Misko v. Niklason, et al</w:t>
      </w:r>
      <w:r>
        <w:rPr>
          <w:rFonts w:ascii="Times New Roman" w:cs="Times New Roman" w:eastAsia="Times New Roman" w:hAnsi="Times New Roman"/>
          <w:sz w:val="17"/>
          <w:szCs w:val="17"/>
          <w:color w:val="auto"/>
        </w:rPr>
        <w:t>., No. 1:25-cv-00028 (the “</w:t>
      </w:r>
      <w:r>
        <w:rPr>
          <w:rFonts w:ascii="Times New Roman" w:cs="Times New Roman" w:eastAsia="Times New Roman" w:hAnsi="Times New Roman"/>
          <w:sz w:val="17"/>
          <w:szCs w:val="17"/>
          <w:i w:val="1"/>
          <w:iCs w:val="1"/>
          <w:color w:val="auto"/>
        </w:rPr>
        <w:t>Misko</w:t>
      </w:r>
      <w:r>
        <w:rPr>
          <w:rFonts w:ascii="Times New Roman" w:cs="Times New Roman" w:eastAsia="Times New Roman" w:hAnsi="Times New Roman"/>
          <w:sz w:val="17"/>
          <w:szCs w:val="17"/>
          <w:color w:val="auto"/>
        </w:rPr>
        <w:t xml:space="preserve"> Action”). Each of these derivative actions was brought on behalf of the Company against certain of its current or former directors and officers, as well as Ayabudge LLC. The complaints in each action assert claims for violations of Section 14(a) of the Exchange Act, breach of fiduciary duty, unjust enrichment, abuse of control, gross mismanagement, and waste of corporate assets, based on a variety of allegations including claims that the defendants are responsible for any damages sustained by the Company as a result of the Securities Litigation. The </w:t>
      </w:r>
      <w:r>
        <w:rPr>
          <w:rFonts w:ascii="Times New Roman" w:cs="Times New Roman" w:eastAsia="Times New Roman" w:hAnsi="Times New Roman"/>
          <w:sz w:val="17"/>
          <w:szCs w:val="17"/>
          <w:i w:val="1"/>
          <w:iCs w:val="1"/>
          <w:color w:val="auto"/>
        </w:rPr>
        <w:t>Misko</w:t>
      </w:r>
      <w:r>
        <w:rPr>
          <w:rFonts w:ascii="Times New Roman" w:cs="Times New Roman" w:eastAsia="Times New Roman" w:hAnsi="Times New Roman"/>
          <w:sz w:val="17"/>
          <w:szCs w:val="17"/>
          <w:color w:val="auto"/>
        </w:rPr>
        <w:t xml:space="preserve"> Action also includes a claim for contribution against certain defendants under Sections 10(b) and 21(d) of the Exchange Act for any liability the Company may sustain as a result of the Securities Litigation. On February 18, 2025, the court issued an order consolidating the </w:t>
      </w:r>
      <w:r>
        <w:rPr>
          <w:rFonts w:ascii="Times New Roman" w:cs="Times New Roman" w:eastAsia="Times New Roman" w:hAnsi="Times New Roman"/>
          <w:sz w:val="17"/>
          <w:szCs w:val="17"/>
          <w:i w:val="1"/>
          <w:iCs w:val="1"/>
          <w:color w:val="auto"/>
        </w:rPr>
        <w:t>Silva</w:t>
      </w:r>
      <w:r>
        <w:rPr>
          <w:rFonts w:ascii="Times New Roman" w:cs="Times New Roman" w:eastAsia="Times New Roman" w:hAnsi="Times New Roman"/>
          <w:sz w:val="17"/>
          <w:szCs w:val="17"/>
          <w:color w:val="auto"/>
        </w:rPr>
        <w:t xml:space="preserve"> Action and the </w:t>
      </w:r>
      <w:r>
        <w:rPr>
          <w:rFonts w:ascii="Times New Roman" w:cs="Times New Roman" w:eastAsia="Times New Roman" w:hAnsi="Times New Roman"/>
          <w:sz w:val="17"/>
          <w:szCs w:val="17"/>
          <w:i w:val="1"/>
          <w:iCs w:val="1"/>
          <w:color w:val="auto"/>
        </w:rPr>
        <w:t>Misko</w:t>
      </w:r>
      <w:r>
        <w:rPr>
          <w:rFonts w:ascii="Times New Roman" w:cs="Times New Roman" w:eastAsia="Times New Roman" w:hAnsi="Times New Roman"/>
          <w:sz w:val="17"/>
          <w:szCs w:val="17"/>
          <w:color w:val="auto"/>
        </w:rPr>
        <w:t xml:space="preserve"> Action (collectively, the “Consolidated Derivative Action”) and staying the defendants’ obligation to respond to any complaint in the Consolidated Derivative Action pending the submission of a proposed scheduling order. On March 11, 2025, the parties entered a joint motion to stay the Consolidated Derivative Action pending final resolution of the Securities Litigation. On March 24, 2025, the court granted the parties’ joint motion to stay the Consolidated Derivative Action.</w:t>
      </w:r>
    </w:p>
    <w:p>
      <w:pPr>
        <w:spacing w:after="0" w:line="200" w:lineRule="exact"/>
        <w:rPr>
          <w:sz w:val="20"/>
          <w:szCs w:val="20"/>
          <w:color w:val="auto"/>
        </w:r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On December 19, 2024, the Company received a demand letter (the “Demand Letter”) from a purported stockholder of the Company, demanding that the Board assert claims against certain of the Company’s current or former officers and directors for breach of fiduciary duty, gross mismanagement, corporate waste, unjust enrichment, aiding and abetting, violations of Section 14(a) of the Exchange Act, and insider trading, based on a variety of allegations including claims that the Company’s current and former officers and directors are responsible for any damages sustained by the Company as a result of the Securities Litigation. On January 24, 2025, the Board appointed a demand evaluation committee to evaluate the claims made in the Demand Letter and report back to the full Board. On February 19, 2025, the purported stockholder who sent the Demand Letter filed a stockholder derivative action in the United States District Court for the Middle District of North Carolina, captioned </w:t>
      </w:r>
      <w:r>
        <w:rPr>
          <w:rFonts w:ascii="Times New Roman" w:cs="Times New Roman" w:eastAsia="Times New Roman" w:hAnsi="Times New Roman"/>
          <w:sz w:val="18"/>
          <w:szCs w:val="18"/>
          <w:i w:val="1"/>
          <w:iCs w:val="1"/>
          <w:color w:val="auto"/>
        </w:rPr>
        <w:t>Olson v. Niklason, et al.</w:t>
      </w:r>
      <w:r>
        <w:rPr>
          <w:rFonts w:ascii="Times New Roman" w:cs="Times New Roman" w:eastAsia="Times New Roman" w:hAnsi="Times New Roman"/>
          <w:sz w:val="18"/>
          <w:szCs w:val="18"/>
          <w:color w:val="auto"/>
        </w:rPr>
        <w:t>, No. 1:25-cv-00123 (the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 alleging that the Company had refused his demand. The complaint in the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 asserts substantive claims and allegations that are substantially similar to those asserted in the Consolidated Derivative Action.</w:t>
      </w:r>
    </w:p>
    <w:p>
      <w:pPr>
        <w:spacing w:after="0" w:line="153" w:lineRule="exact"/>
        <w:rPr>
          <w:sz w:val="20"/>
          <w:szCs w:val="20"/>
          <w:color w:val="auto"/>
        </w:rPr>
      </w:pPr>
    </w:p>
    <w:p>
      <w:pPr>
        <w:jc w:val="both"/>
        <w:ind w:right="120" w:firstLine="318"/>
        <w:spacing w:after="0" w:line="258" w:lineRule="auto"/>
        <w:rPr>
          <w:sz w:val="20"/>
          <w:szCs w:val="20"/>
          <w:color w:val="auto"/>
        </w:rPr>
      </w:pPr>
      <w:r>
        <w:rPr>
          <w:rFonts w:ascii="Times New Roman" w:cs="Times New Roman" w:eastAsia="Times New Roman" w:hAnsi="Times New Roman"/>
          <w:sz w:val="18"/>
          <w:szCs w:val="18"/>
          <w:color w:val="auto"/>
        </w:rPr>
        <w:t xml:space="preserve">The Company disputes all claims asserted against it in the Securities Litigation and disputes that the plaintiffs in the Consolidated Derivative Action and </w:t>
      </w:r>
      <w:r>
        <w:rPr>
          <w:rFonts w:ascii="Times New Roman" w:cs="Times New Roman" w:eastAsia="Times New Roman" w:hAnsi="Times New Roman"/>
          <w:sz w:val="18"/>
          <w:szCs w:val="18"/>
          <w:i w:val="1"/>
          <w:iCs w:val="1"/>
          <w:color w:val="auto"/>
        </w:rPr>
        <w:t xml:space="preserve">Olson </w:t>
      </w:r>
      <w:r>
        <w:rPr>
          <w:rFonts w:ascii="Times New Roman" w:cs="Times New Roman" w:eastAsia="Times New Roman" w:hAnsi="Times New Roman"/>
          <w:sz w:val="18"/>
          <w:szCs w:val="18"/>
          <w:color w:val="auto"/>
        </w:rPr>
        <w:t>Action have standing to assert claims derivatively on its behalf. The Company is currently unable to estimate the potential loss or range of loss,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these lawsuits, which could be material.</w:t>
      </w:r>
    </w:p>
    <w:p>
      <w:pPr>
        <w:spacing w:after="0" w:line="140" w:lineRule="exact"/>
        <w:rPr>
          <w:sz w:val="20"/>
          <w:szCs w:val="20"/>
          <w:color w:val="auto"/>
        </w:rPr>
      </w:pPr>
    </w:p>
    <w:p>
      <w:pPr>
        <w:ind w:right="520" w:firstLine="318"/>
        <w:spacing w:after="0" w:line="271" w:lineRule="auto"/>
        <w:rPr>
          <w:sz w:val="20"/>
          <w:szCs w:val="20"/>
          <w:color w:val="auto"/>
        </w:rPr>
      </w:pPr>
      <w:r>
        <w:rPr>
          <w:rFonts w:ascii="Times New Roman" w:cs="Times New Roman" w:eastAsia="Times New Roman" w:hAnsi="Times New Roman"/>
          <w:sz w:val="18"/>
          <w:szCs w:val="18"/>
          <w:color w:val="231F20"/>
        </w:rPr>
        <w:t xml:space="preserve">See the section “Legal Matters” contained in </w:t>
      </w:r>
      <w:r>
        <w:rPr>
          <w:rFonts w:ascii="Times New Roman" w:cs="Times New Roman" w:eastAsia="Times New Roman" w:hAnsi="Times New Roman"/>
          <w:sz w:val="18"/>
          <w:szCs w:val="18"/>
          <w:color w:val="000000"/>
        </w:rPr>
        <w:t>Note 13 — Commitments and Contingencies</w:t>
      </w:r>
      <w:r>
        <w:rPr>
          <w:rFonts w:ascii="Times New Roman" w:cs="Times New Roman" w:eastAsia="Times New Roman" w:hAnsi="Times New Roman"/>
          <w:sz w:val="18"/>
          <w:szCs w:val="18"/>
          <w:color w:val="231F20"/>
        </w:rPr>
        <w:t xml:space="preserve"> in the notes to our accompanying consolidated financial statements contained in Part II, Item 8 of this Annual Report on Form 10-K for additional information.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4. Mine Safety Disclosures.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None.</w:t>
      </w:r>
    </w:p>
    <w:p>
      <w:pPr>
        <w:spacing w:after="0" w:line="200" w:lineRule="exact"/>
        <w:rPr>
          <w:sz w:val="20"/>
          <w:szCs w:val="20"/>
          <w:color w:val="auto"/>
        </w:rPr>
      </w:pPr>
    </w:p>
    <w:p>
      <w:pPr>
        <w:spacing w:after="0" w:line="3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93"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7" w:lineRule="exact"/>
        <w:rPr>
          <w:sz w:val="20"/>
          <w:szCs w:val="20"/>
          <w:color w:val="auto"/>
        </w:rPr>
      </w:pPr>
    </w:p>
    <w:p>
      <w:pPr>
        <w:ind w:right="2120"/>
        <w:spacing w:after="0" w:line="453" w:lineRule="auto"/>
        <w:rPr>
          <w:sz w:val="20"/>
          <w:szCs w:val="20"/>
          <w:color w:val="auto"/>
        </w:rPr>
      </w:pPr>
      <w:r>
        <w:rPr>
          <w:rFonts w:ascii="Times New Roman" w:cs="Times New Roman" w:eastAsia="Times New Roman" w:hAnsi="Times New Roman"/>
          <w:sz w:val="18"/>
          <w:szCs w:val="18"/>
          <w:b w:val="1"/>
          <w:bCs w:val="1"/>
          <w:color w:val="231F20"/>
        </w:rPr>
        <w:t>Item 5. Market for Registrant’s Common Equity, Related Stockholder Matters and Issuer Purchases of Equity Securities. Market Information</w:t>
      </w:r>
    </w:p>
    <w:p>
      <w:pPr>
        <w:spacing w:after="0" w:line="1" w:lineRule="exact"/>
        <w:rPr>
          <w:sz w:val="20"/>
          <w:szCs w:val="20"/>
          <w:color w:val="auto"/>
        </w:rPr>
      </w:pPr>
    </w:p>
    <w:p>
      <w:pPr>
        <w:ind w:right="100" w:firstLine="318"/>
        <w:spacing w:after="0" w:line="271" w:lineRule="auto"/>
        <w:rPr>
          <w:sz w:val="20"/>
          <w:szCs w:val="20"/>
          <w:color w:val="auto"/>
        </w:rPr>
      </w:pPr>
      <w:r>
        <w:rPr>
          <w:rFonts w:ascii="Times New Roman" w:cs="Times New Roman" w:eastAsia="Times New Roman" w:hAnsi="Times New Roman"/>
          <w:sz w:val="18"/>
          <w:szCs w:val="18"/>
          <w:color w:val="231F20"/>
        </w:rPr>
        <w:t>Our common stock is currently listed on The Nasdaq Global Select Market under the symbol “HUMA.” As of March 27, 2025, there were 181 holders of record of our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Dividend Policy</w:t>
      </w:r>
    </w:p>
    <w:p>
      <w:pPr>
        <w:spacing w:after="0" w:line="179"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8"/>
          <w:szCs w:val="18"/>
          <w:color w:val="231F20"/>
        </w:rPr>
        <w:t>We have never declared or paid any dividends on shares of our common stock.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will depend on, among other things, our results of operations, cash requirements, financial condition, contractual restrictions and other factors that our board of directors may deem relevant.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7. Management’s Discussion and Analysis of Financial Condition and Results of Operations</w:t>
      </w:r>
    </w:p>
    <w:p>
      <w:pPr>
        <w:spacing w:after="0" w:line="177"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i w:val="1"/>
          <w:iCs w:val="1"/>
          <w:color w:val="231F20"/>
        </w:rPr>
        <w:t>The following discussion and analysis of our financial condition and results of operations should be read in conjunction with our accompanying consolidated financial statements and related notes contained in Part II, Item 8 of this Annual Report on Form 10-K. Unless the context indicates otherwise, references in this Annual Report on Form 10-K to the “Company,” “Humacyte,” “we,” “us,” “our” and similar terms refer to Humacyte, Inc. (formerly known as Alpha Healthcare Acquisition Corp.) and its consolidated subsidiaries (including Humacyte Global, Inc.) following the Merger (defined below); references to “Legacy Humacyte” refer to Humacyte, Inc. prior to the Merger; and references to “AHAC” refer to Alpha Healthcare Acquisition Corp. prior to the Merger.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to historical information, some of the information contained in this discussion and analysis or set forth elsewhere in this Annual Report on Form 10-K, including information with respect to our plans and strategy for our business, future financial performance, expense levels and liquidity sources, includes forward-looking statements that involve risks and uncertainties. You should read the sections of this Annual Report on Form 10-K titled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92" w:lineRule="exact"/>
        <w:rPr>
          <w:sz w:val="20"/>
          <w:szCs w:val="20"/>
          <w:color w:val="auto"/>
        </w:rPr>
      </w:pPr>
    </w:p>
    <w:p>
      <w:pPr>
        <w:ind w:right="120" w:firstLine="318"/>
        <w:spacing w:after="0" w:line="249" w:lineRule="auto"/>
        <w:rPr>
          <w:sz w:val="20"/>
          <w:szCs w:val="20"/>
          <w:color w:val="auto"/>
        </w:rPr>
      </w:pPr>
      <w:r>
        <w:rPr>
          <w:rFonts w:ascii="Times New Roman" w:cs="Times New Roman" w:eastAsia="Times New Roman" w:hAnsi="Times New Roman"/>
          <w:sz w:val="18"/>
          <w:szCs w:val="18"/>
          <w:color w:val="231F20"/>
        </w:rPr>
        <w:t>We are a commercial-stage biotechnology platform company developing universally implantable, bioengineered human tissues at commercial scale, and in the first quarter of 2025 commenced the United States commercial launch of our first FDA-approved product. 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318"/>
        <w:spacing w:after="0" w:line="242" w:lineRule="auto"/>
        <w:rPr>
          <w:sz w:val="20"/>
          <w:szCs w:val="20"/>
          <w:color w:val="auto"/>
        </w:rPr>
      </w:pPr>
      <w:r>
        <w:rPr>
          <w:rFonts w:ascii="Times New Roman" w:cs="Times New Roman" w:eastAsia="Times New Roman" w:hAnsi="Times New Roman"/>
          <w:sz w:val="18"/>
          <w:szCs w:val="18"/>
          <w:color w:val="231F20"/>
        </w:rPr>
        <w:t>We are initially using our proprietary, scientific technology platform to engineer and manufacture ATEVs. On December 19, 2024, the FDA granted full approval for the ATEV under the brand name Symvess</w:t>
      </w:r>
      <w:r>
        <w:rPr>
          <w:rFonts w:ascii="Times New Roman" w:cs="Times New Roman" w:eastAsia="Times New Roman" w:hAnsi="Times New Roman"/>
          <w:sz w:val="22"/>
          <w:szCs w:val="22"/>
          <w:color w:val="231F20"/>
          <w:vertAlign w:val="superscript"/>
        </w:rPr>
        <w:t>TM</w:t>
      </w:r>
      <w:r>
        <w:rPr>
          <w:rFonts w:ascii="Times New Roman" w:cs="Times New Roman" w:eastAsia="Times New Roman" w:hAnsi="Times New Roman"/>
          <w:sz w:val="18"/>
          <w:szCs w:val="18"/>
          <w:color w:val="231F20"/>
        </w:rPr>
        <w:t xml:space="preserve"> for use in adults as a vascular conduit for extremity arterial injury when urgent revascularization is needed to avoid imminent limb loss, and when autologous vein graft is not feasible. Our ATEVs are designed to be easily implanted into any patient without inducing a foreign body response or leading to immune rejection. We are developing a portfolio, or “cabinet”, of ATEVs with varying diameters and lengths. The ATEV cabinet would initially target the vascular repair, reconstruction and replacement market, including use in vascular trauma, AV access for hemodialysis, and PAD. We are also developing the ATEV for CABG and pediatric heart surgery. Over the longer term, we are developing our ATEV for the delivery of cellular therapies, including pancreatic islet cell transplantation to treat Type 1 diabetes (our BVP). We will continue to explore the application of our technology across a broad range of markets and indications, including the development of urinary conduit, trachea, esophagus and other novel cell delivery systems.</w:t>
      </w:r>
    </w:p>
    <w:p>
      <w:pPr>
        <w:spacing w:after="0" w:line="153"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For the ATEV, 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complications such as amputation and reperfusion injury. In addition, in many instances of vascular trauma the patient may not have adequate vein available, or the time between injury and treatment is too long to make autologous graft repair feasible. Synthetic grafts are often contraindicated in the setting of vascular trauma due to wound contamination that contributes to higher infection risk that can lead to prolonged hospitalization and limb loss. Given the competitive advantages our ATEVs are designed to have over existing vascular substitutes, we believe that ATEVs have the potential to become the standard of care and lead to improved patient outcomes and lower healthcare costs.</w:t>
      </w:r>
    </w:p>
    <w:p>
      <w:pPr>
        <w:spacing w:after="0" w:line="151"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our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xml:space="preserve">s have been implanted in approximately </w:t>
      </w:r>
      <w:r>
        <w:rPr>
          <w:rFonts w:ascii="Times New Roman" w:cs="Times New Roman" w:eastAsia="Times New Roman" w:hAnsi="Times New Roman"/>
          <w:sz w:val="18"/>
          <w:szCs w:val="18"/>
          <w:color w:val="231F20"/>
        </w:rPr>
        <w:t>601</w:t>
      </w:r>
      <w:r>
        <w:rPr>
          <w:rFonts w:ascii="Times New Roman" w:cs="Times New Roman" w:eastAsia="Times New Roman" w:hAnsi="Times New Roman"/>
          <w:sz w:val="18"/>
          <w:szCs w:val="18"/>
          <w:color w:val="auto"/>
        </w:rPr>
        <w:t xml:space="preserve"> patients. In addition to extremity vascular trauma, we and our collaborators are currently conducting Phase 3 and Phase 2 trials of our 6 millimeter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xml:space="preserve"> in AV access for hemodialysis and PAD. We were granted Fast Track designation by the FDA for our 6 millimeter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xml:space="preserve"> for use in AV access for hemodialysis in 2014. We also received the first RMAT designation from the FDA, for the creation of vascular access for performing hemodialysis, in March 2017. In May 2023, we were granted the RMAT designation for the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xml:space="preserve"> for urgent arterial repair following extremity vascular trauma, and in June 2024, we were granted the RMAT designation for the ATEV for patients with advanced PAD. In addition, in 2018 our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xml:space="preserve"> product candidate was assigned a priority designation by the Secretary of Defense under Public Law 115-92, enacted to expedite the FDA’s review of products that are intended to diagnose, treat or prevent serious or life-threatening conditions facing American military personnel.</w:t>
      </w:r>
    </w:p>
    <w:p>
      <w:pPr>
        <w:spacing w:after="0" w:line="161"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231F20"/>
        </w:rPr>
        <w:t xml:space="preserve">In September 2023, we announced positive topline results from our V005 Phase 2/3 trial in vascular trauma, and in December 2023, we filed a BLA for urgent arterial repair following extremity vascular trauma when synthetic graft is not indicated, and autologous vein use is not feasible. In February 2024, the FDA accepted the BLA filing and granted priority review and set a PDUFA date of August 10, 2024. On August 9, 2024, the FDA informed us that it required additional time to complete its review of the BLA for the vascular trauma indication. </w:t>
      </w:r>
      <w:r>
        <w:rPr>
          <w:rFonts w:ascii="Times New Roman" w:cs="Times New Roman" w:eastAsia="Times New Roman" w:hAnsi="Times New Roman"/>
          <w:sz w:val="18"/>
          <w:szCs w:val="18"/>
          <w:color w:val="000000"/>
        </w:rPr>
        <w:t>On December 19, 2024, the FDA granted full approval for Symvess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(acellular tissue engineered vessel-tyod) for use in adults as a vascular conduit for extremity arterial injury when urgent revascularization is needed to avoid imminent limb loss, and autologous vein graft is not feasible. In February 2025, the FDA completed its required review of commercial batch information for Symvess and has authorized us to commence commercial shipments.</w:t>
      </w:r>
    </w:p>
    <w:p>
      <w:pPr>
        <w:spacing w:after="0" w:line="151" w:lineRule="exact"/>
        <w:rPr>
          <w:sz w:val="20"/>
          <w:szCs w:val="20"/>
          <w:color w:val="auto"/>
        </w:rPr>
      </w:pPr>
    </w:p>
    <w:p>
      <w:pPr>
        <w:ind w:right="20" w:firstLine="318"/>
        <w:spacing w:after="0" w:line="254" w:lineRule="auto"/>
        <w:rPr>
          <w:sz w:val="20"/>
          <w:szCs w:val="20"/>
          <w:color w:val="auto"/>
        </w:rPr>
      </w:pPr>
      <w:r>
        <w:rPr>
          <w:rFonts w:ascii="Times New Roman" w:cs="Times New Roman" w:eastAsia="Times New Roman" w:hAnsi="Times New Roman"/>
          <w:sz w:val="18"/>
          <w:szCs w:val="18"/>
          <w:color w:val="231F20"/>
        </w:rPr>
        <w:t>In April 2023, we announced completion of enrollment of our V007 Phase 3 trial of the ATEV for use in AV access for hemodialysis. In July 2024, we announced positive topline results from our V007 Phase 3 trial, where the ATEV met the primary endpoints in the study. Dependent upon interim results from our ongoing V012 Phase 3 trial in women, we plan to submit a supplemental BLA for the ATEV to the FDA for an indication in AV access for hemodialysis in the second half of 2026.</w:t>
      </w:r>
    </w:p>
    <w:p>
      <w:pPr>
        <w:spacing w:after="0" w:line="200" w:lineRule="exact"/>
        <w:rPr>
          <w:sz w:val="20"/>
          <w:szCs w:val="20"/>
          <w:color w:val="auto"/>
        </w:rPr>
      </w:pPr>
    </w:p>
    <w:p>
      <w:pPr>
        <w:spacing w:after="0" w:line="3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231F20"/>
        </w:rPr>
        <w:t>We have generated no product revenue and incurred operating losses and negative cash flows from operations in each year since our inception in 2004. As of December 31, 2024 and 2023, we had an accumulated deficit of $686.0 million and $537.3 million, respectively, and working capital of $27.9 million and $64.8 million, respectively. Our operating losses were approximately $114.4 million and $100.0 million for the years ended December 31, 2024 and 2023, respectively. Net cash flows used in operating activities were $98.1 million and $73.3 million during the years ended December 31, 2024 and 2023, respectively. Substantially all of our operating losses resulted from costs incurred in connection with our research and development programs and from general and administrative costs associated with our operations. We expect to incur substantial operating losses and negative cash flows from operations for the foreseeable future as we begin to commercialize Symvess and advance our product candidates.</w:t>
      </w:r>
    </w:p>
    <w:p>
      <w:pPr>
        <w:spacing w:after="0" w:line="151"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As of December 31, 2024, we had cash and cash equivalents of $44.9 million and restricted cash of $50.4 million. Subsequent to December 31, 2024, in March 2025 we completed a public offering of common stock which provided approximately </w:t>
      </w:r>
      <w:r>
        <w:rPr>
          <w:rFonts w:ascii="Times New Roman" w:cs="Times New Roman" w:eastAsia="Times New Roman" w:hAnsi="Times New Roman"/>
          <w:sz w:val="18"/>
          <w:szCs w:val="18"/>
          <w:color w:val="000000"/>
        </w:rPr>
        <w:t>$46.6 million</w:t>
      </w:r>
      <w:r>
        <w:rPr>
          <w:rFonts w:ascii="Times New Roman" w:cs="Times New Roman" w:eastAsia="Times New Roman" w:hAnsi="Times New Roman"/>
          <w:sz w:val="18"/>
          <w:szCs w:val="18"/>
          <w:color w:val="231F20"/>
        </w:rPr>
        <w:t xml:space="preserve"> in net proceeds. We believe our cash and cash equivalents on hand will be sufficient to fund operations for at least 12 months from the date of this Annual Report on Form 10-K. See </w:t>
      </w:r>
      <w:r>
        <w:rPr>
          <w:rFonts w:ascii="Times New Roman" w:cs="Times New Roman" w:eastAsia="Times New Roman" w:hAnsi="Times New Roman"/>
          <w:sz w:val="18"/>
          <w:szCs w:val="18"/>
          <w:color w:val="000000"/>
        </w:rPr>
        <w:t>Note 1 — Organization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Description of Business </w:t>
      </w:r>
      <w:r>
        <w:rPr>
          <w:rFonts w:ascii="Times New Roman" w:cs="Times New Roman" w:eastAsia="Times New Roman" w:hAnsi="Times New Roman"/>
          <w:sz w:val="18"/>
          <w:szCs w:val="18"/>
          <w:color w:val="231F20"/>
        </w:rPr>
        <w:t>in the notes to our accompanying consolidated financial statements contained in Part II, Item 8 of this Annual Report on Form 10-K for additional information regarding this assessment.</w:t>
      </w:r>
    </w:p>
    <w:p>
      <w:pPr>
        <w:spacing w:after="0" w:line="148"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231F20"/>
        </w:rPr>
        <w:t>Our need for additional capital will depend in part on the scope and costs of our development and commercial manufacturing activities, and the results of our commercial sales efforts. We recently received FDA approval to commercialize Symvess, but we have not generated any revenue from the sale of commercialized products to date. Our ability to generate product revenue will depend on the successful development and commercialization of Symvess and our product candidates. Until such time, if ever, we expect to finance our operations through the use of existing cash and cash equivalents,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spacing w:after="0" w:line="161"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231F20"/>
        </w:rPr>
        <w:t>We expect to continue to incur significant expenses and to increase operating losses for at least the next several years. We anticipate that our expenses will increase substantially as we seek to:</w:t>
      </w:r>
    </w:p>
    <w:p>
      <w:pPr>
        <w:spacing w:after="0" w:line="128" w:lineRule="exact"/>
        <w:rPr>
          <w:sz w:val="20"/>
          <w:szCs w:val="20"/>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commercialize Symvess via U.S. market launch for indications in vascular trauma and, if approved, in AV access for hemodialysis;</w:t>
      </w:r>
    </w:p>
    <w:p>
      <w:pPr>
        <w:spacing w:after="0" w:line="176"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 marketing approval for our 6 millimeter ATEV in additional indications involving vascular repair, reconstruction and replacement, including in AV access for hemodialysis;</w:t>
      </w:r>
    </w:p>
    <w:p>
      <w:pPr>
        <w:spacing w:after="0" w:line="141" w:lineRule="exact"/>
        <w:rPr>
          <w:rFonts w:ascii="Times New Roman" w:cs="Times New Roman" w:eastAsia="Times New Roman" w:hAnsi="Times New Roman"/>
          <w:sz w:val="18"/>
          <w:szCs w:val="18"/>
          <w:color w:val="auto"/>
        </w:rPr>
      </w:pPr>
    </w:p>
    <w:p>
      <w:pPr>
        <w:ind w:left="640" w:right="520" w:hanging="316"/>
        <w:spacing w:after="0" w:line="271" w:lineRule="auto"/>
        <w:tabs>
          <w:tab w:leader="none" w:pos="635"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scale out our manufacturing facility to the extent required to satisfy potential market demand for Symvess in the United States and our product candidates, following receipt of any regulatory approval;</w:t>
      </w:r>
    </w:p>
    <w:p>
      <w:pPr>
        <w:spacing w:after="0" w:line="128"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our preclinical and clinical development efforts;</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 expand and protect our intellectual property portfolio;</w:t>
      </w:r>
    </w:p>
    <w:p>
      <w:pPr>
        <w:spacing w:after="0" w:line="190" w:lineRule="exact"/>
        <w:rPr>
          <w:rFonts w:ascii="Times New Roman" w:cs="Times New Roman" w:eastAsia="Times New Roman" w:hAnsi="Times New Roman"/>
          <w:sz w:val="18"/>
          <w:szCs w:val="18"/>
          <w:color w:val="231F20"/>
        </w:rPr>
      </w:pPr>
    </w:p>
    <w:p>
      <w:pPr>
        <w:ind w:left="640" w:right="660" w:hanging="316"/>
        <w:spacing w:after="0" w:line="271" w:lineRule="auto"/>
        <w:tabs>
          <w:tab w:leader="none" w:pos="635"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 operational, financial and management information systems and personnel to support, among other things, our product development and commercialization efforts and operations; and</w:t>
      </w:r>
    </w:p>
    <w:p>
      <w:pPr>
        <w:spacing w:after="0" w:line="128" w:lineRule="exact"/>
        <w:rPr>
          <w:rFonts w:ascii="Times New Roman" w:cs="Times New Roman" w:eastAsia="Times New Roman" w:hAnsi="Times New Roman"/>
          <w:sz w:val="18"/>
          <w:szCs w:val="18"/>
          <w:color w:val="231F20"/>
        </w:rPr>
      </w:pPr>
    </w:p>
    <w:p>
      <w:pPr>
        <w:ind w:left="640" w:right="500" w:hanging="316"/>
        <w:spacing w:after="0" w:line="258" w:lineRule="auto"/>
        <w:tabs>
          <w:tab w:leader="none" w:pos="635"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operating as a public company, which includes higher costs associated with hiring additional personnel, director and officer insurance premiums, audit and legal fees and expenses for compliance with public company reporting requirements under the Exchange Act and rules implemented by the SEC and The Nasdaq Stock Market LLC (“Nasdaq”).</w:t>
      </w:r>
    </w:p>
    <w:p>
      <w:pPr>
        <w:spacing w:after="0" w:line="200" w:lineRule="exact"/>
        <w:rPr>
          <w:sz w:val="20"/>
          <w:szCs w:val="20"/>
          <w:color w:val="auto"/>
        </w:rPr>
      </w:pPr>
    </w:p>
    <w:p>
      <w:pPr>
        <w:spacing w:after="0" w:line="3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9"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On March 25, 2025, we entered into an underwriting agreement with TD Securities (USA) LLC, Barclays Capital Inc. and BTIG, LLC, as representatives of the several underwriters named therein, relating to the issuance and sale in an underwritten offering (the “Public Offering”) of 25,000,000 shares of Common Stock, at a price to the public of $2.00 per share (the “Firm Shares”). The Company also granted the underwriters a 30-day option to purchase up to an additional 3,750,000 shares of Common Stock at the same price as the Firm Shares. The net proceeds to us from the Public Offering were approximately $46.6 million after deducting underwriting discounts and commissions and estimated Public Offering expenses. The Public Offering closed on March 27,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Components of Results of Operations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Revenue</w:t>
      </w:r>
    </w:p>
    <w:p>
      <w:pPr>
        <w:spacing w:after="0" w:line="179"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231F20"/>
        </w:rPr>
        <w:t>To date, we have not generated revenue from the sale of any products. All of our revenue has been derived from government and other grants. From inception through December 31, 2024, we have been awarded grants, including grants from the California Institute of Regenerative Medicine (“CIRM”), NIH, and the DoD, to support our development, production scaling and clinical trials of our product candidates.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Research and Development Expenses</w:t>
      </w:r>
    </w:p>
    <w:p>
      <w:pPr>
        <w:spacing w:after="0" w:line="192"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8"/>
          <w:szCs w:val="18"/>
          <w:color w:val="231F20"/>
        </w:rPr>
        <w:t>Since our inception, we have focused our resources on our research and development activities, including conducting preclinical studies and clinical trials, developing and refining our manufacturing process and activities related to regulatory filings for our product candidates. We recognize research and development expenses as they are incurred. Our research and development expenses consist primarily of:</w:t>
      </w:r>
    </w:p>
    <w:p>
      <w:pPr>
        <w:spacing w:after="0" w:line="140" w:lineRule="exact"/>
        <w:rPr>
          <w:sz w:val="20"/>
          <w:szCs w:val="20"/>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salaries and related overhead expenses for personnel in research and development functions, including stock-based compensation and benefits;</w:t>
      </w:r>
    </w:p>
    <w:p>
      <w:pPr>
        <w:spacing w:after="0" w:line="176" w:lineRule="exact"/>
        <w:rPr>
          <w:rFonts w:ascii="Times New Roman" w:cs="Times New Roman" w:eastAsia="Times New Roman" w:hAnsi="Times New Roman"/>
          <w:sz w:val="18"/>
          <w:szCs w:val="18"/>
          <w:color w:val="231F20"/>
        </w:rPr>
      </w:pPr>
    </w:p>
    <w:p>
      <w:pPr>
        <w:ind w:left="640" w:hanging="316"/>
        <w:spacing w:after="0" w:line="301" w:lineRule="auto"/>
        <w:tabs>
          <w:tab w:leader="none" w:pos="635" w:val="left"/>
        </w:tabs>
        <w:numPr>
          <w:ilvl w:val="0"/>
          <w:numId w:val="4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fees paid to CROs and consultants, including in connection with our clinical trials, and other related clinical trial fees, such as for clinical site fees and investigator grants related to patient screening and treatment, conduct of clinical trials, laboratory work and statistical compilation and analysis;</w:t>
      </w:r>
    </w:p>
    <w:p>
      <w:pPr>
        <w:spacing w:after="0" w:line="118" w:lineRule="exact"/>
        <w:rPr>
          <w:rFonts w:ascii="Times New Roman" w:cs="Times New Roman" w:eastAsia="Times New Roman" w:hAnsi="Times New Roman"/>
          <w:sz w:val="17"/>
          <w:szCs w:val="17"/>
          <w:color w:val="231F20"/>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allocation of facility lease and maintenance costs;</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depreciation of leasehold improvements, laboratory equipment and computers;</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purchasing raw materials and producing our product candidates for clinical trials;</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compliance with regulatory requirements;</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our manufacturing development and expanded-capabilities initiatives; and</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license fees related to in-licensed technologies.</w:t>
      </w:r>
    </w:p>
    <w:p>
      <w:pPr>
        <w:spacing w:after="0" w:line="190" w:lineRule="exact"/>
        <w:rPr>
          <w:sz w:val="20"/>
          <w:szCs w:val="20"/>
          <w:color w:val="auto"/>
        </w:rPr>
      </w:pPr>
    </w:p>
    <w:p>
      <w:pPr>
        <w:ind w:right="200" w:firstLine="318"/>
        <w:spacing w:after="0" w:line="273" w:lineRule="auto"/>
        <w:rPr>
          <w:sz w:val="20"/>
          <w:szCs w:val="20"/>
          <w:color w:val="auto"/>
        </w:rPr>
      </w:pPr>
      <w:r>
        <w:rPr>
          <w:rFonts w:ascii="Times New Roman" w:cs="Times New Roman" w:eastAsia="Times New Roman" w:hAnsi="Times New Roman"/>
          <w:sz w:val="17"/>
          <w:szCs w:val="17"/>
          <w:color w:val="231F20"/>
        </w:rPr>
        <w:t>The majority of our research and development resources are currently focused on our Phase 2 and 3 clinical trials for our 6 millimeter ATEV and other work needed to obtain marketing approval for our 6 millimeter ATEV for use for in AV access in hemodialysis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2 and Phase 3 clinical trials.</w:t>
      </w:r>
    </w:p>
    <w:p>
      <w:pPr>
        <w:spacing w:after="0" w:line="130"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8"/>
          <w:szCs w:val="18"/>
          <w:color w:val="231F20"/>
        </w:rPr>
        <w:t>Direct expenses for our vascular trauma, AV access for hemodialysis and PAD indications include costs related to our clinical trials, including fees paid to CROs, consultants, clinical sites and investigators. Costs related to development activities which broadly support multiple programs using our technology platform, including personnel, materials and supplies, external services costs, and other internal expenses, such as facilities and overhead costs, are not allocated to</w:t>
      </w:r>
    </w:p>
    <w:p>
      <w:pPr>
        <w:spacing w:after="0" w:line="200" w:lineRule="exact"/>
        <w:rPr>
          <w:sz w:val="20"/>
          <w:szCs w:val="20"/>
          <w:color w:val="auto"/>
        </w:rPr>
      </w:pPr>
    </w:p>
    <w:p>
      <w:pPr>
        <w:spacing w:after="0" w:line="3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231F20"/>
        </w:rPr>
        <w:t>individual research and development programs. Other research and development expenses include direct costs not identifiable with a specific product candidate, including costs associated with our research and development platform used across programs, process development, manufacturing analytics and preclinical research and development for prospective product candidates and new technologies.</w:t>
      </w:r>
    </w:p>
    <w:p>
      <w:pPr>
        <w:spacing w:after="0" w:line="140" w:lineRule="exact"/>
        <w:rPr>
          <w:sz w:val="20"/>
          <w:szCs w:val="20"/>
          <w:color w:val="auto"/>
        </w:rPr>
      </w:pPr>
    </w:p>
    <w:p>
      <w:pPr>
        <w:ind w:right="180" w:firstLine="318"/>
        <w:spacing w:after="0" w:line="254" w:lineRule="auto"/>
        <w:rPr>
          <w:sz w:val="20"/>
          <w:szCs w:val="20"/>
          <w:color w:val="auto"/>
        </w:rPr>
      </w:pPr>
      <w:r>
        <w:rPr>
          <w:rFonts w:ascii="Times New Roman" w:cs="Times New Roman" w:eastAsia="Times New Roman" w:hAnsi="Times New Roman"/>
          <w:sz w:val="18"/>
          <w:szCs w:val="18"/>
          <w:color w:val="231F20"/>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spacing w:after="0" w:line="143" w:lineRule="exact"/>
        <w:rPr>
          <w:sz w:val="20"/>
          <w:szCs w:val="20"/>
          <w:color w:val="auto"/>
        </w:rPr>
      </w:pPr>
    </w:p>
    <w:p>
      <w:pPr>
        <w:ind w:left="640" w:right="140" w:hanging="316"/>
        <w:spacing w:after="0" w:line="271" w:lineRule="auto"/>
        <w:tabs>
          <w:tab w:leader="none" w:pos="635"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rate of progress, expense and results of our preclinical development activities, our ongoing clinical trials and any additional clinical trials that we may conduct, and other research and development activities;</w:t>
      </w:r>
    </w:p>
    <w:p>
      <w:pPr>
        <w:spacing w:after="0" w:line="141"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patient enrollment in and the initiation and completion of clinical trials;</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receipt and terms of any marketing approvals from applicable regulatory authorities including the FDA and non-U.S. regulators;</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of any required post-marketing approval commitments to applicable regulatory authorities;</w:t>
      </w:r>
    </w:p>
    <w:p>
      <w:pPr>
        <w:spacing w:after="0" w:line="190" w:lineRule="exact"/>
        <w:rPr>
          <w:rFonts w:ascii="Times New Roman" w:cs="Times New Roman" w:eastAsia="Times New Roman" w:hAnsi="Times New Roman"/>
          <w:sz w:val="18"/>
          <w:szCs w:val="18"/>
          <w:color w:val="231F20"/>
        </w:rPr>
      </w:pPr>
    </w:p>
    <w:p>
      <w:pPr>
        <w:ind w:left="640" w:right="140" w:hanging="316"/>
        <w:spacing w:after="0" w:line="271" w:lineRule="auto"/>
        <w:tabs>
          <w:tab w:leader="none" w:pos="635"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development and refinement of clinical and commercial manufacturing capabilities or making arrangements with third-party manufacturers in order to ensure that it or its third-party manufacturers are able to successfully manufacture our product;</w:t>
      </w:r>
    </w:p>
    <w:p>
      <w:pPr>
        <w:spacing w:after="0" w:line="128"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maintaining, defending and enforcing patent claims and other intellectual property rights;</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 and changing government regulations;</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launching commercial sales of Symvess and our product candidates, if approved, whether alone or in collaboration with others;</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degree of market acceptance of Symvess and any product candidates that obtain marketing approval; and</w:t>
      </w:r>
    </w:p>
    <w:p>
      <w:pPr>
        <w:spacing w:after="0" w:line="176" w:lineRule="exact"/>
        <w:rPr>
          <w:rFonts w:ascii="Times New Roman" w:cs="Times New Roman" w:eastAsia="Times New Roman" w:hAnsi="Times New Roman"/>
          <w:sz w:val="18"/>
          <w:szCs w:val="18"/>
          <w:color w:val="231F20"/>
        </w:rPr>
      </w:pPr>
    </w:p>
    <w:p>
      <w:pPr>
        <w:ind w:left="640" w:right="220" w:hanging="316"/>
        <w:spacing w:after="0" w:line="271" w:lineRule="auto"/>
        <w:tabs>
          <w:tab w:leader="none" w:pos="635"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maintaining a continued acceptable safety profile following approval of Symvess in the vascular trauma indication and in any other indications for which approval may be granted, or for any of our product candidates, if approved.</w:t>
      </w:r>
    </w:p>
    <w:p>
      <w:pPr>
        <w:spacing w:after="0" w:line="141"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General and Administrative Expenses</w:t>
      </w:r>
    </w:p>
    <w:p>
      <w:pPr>
        <w:spacing w:after="0" w:line="179" w:lineRule="exact"/>
        <w:rPr>
          <w:sz w:val="20"/>
          <w:szCs w:val="20"/>
          <w:color w:val="auto"/>
        </w:rPr>
      </w:pPr>
    </w:p>
    <w:p>
      <w:pPr>
        <w:ind w:right="420" w:firstLine="318"/>
        <w:spacing w:after="0" w:line="254" w:lineRule="auto"/>
        <w:rPr>
          <w:sz w:val="20"/>
          <w:szCs w:val="20"/>
          <w:color w:val="auto"/>
        </w:rPr>
      </w:pPr>
      <w:r>
        <w:rPr>
          <w:rFonts w:ascii="Times New Roman" w:cs="Times New Roman" w:eastAsia="Times New Roman" w:hAnsi="Times New Roman"/>
          <w:sz w:val="18"/>
          <w:szCs w:val="18"/>
          <w:color w:val="231F20"/>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spacing w:after="0" w:line="156"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231F20"/>
        </w:rPr>
        <w:t>We expect our general and administrative expenses will continue to increase for the foreseeable future to support our expanded infrastructure and increased costs of operating as a public company and as we commercialize Symvess in the United States and seek marketing approval for Symvess outside of the United States.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spacing w:after="0" w:line="200" w:lineRule="exact"/>
        <w:rPr>
          <w:sz w:val="20"/>
          <w:szCs w:val="20"/>
          <w:color w:val="auto"/>
        </w:rPr>
      </w:pPr>
    </w:p>
    <w:p>
      <w:pPr>
        <w:spacing w:after="0" w:line="35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93"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Other Income (Expense), Net</w:t>
      </w:r>
    </w:p>
    <w:p>
      <w:pPr>
        <w:spacing w:after="0" w:line="179" w:lineRule="exact"/>
        <w:rPr>
          <w:sz w:val="20"/>
          <w:szCs w:val="20"/>
          <w:color w:val="auto"/>
        </w:rPr>
      </w:pPr>
    </w:p>
    <w:p>
      <w:pPr>
        <w:ind w:right="100" w:firstLine="318"/>
        <w:spacing w:after="0" w:line="248" w:lineRule="auto"/>
        <w:rPr>
          <w:sz w:val="20"/>
          <w:szCs w:val="20"/>
          <w:color w:val="auto"/>
        </w:rPr>
      </w:pPr>
      <w:r>
        <w:rPr>
          <w:rFonts w:ascii="Times New Roman" w:cs="Times New Roman" w:eastAsia="Times New Roman" w:hAnsi="Times New Roman"/>
          <w:sz w:val="18"/>
          <w:szCs w:val="18"/>
          <w:color w:val="231F20"/>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and short-term investments, (iii) interest expense incurred on the Purchase Agreement (defined below), finance leases, and our former loan agreement with SVB during the periods each were outstanding, (iv) the change in fair value of our derivative liabilities and asset including the private placement Common Stock warrant liabilities related to the Private Placement Warrants, which we assumed in connection with the Merger; Common Stock warrant liabilities related to our Registered Direct Offerings; the contingent derivative liability related to the Purchase Agreement; a liability related to a freestanding option agreement related to the Purchase Agreement; a derivative liability related to our agreement with JDRF (defined below); and a derivative asset related to our Common Stock Purchase Agreement (defined below), all of which are subject to remeasurement to fair value at each balance sheet date resulting in a non-cash gain or loss, (v) a loss on debt extinguishment related to the prepayment of our loan agreement with Silicon Valley Bank in May 2023, and (vi) an employee retention credit we recognized in June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Comparison of the Years Ended December 31, 2024 and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4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88,599</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114,398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100,047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(114,398)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(14,351)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0" w:type="dxa"/>
            <w:vAlign w:val="bottom"/>
          </w:tcPr>
          <w:p>
            <w:pPr>
              <w:spacing w:after="0"/>
              <w:rPr>
                <w:sz w:val="1"/>
                <w:szCs w:val="1"/>
                <w:color w:val="auto"/>
              </w:rPr>
            </w:pPr>
          </w:p>
        </w:tc>
      </w:tr>
      <w:tr>
        <w:trPr>
          <w:trHeight w:val="231"/>
        </w:trPr>
        <w:tc>
          <w:tcPr>
            <w:tcW w:w="5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 %</w:t>
            </w:r>
          </w:p>
        </w:tc>
        <w:tc>
          <w:tcPr>
            <w:tcW w:w="0" w:type="dxa"/>
            <w:vAlign w:val="bottom"/>
          </w:tcPr>
          <w:p>
            <w:pPr>
              <w:spacing w:after="0"/>
              <w:rPr>
                <w:sz w:val="1"/>
                <w:szCs w:val="1"/>
                <w:color w:val="auto"/>
              </w:rPr>
            </w:pPr>
          </w:p>
        </w:tc>
      </w:tr>
      <w:tr>
        <w:trPr>
          <w:trHeight w:val="225"/>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8"/>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(34,303)</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(148,701)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(37,925)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9"/>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Research and Development Expenses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following table discloses the breakdown of research and development expenses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4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Vascular Trauma</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 Access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PAD</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External services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Materials and supplies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88,599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76,550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12,049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231F20"/>
        </w:rPr>
        <w:t>Research and development expenses were $88.6 million for the year ended December 31, 2024, representing an increase of $12.0 million, or 16%, from $76.6 million for the year ended December 31, 2023. The increase was primarily driven by expenses incurred to support our expanded research and development initiatives, including increased product manufacturing and development and support of the FDA review of the BLA in vascular trauma. Expense increases were primarily comprised of a $8.1 million increase in the purchase of materials and supplies, in part due to an increased number of manufacturing production runs, and $6.4 million in additional payroll and personnel expenses.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General and Administrative Expenses</w:t>
      </w:r>
    </w:p>
    <w:p>
      <w:pPr>
        <w:spacing w:after="0" w:line="179"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General and administrative expenses were $25.8 million and $23.5 million for the years ended December 31, 2024 and 2023, respectively. The increase in general and administrative expenses during the year ended December 31, 2024 of $2.3 million, or 10%, compared to the year ended December 31, 2023 was primarily driven by preparation for our planned commercial launch of the ATEV in vascular trauma. Major changes in expenses included a $2.6 million </w:t>
      </w:r>
      <w:r>
        <w:rPr>
          <w:rFonts w:ascii="Times New Roman" w:cs="Times New Roman" w:eastAsia="Times New Roman" w:hAnsi="Times New Roman"/>
          <w:sz w:val="18"/>
          <w:szCs w:val="18"/>
          <w:color w:val="000000"/>
        </w:rPr>
        <w:t xml:space="preserve">increase in salaries and benefits due to the recruitment and hiring of a sales force for Symvess and other expansion of the commercial team, and </w:t>
      </w:r>
      <w:r>
        <w:rPr>
          <w:rFonts w:ascii="Times New Roman" w:cs="Times New Roman" w:eastAsia="Times New Roman" w:hAnsi="Times New Roman"/>
          <w:sz w:val="18"/>
          <w:szCs w:val="18"/>
          <w:color w:val="231F20"/>
        </w:rPr>
        <w:t>a $1.3 million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increase in professional fees, partially offset by a $1.8 million decrease in non-cash stock compensation expense.</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Total Other Income (Expense), net</w:t>
      </w:r>
    </w:p>
    <w:p>
      <w:pPr>
        <w:spacing w:after="0" w:line="192" w:lineRule="exact"/>
        <w:rPr>
          <w:sz w:val="20"/>
          <w:szCs w:val="20"/>
          <w:color w:val="auto"/>
        </w:rPr>
      </w:pPr>
    </w:p>
    <w:p>
      <w:pPr>
        <w:ind w:right="440" w:firstLine="318"/>
        <w:spacing w:after="0" w:line="258" w:lineRule="auto"/>
        <w:rPr>
          <w:sz w:val="20"/>
          <w:szCs w:val="20"/>
          <w:color w:val="auto"/>
        </w:rPr>
      </w:pPr>
      <w:r>
        <w:rPr>
          <w:rFonts w:ascii="Times New Roman" w:cs="Times New Roman" w:eastAsia="Times New Roman" w:hAnsi="Times New Roman"/>
          <w:sz w:val="18"/>
          <w:szCs w:val="18"/>
          <w:color w:val="231F20"/>
        </w:rPr>
        <w:t xml:space="preserve">Total other expense, net was $34.3 million for the year ended December 31, 2024, compared to net expense of $10.7 million for the year ended December 31, 2023. The increase in net expense of $23.6 million primarily resulted from a $23.0 million </w:t>
      </w:r>
      <w:r>
        <w:rPr>
          <w:rFonts w:ascii="Times New Roman" w:cs="Times New Roman" w:eastAsia="Times New Roman" w:hAnsi="Times New Roman"/>
          <w:sz w:val="18"/>
          <w:szCs w:val="18"/>
          <w:color w:val="000000"/>
        </w:rPr>
        <w:t>increase in the non-cash loss resulting from</w:t>
      </w:r>
      <w:r>
        <w:rPr>
          <w:rFonts w:ascii="Times New Roman" w:cs="Times New Roman" w:eastAsia="Times New Roman" w:hAnsi="Times New Roman"/>
          <w:sz w:val="18"/>
          <w:szCs w:val="18"/>
          <w:color w:val="231F20"/>
        </w:rPr>
        <w:t xml:space="preserve"> the remeasurement of the Contingent Earnout Liability during each year.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Sources of Liquidity</w:t>
      </w:r>
    </w:p>
    <w:p>
      <w:pPr>
        <w:spacing w:after="0" w:line="19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 xml:space="preserve">We have historically financed our operations primarily through the sale of equity securities and convertible debt, including pursuant to the Offering (as defined below) and Registered Direct Offerings we completed in October and November 2024, proceeds from the Merger and related PIPE Financing (as defined in </w:t>
      </w:r>
      <w:r>
        <w:rPr>
          <w:rFonts w:ascii="Times New Roman" w:cs="Times New Roman" w:eastAsia="Times New Roman" w:hAnsi="Times New Roman"/>
          <w:sz w:val="18"/>
          <w:szCs w:val="18"/>
          <w:color w:val="000000"/>
        </w:rPr>
        <w:t>Note 14</w:t>
      </w:r>
      <w:r>
        <w:rPr>
          <w:rFonts w:ascii="Times New Roman" w:cs="Times New Roman" w:eastAsia="Times New Roman" w:hAnsi="Times New Roman"/>
          <w:sz w:val="18"/>
          <w:szCs w:val="18"/>
          <w:color w:val="231F20"/>
        </w:rPr>
        <w:t xml:space="preserve"> to our accompanying consolidated financial statements contained in Part II, Item 8 of this Annual Report on Form 10-K), borrowings under loan facilities, the Purchase Agreement (defined below), and, to a lesser extent, through grants from governmental and other agencies. Since our inception, we have incurred significant operating losses and negative cash flows. As of December 31, 2024 and 2023, we had an accumulated deficit of $686.0 million and $537.3 million, respectively.</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8"/>
          <w:szCs w:val="18"/>
          <w:color w:val="231F20"/>
        </w:rPr>
        <w:t xml:space="preserve">As of December 31, 2024 and 2023, we had working capital of $27.9 million and $64.8 million, respectively. As of December 31, 2024 and 2023, we had cash and cash equivalents of $44.9 million and $80.4 million, respectively, and restricted cash of $50.4 million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$0.4 million, respectively. We funded the restricted cash account on August 14, 2024, in accordance with our amended Purchase Agreement (defined below), of which $50.0 million is not subject to our unilateral control.</w:t>
      </w:r>
    </w:p>
    <w:p>
      <w:pPr>
        <w:spacing w:after="0" w:line="143" w:lineRule="exact"/>
        <w:rPr>
          <w:sz w:val="20"/>
          <w:szCs w:val="20"/>
          <w:color w:val="auto"/>
        </w:rPr>
      </w:pPr>
    </w:p>
    <w:p>
      <w:pPr>
        <w:jc w:val="both"/>
        <w:ind w:right="200" w:firstLine="318"/>
        <w:spacing w:after="0" w:line="258" w:lineRule="auto"/>
        <w:rPr>
          <w:sz w:val="20"/>
          <w:szCs w:val="20"/>
          <w:color w:val="auto"/>
        </w:rPr>
      </w:pPr>
      <w:r>
        <w:rPr>
          <w:rFonts w:ascii="Times New Roman" w:cs="Times New Roman" w:eastAsia="Times New Roman" w:hAnsi="Times New Roman"/>
          <w:sz w:val="18"/>
          <w:szCs w:val="18"/>
          <w:color w:val="auto"/>
        </w:rPr>
        <w:t>Subsequent to December 31, 2024, in March 2025 we completed a public offering of common stock which provided approximately $46.6 million in net proceeds. As of March 31, 2025, we had $47.5 million in remaining availability for sales of Common Stock under our Common Stock Purchase Agreement with Lincoln Park and $72.6 million in remaining availability for sales of Common Stock under our ATM Facility, defined below.</w:t>
      </w:r>
    </w:p>
    <w:p>
      <w:pPr>
        <w:spacing w:after="0" w:line="140"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231F20"/>
        </w:rPr>
        <w:t>B</w:t>
      </w:r>
      <w:r>
        <w:rPr>
          <w:rFonts w:ascii="Times New Roman" w:cs="Times New Roman" w:eastAsia="Times New Roman" w:hAnsi="Times New Roman"/>
          <w:sz w:val="18"/>
          <w:szCs w:val="18"/>
          <w:color w:val="000000"/>
        </w:rPr>
        <w:t>efore consideration of management’s plans described below, we believe our cash and cash equivalents on hand and existing capacity under our Common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Stock Purchase Agreement will be sufficient to fund operations at least into March 2026. The future viability of the Company beyond that point is dependent on our ability to generate cash flows from the sale of Symvess and raise additional capital to finance our operations. </w:t>
      </w:r>
      <w:r>
        <w:rPr>
          <w:rFonts w:ascii="Times New Roman" w:cs="Times New Roman" w:eastAsia="Times New Roman" w:hAnsi="Times New Roman"/>
          <w:sz w:val="18"/>
          <w:szCs w:val="18"/>
          <w:color w:val="231F20"/>
        </w:rPr>
        <w:t>See</w:t>
      </w:r>
      <w:r>
        <w:rPr>
          <w:rFonts w:ascii="Times New Roman" w:cs="Times New Roman" w:eastAsia="Times New Roman" w:hAnsi="Times New Roman"/>
          <w:sz w:val="18"/>
          <w:szCs w:val="18"/>
          <w:color w:val="000000"/>
        </w:rPr>
        <w:t xml:space="preserve"> Note 1 </w:t>
      </w:r>
      <w:r>
        <w:rPr>
          <w:rFonts w:ascii="Times New Roman" w:cs="Times New Roman" w:eastAsia="Times New Roman" w:hAnsi="Times New Roman"/>
          <w:sz w:val="18"/>
          <w:szCs w:val="18"/>
          <w:color w:val="231F20"/>
        </w:rPr>
        <w:t>to our accompanying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consolidated financial statements contained in Part II, Item 8 of this Annual Report on Form 10-K for additional information regarding our assessment. We believe that our longer-term working capital, planned research and development, capital expenditures and other general corporate funding requirements may be satisfied through the sale of equity, debt financings, debt refinancing or restructuring or through potential collaborations with other companies, other strategic transactions or government or other grants. Our liquidity plans are subject to a number of risks and uncertainties, including those described in the sections of this Annual Report on Form 10-K titled “Forward-Looking Statements” and “Risk Factors.” If we are unable to raise sufficient capital, we plan to implement a program that delays, reduces, suspends or ceases certain of our planned capital expenditures, research and development programs or any future commercialization efforts, which would have a negative impact on our business, prospects, operating results and financial condition. Based on our current cash and cash equivalents on hand and existing capacity under our Common Stock Purchase Agreement, and after considering management’s plans, we believe we have the ability to fund operations at least into the middle of 2026.</w:t>
      </w:r>
    </w:p>
    <w:p>
      <w:pPr>
        <w:spacing w:after="0" w:line="170"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 xml:space="preserve">On May 12, 2023, we entered into a Revenue Interest Purchase Agreement (the “Purchase Agreement”) with two purchasers (the “Purchasers”), both affiliates of Oberland Capital Management LLC (“Oberland”), and another affiliate of Oberland, as agent for the Purchasers (the “Agent”), to obtain financing in respect to the further development and commercialization of our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to repay our then outstanding credit facility with SVB, and for other general corporate purposes. Pursuant to the Purchase Agreement, and subject to customary closing conditions, the Purchasers purchased certain revenue interests (the “Revenue Interests”) from us in exchange for an aggregate investment amount of up to $150.0 million (the “Investment Amount”). Under the terms of the Purchase Agreement, $40.0 million of the Investment Amount, less certain transaction expenses, was funded on May 12, 2023, which was used to repay in full all and retire our indebtedness under our loan agreement with SVB, with the remaining proceeds funded to the Company. On March 11, 2024, $20.0 million of the Investment Amount was funded to the Company. On December 19, 2024, the FDA granted full approval for our BLA for the vascular trauma indication, and we did not elect to draw the additional $40.0 million that became available under the Purchase Agreement. As of December 31, 2024, we are not entitled to draw on any further installments under the Purchase Agreement. See Note 6 to our accompanying consolidated financial statements in Part II, Item 8 of this Annual Report on Form 10-K for additional details about this financing transaction.</w:t>
      </w:r>
    </w:p>
    <w:p>
      <w:pPr>
        <w:spacing w:after="0" w:line="149"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On February 18, 2024, we agreed with the Purchasers and the Agent, to waive certain breaches related to, and extend the deadline for certain post-closing obligations under, the Purchase Agreement, including the requirement for us to deliver a leasehold mortgage in favor of the Agent over our headquarters. On May 8, 2024, we reached an agreement with the Purchasers to amend the Purchase Agreement to remove requirements related to the leasehold mortgage. In exchange for the removal of this requirement, on August 14, 2024 we funded an account in the amount of $54.0 million, over which the Agent has certain consent and other rights to $50.0 million of the funds. See Note 6 for further information.</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20" w:firstLine="318"/>
        <w:spacing w:after="0" w:line="254" w:lineRule="auto"/>
        <w:rPr>
          <w:sz w:val="20"/>
          <w:szCs w:val="20"/>
          <w:color w:val="auto"/>
        </w:rPr>
      </w:pPr>
      <w:r>
        <w:rPr>
          <w:rFonts w:ascii="Times New Roman" w:cs="Times New Roman" w:eastAsia="Times New Roman" w:hAnsi="Times New Roman"/>
          <w:sz w:val="18"/>
          <w:szCs w:val="18"/>
          <w:color w:val="auto"/>
        </w:rPr>
        <w:t>On February 29, 2024, we entered into an underwriting agreement with Cowen and Company, LLC and Cantor &amp; Fitzgerald &amp; Co., as representatives of the several underwriters named therein, relating to the issuance and sale in an underwritten offering (the “Offering”) of 15,410,000 shares of our Common Stock at a price to the public of $3.00 per share. The net proceeds to us from the Offering were approximately $43.0 million, after deducting underwriting discounts and commissions and Offering expenses. The Offering closed on March 5, 2024.</w:t>
      </w:r>
    </w:p>
    <w:p>
      <w:pPr>
        <w:spacing w:after="0" w:line="143"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On September 24, 2024, we entered into the Common Stock Purchase Agreement with Lincoln Park for an equity line financing, which provides that, subject to the terms and conditions set forth in the Common Stock Purchase Agreement, we have the sole right, but not the obligation, to sell to Lincoln Park shares of Common Stock having an aggregate value of up to $50.0 million over a 24-month period. We control the timing and amount of any sales to Lincoln Park.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we had completed sales of shares under the Common Stock Purchase Agreement that provided $2.5 million in gross proceeds. As of </w:t>
      </w:r>
      <w:r>
        <w:rPr>
          <w:rFonts w:ascii="Times New Roman" w:cs="Times New Roman" w:eastAsia="Times New Roman" w:hAnsi="Times New Roman"/>
          <w:sz w:val="18"/>
          <w:szCs w:val="18"/>
          <w:color w:val="231F20"/>
        </w:rPr>
        <w:t>March 31, 2025</w:t>
      </w:r>
      <w:r>
        <w:rPr>
          <w:rFonts w:ascii="Times New Roman" w:cs="Times New Roman" w:eastAsia="Times New Roman" w:hAnsi="Times New Roman"/>
          <w:sz w:val="18"/>
          <w:szCs w:val="18"/>
          <w:color w:val="auto"/>
        </w:rPr>
        <w:t>, we had $47.5 million in remaining availability for sales of our Common Stock under our Common Stock Purchase Agreement with Lincoln Park.</w:t>
      </w:r>
    </w:p>
    <w:p>
      <w:pPr>
        <w:spacing w:after="0" w:line="149"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8"/>
          <w:szCs w:val="18"/>
          <w:color w:val="auto"/>
        </w:rPr>
        <w:t>On October 4, 2024, we entered into a securities purchase agreement with an institutional investor pursuant to which the investor purchased approximately $30.0 million worth of Common Stock and warrants in the October 2024 Registered Direct Offering (as defined below). The net proceeds to us from the October 2024 Registered Direct Offering were approximately $28.0 million, after deducting placement agent’s fees and offering expenses of approximately $2.0 million. The October 2024 Registered Direct Offering closed on October 7, 2024.</w:t>
      </w:r>
    </w:p>
    <w:p>
      <w:pPr>
        <w:spacing w:after="0" w:line="156"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8"/>
          <w:szCs w:val="18"/>
          <w:color w:val="auto"/>
        </w:rPr>
        <w:t>On November 13, 2024, we entered into a securities purchase agreement with an institutional investor pursuant to which the investor purchased approximately $15.0 million worth of Common Stock and warrants in the November 2024 Registered Direct Offering (as defined below). The net proceeds to us from the November 2024 Registered Direct Offering were approximately $14.9 million after deducting offering expenses of approximately $0.1 million. The November 2024 Registered Direct Offering closed on November 15, 2024.</w:t>
      </w:r>
    </w:p>
    <w:p>
      <w:pPr>
        <w:spacing w:after="0" w:line="143"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On March 25, 2025, we entered into an underwriting agreement with TD Securities (USA) LLC, Barclays Capital Inc. and BTIG, LLC, as representatives of the several underwriters named therein, relating to the issuance and sale in the Public Offering of 25,000,000 shares of Common Stock, at a price to the public of $2.00 per share. We also granted the underwriters a 30-day option to purchase up to an additional 3,750,000 shares of Common Stock at the same price as the Firm Shares. The net proceeds to us from the Public Offering were approximately $46.6 million after deducting underwriting discounts and commissions and estimated Public Offering expenses. The Public Offering closed on March 27,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ATM Facility</w:t>
      </w:r>
    </w:p>
    <w:p>
      <w:pPr>
        <w:spacing w:after="0" w:line="19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On September 1, 2022, we entered into an agreement with Jefferies LLC for the sale from time to time of up to $80.0 million of shares of Common Stock pursuant to a sales agreement (the “ATM Facility”). In December 2024, we sold an aggregate of </w:t>
      </w:r>
      <w:r>
        <w:rPr>
          <w:rFonts w:ascii="Times New Roman" w:cs="Times New Roman" w:eastAsia="Times New Roman" w:hAnsi="Times New Roman"/>
          <w:sz w:val="18"/>
          <w:szCs w:val="18"/>
          <w:color w:val="000000"/>
        </w:rPr>
        <w:t>1,333,596</w:t>
      </w:r>
      <w:r>
        <w:rPr>
          <w:rFonts w:ascii="Times New Roman" w:cs="Times New Roman" w:eastAsia="Times New Roman" w:hAnsi="Times New Roman"/>
          <w:sz w:val="18"/>
          <w:szCs w:val="18"/>
          <w:color w:val="231F20"/>
        </w:rPr>
        <w:t xml:space="preserve"> shares of Common Stock under the ATM Facility at an average price of </w:t>
      </w:r>
      <w:r>
        <w:rPr>
          <w:rFonts w:ascii="Times New Roman" w:cs="Times New Roman" w:eastAsia="Times New Roman" w:hAnsi="Times New Roman"/>
          <w:sz w:val="18"/>
          <w:szCs w:val="18"/>
          <w:color w:val="000000"/>
        </w:rPr>
        <w:t>$5.26</w:t>
      </w:r>
      <w:r>
        <w:rPr>
          <w:rFonts w:ascii="Times New Roman" w:cs="Times New Roman" w:eastAsia="Times New Roman" w:hAnsi="Times New Roman"/>
          <w:sz w:val="18"/>
          <w:szCs w:val="18"/>
          <w:color w:val="231F20"/>
        </w:rPr>
        <w:t xml:space="preserve"> per share for net proceeds of approximately </w:t>
      </w:r>
      <w:r>
        <w:rPr>
          <w:rFonts w:ascii="Times New Roman" w:cs="Times New Roman" w:eastAsia="Times New Roman" w:hAnsi="Times New Roman"/>
          <w:sz w:val="18"/>
          <w:szCs w:val="18"/>
          <w:color w:val="000000"/>
        </w:rPr>
        <w:t>$6.8 million</w:t>
      </w:r>
      <w:r>
        <w:rPr>
          <w:rFonts w:ascii="Times New Roman" w:cs="Times New Roman" w:eastAsia="Times New Roman" w:hAnsi="Times New Roman"/>
          <w:sz w:val="18"/>
          <w:szCs w:val="18"/>
          <w:color w:val="231F20"/>
        </w:rPr>
        <w:t xml:space="preserve"> after deducting sales commissions of approximately </w:t>
      </w:r>
      <w:r>
        <w:rPr>
          <w:rFonts w:ascii="Times New Roman" w:cs="Times New Roman" w:eastAsia="Times New Roman" w:hAnsi="Times New Roman"/>
          <w:sz w:val="18"/>
          <w:szCs w:val="18"/>
          <w:color w:val="000000"/>
        </w:rPr>
        <w:t>$0.2 million</w:t>
      </w:r>
      <w:r>
        <w:rPr>
          <w:rFonts w:ascii="Times New Roman" w:cs="Times New Roman" w:eastAsia="Times New Roman" w:hAnsi="Times New Roman"/>
          <w:sz w:val="18"/>
          <w:szCs w:val="18"/>
          <w:color w:val="231F20"/>
        </w:rPr>
        <w:t xml:space="preserve">. From December 31, 2024 through March 31, 2025, we sold an aggregate of </w:t>
      </w:r>
      <w:r>
        <w:rPr>
          <w:rFonts w:ascii="Times New Roman" w:cs="Times New Roman" w:eastAsia="Times New Roman" w:hAnsi="Times New Roman"/>
          <w:sz w:val="18"/>
          <w:szCs w:val="18"/>
          <w:color w:val="000000"/>
        </w:rPr>
        <w:t>75,793</w:t>
      </w:r>
      <w:r>
        <w:rPr>
          <w:rFonts w:ascii="Times New Roman" w:cs="Times New Roman" w:eastAsia="Times New Roman" w:hAnsi="Times New Roman"/>
          <w:sz w:val="18"/>
          <w:szCs w:val="18"/>
          <w:color w:val="231F20"/>
        </w:rPr>
        <w:t xml:space="preserve"> shares of Common Stock under the ATM Facility at an average price of </w:t>
      </w:r>
      <w:r>
        <w:rPr>
          <w:rFonts w:ascii="Times New Roman" w:cs="Times New Roman" w:eastAsia="Times New Roman" w:hAnsi="Times New Roman"/>
          <w:sz w:val="18"/>
          <w:szCs w:val="18"/>
          <w:color w:val="000000"/>
        </w:rPr>
        <w:t>$5.04</w:t>
      </w:r>
      <w:r>
        <w:rPr>
          <w:rFonts w:ascii="Times New Roman" w:cs="Times New Roman" w:eastAsia="Times New Roman" w:hAnsi="Times New Roman"/>
          <w:sz w:val="18"/>
          <w:szCs w:val="18"/>
          <w:color w:val="231F20"/>
        </w:rPr>
        <w:t xml:space="preserve"> per share for net proceeds of approximately </w:t>
      </w:r>
      <w:r>
        <w:rPr>
          <w:rFonts w:ascii="Times New Roman" w:cs="Times New Roman" w:eastAsia="Times New Roman" w:hAnsi="Times New Roman"/>
          <w:sz w:val="18"/>
          <w:szCs w:val="18"/>
          <w:color w:val="000000"/>
        </w:rPr>
        <w:t>$0.4 million</w:t>
      </w:r>
      <w:r>
        <w:rPr>
          <w:rFonts w:ascii="Times New Roman" w:cs="Times New Roman" w:eastAsia="Times New Roman" w:hAnsi="Times New Roman"/>
          <w:sz w:val="18"/>
          <w:szCs w:val="18"/>
          <w:color w:val="231F20"/>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79"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Our known material cash requirements include: (1) the purchase of supplies and services that are primarily for research and development; (2) repayments pursuant to the Purchase Agreement (for additional information see below and Note 6 to our accompanying consolidated financial statements in Part II, Item 8 of this Annual Report on Form 10-K); (3) employee wages, benefits, and incentives; (4) financing and operating lease payments (for additional information see below and Note 8 to our accompanying consolidated financial statements in Part II, Item 8 of this Annual Report on Form 10-K), and (5) payments under our JDRF Agreement (for additional information see Note 13 to our accompanying consolidated financial statements in Part II, Item 8 of this Annual Report on Form 10-K). We have also entered into contracts with CROs primarily for clinical trials. 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firstLine="318"/>
        <w:spacing w:after="0" w:line="266" w:lineRule="auto"/>
        <w:rPr>
          <w:sz w:val="20"/>
          <w:szCs w:val="20"/>
          <w:color w:val="auto"/>
        </w:rPr>
      </w:pPr>
      <w:r>
        <w:rPr>
          <w:rFonts w:ascii="Times New Roman" w:cs="Times New Roman" w:eastAsia="Times New Roman" w:hAnsi="Times New Roman"/>
          <w:sz w:val="17"/>
          <w:szCs w:val="17"/>
          <w:color w:val="auto"/>
        </w:rPr>
        <w:t>As of December 31, 2024, we had non-cancellable purchase com</w:t>
      </w:r>
      <w:r>
        <w:rPr>
          <w:rFonts w:ascii="Times New Roman" w:cs="Times New Roman" w:eastAsia="Times New Roman" w:hAnsi="Times New Roman"/>
          <w:sz w:val="17"/>
          <w:szCs w:val="17"/>
          <w:color w:val="231F20"/>
        </w:rPr>
        <w:t>mitments of $31.3 million for supplies and services that are primarily for research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development. We have existing license agreements with Duke University and Yale University, a distribution agreement with Fresenius Medical Care and our JDRF Agreement. The amount and timing of any potential milestone payments, license fee payments, royalties and other payments that we may be required to make under these agreements are unknown or uncertain at December 31, 2024. For additional information regarding our agreements with Duke University, Yale University, and Fresenius Medical Care, and the nature of payments that could become due thereunder, see the sections in this Annual Report on Form 10-K titled “Business — Distribution” and “Business — Intellectual Property.” For additional information about our JDRF Agreement, see </w:t>
      </w:r>
      <w:r>
        <w:rPr>
          <w:rFonts w:ascii="Times New Roman" w:cs="Times New Roman" w:eastAsia="Times New Roman" w:hAnsi="Times New Roman"/>
          <w:sz w:val="17"/>
          <w:szCs w:val="17"/>
          <w:color w:val="000000"/>
        </w:rPr>
        <w:t>Note 13</w:t>
      </w:r>
      <w:r>
        <w:rPr>
          <w:rFonts w:ascii="Times New Roman" w:cs="Times New Roman" w:eastAsia="Times New Roman" w:hAnsi="Times New Roman"/>
          <w:sz w:val="17"/>
          <w:szCs w:val="17"/>
          <w:color w:val="231F20"/>
        </w:rPr>
        <w:t xml:space="preserve"> — Commitments and Contingencies </w:t>
      </w:r>
      <w:r>
        <w:rPr>
          <w:rFonts w:ascii="Times New Roman" w:cs="Times New Roman" w:eastAsia="Times New Roman" w:hAnsi="Times New Roman"/>
          <w:sz w:val="17"/>
          <w:szCs w:val="17"/>
          <w:color w:val="000000"/>
        </w:rPr>
        <w:t>to our accompanying consolidated financial statements in Part II, Item 8 of this Annual Report on Form 10-K</w:t>
      </w:r>
      <w:r>
        <w:rPr>
          <w:rFonts w:ascii="Times New Roman" w:cs="Times New Roman" w:eastAsia="Times New Roman" w:hAnsi="Times New Roman"/>
          <w:sz w:val="17"/>
          <w:szCs w:val="17"/>
          <w:color w:val="231F20"/>
        </w:rPr>
        <w: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Revenue Interest Purchase Agreement</w:t>
      </w:r>
    </w:p>
    <w:p>
      <w:pPr>
        <w:spacing w:after="0" w:line="179" w:lineRule="exact"/>
        <w:rPr>
          <w:sz w:val="20"/>
          <w:szCs w:val="20"/>
          <w:color w:val="auto"/>
        </w:rPr>
      </w:pPr>
    </w:p>
    <w:p>
      <w:pPr>
        <w:ind w:right="100" w:firstLine="318"/>
        <w:spacing w:after="0" w:line="254" w:lineRule="auto"/>
        <w:rPr>
          <w:sz w:val="20"/>
          <w:szCs w:val="20"/>
          <w:color w:val="auto"/>
        </w:rPr>
      </w:pPr>
      <w:r>
        <w:rPr>
          <w:rFonts w:ascii="Times New Roman" w:cs="Times New Roman" w:eastAsia="Times New Roman" w:hAnsi="Times New Roman"/>
          <w:sz w:val="18"/>
          <w:szCs w:val="18"/>
          <w:color w:val="auto"/>
        </w:rPr>
        <w:t xml:space="preserve">On May 12, 2023, we entered into the Purchase Agreement and repaid in full all of the then-existing obligations under our loan agreement with SVB. Under the Purchase Agreement, as of December 31, 2024, we had </w:t>
      </w:r>
      <w:r>
        <w:rPr>
          <w:rFonts w:ascii="Times New Roman" w:cs="Times New Roman" w:eastAsia="Times New Roman" w:hAnsi="Times New Roman"/>
          <w:sz w:val="18"/>
          <w:szCs w:val="18"/>
          <w:color w:val="231F20"/>
        </w:rPr>
        <w:t>$64.2 million</w:t>
      </w:r>
      <w:r>
        <w:rPr>
          <w:rFonts w:ascii="Times New Roman" w:cs="Times New Roman" w:eastAsia="Times New Roman" w:hAnsi="Times New Roman"/>
          <w:sz w:val="18"/>
          <w:szCs w:val="18"/>
          <w:color w:val="auto"/>
        </w:rPr>
        <w:t xml:space="preserve"> recorded as a revenue interest liability on our consolidated financial statements. For additional information regarding repayment, see Note 6 — Revenue Interest Purchase Agreement to our accompanying consolidated financial statements in Part II, Item 8 of this Annual Report on Form 10-K.</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79" w:lineRule="exact"/>
        <w:rPr>
          <w:sz w:val="20"/>
          <w:szCs w:val="20"/>
          <w:color w:val="auto"/>
        </w:rPr>
      </w:pPr>
    </w:p>
    <w:p>
      <w:pPr>
        <w:jc w:val="both"/>
        <w:ind w:right="200" w:firstLine="318"/>
        <w:spacing w:after="0" w:line="273" w:lineRule="auto"/>
        <w:rPr>
          <w:sz w:val="20"/>
          <w:szCs w:val="20"/>
          <w:color w:val="auto"/>
        </w:rPr>
      </w:pPr>
      <w:r>
        <w:rPr>
          <w:rFonts w:ascii="Times New Roman" w:cs="Times New Roman" w:eastAsia="Times New Roman" w:hAnsi="Times New Roman"/>
          <w:sz w:val="17"/>
          <w:szCs w:val="17"/>
          <w:color w:val="231F20"/>
        </w:rPr>
        <w:t xml:space="preserve">Our finance leases relate to our headquarters facility containing our manufacturing, research and development and general and administrative functions, which was substantially completed in June 2018 and is being leased through May 2033, and our operating lease relates to the land lease associated with our headquarters. See </w:t>
      </w:r>
      <w:r>
        <w:rPr>
          <w:rFonts w:ascii="Times New Roman" w:cs="Times New Roman" w:eastAsia="Times New Roman" w:hAnsi="Times New Roman"/>
          <w:sz w:val="17"/>
          <w:szCs w:val="17"/>
          <w:color w:val="000000"/>
        </w:rPr>
        <w:t>Note 8</w:t>
      </w:r>
      <w:r>
        <w:rPr>
          <w:rFonts w:ascii="Times New Roman" w:cs="Times New Roman" w:eastAsia="Times New Roman" w:hAnsi="Times New Roman"/>
          <w:sz w:val="17"/>
          <w:szCs w:val="17"/>
          <w:color w:val="231F20"/>
        </w:rPr>
        <w:t xml:space="preserve"> to our accompanying consolidated financial statements contained in Part II, Item 8 of this Annual Report on Form 10-K for further information regarding our leases. Our future contractual obligations under our lease agreements as of December 31, 2024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40" w:type="dxa"/>
            <w:vAlign w:val="bottom"/>
          </w:tcPr>
          <w:p>
            <w:pPr>
              <w:spacing w:after="0"/>
              <w:rPr>
                <w:sz w:val="13"/>
                <w:szCs w:val="13"/>
                <w:color w:val="auto"/>
              </w:rPr>
            </w:pPr>
          </w:p>
        </w:tc>
        <w:tc>
          <w:tcPr>
            <w:tcW w:w="11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1"/>
        </w:trPr>
        <w:tc>
          <w:tcPr>
            <w:tcW w:w="41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4"/>
        </w:trPr>
        <w:tc>
          <w:tcPr>
            <w:tcW w:w="4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229"/>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Future Funding Requirements</w:t>
      </w:r>
    </w:p>
    <w:p>
      <w:pPr>
        <w:spacing w:after="0" w:line="19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We expect to incur significant expenses in connection with our ongoing activities as we seek to (i) commercialize Symvess and seek marketing approval for Symvess in additional indications and for our product candidates in the United States and to obtain marketing approval for our 6 millimeter ATEV outside of the United States, (ii) continue clinical development of our 6 millimeter ATEV for use in hemodialysis AV access and submit a BLA for FDA approval of an indication in hemodialysis AV access, (iii) advance our pipeline in major markets, including PAD Phase 3 trials and continue preclinical development and advance to planned clinical studies in CABG and BVP for diabetes, and (iv) scale out our manufacturing facility as required to satisfy market demand. We will need additional funding in connection with these activities.</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Our future funding requirements, both short-term and long-term, will depend on many factors, including:</w:t>
      </w:r>
    </w:p>
    <w:p>
      <w:pPr>
        <w:spacing w:after="0" w:line="177" w:lineRule="exact"/>
        <w:rPr>
          <w:sz w:val="20"/>
          <w:szCs w:val="20"/>
          <w:color w:val="auto"/>
        </w:rPr>
      </w:pPr>
    </w:p>
    <w:p>
      <w:pPr>
        <w:ind w:left="640" w:right="20" w:hanging="316"/>
        <w:spacing w:after="0" w:line="271" w:lineRule="auto"/>
        <w:tabs>
          <w:tab w:leader="none" w:pos="635"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our future commercialization activities, including product manufacturing, marketing and distribution for Symvess in the United States, and any other product candidate for which we receive marketing approval in the future;</w:t>
      </w:r>
    </w:p>
    <w:p>
      <w:pPr>
        <w:spacing w:after="0" w:line="141" w:lineRule="exact"/>
        <w:rPr>
          <w:rFonts w:ascii="Times New Roman" w:cs="Times New Roman" w:eastAsia="Times New Roman" w:hAnsi="Times New Roman"/>
          <w:sz w:val="18"/>
          <w:szCs w:val="18"/>
          <w:color w:val="231F20"/>
        </w:rPr>
      </w:pPr>
    </w:p>
    <w:p>
      <w:pPr>
        <w:ind w:left="640" w:right="500" w:hanging="316"/>
        <w:spacing w:after="0" w:line="271" w:lineRule="auto"/>
        <w:tabs>
          <w:tab w:leader="none" w:pos="635"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revenues, if any, that we receive from commercial sales of Symvess and any product candidates for which we receive marketing approval;</w:t>
      </w:r>
    </w:p>
    <w:p>
      <w:pPr>
        <w:spacing w:after="0" w:line="128"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progress and results of our clinical trials and interpretation of those results by the FDA and other regulatory authorities;</w:t>
      </w:r>
    </w:p>
    <w:p>
      <w:pPr>
        <w:spacing w:after="0" w:line="176" w:lineRule="exact"/>
        <w:rPr>
          <w:rFonts w:ascii="Times New Roman" w:cs="Times New Roman" w:eastAsia="Times New Roman" w:hAnsi="Times New Roman"/>
          <w:sz w:val="18"/>
          <w:szCs w:val="18"/>
          <w:color w:val="auto"/>
        </w:rPr>
      </w:pPr>
    </w:p>
    <w:p>
      <w:pPr>
        <w:ind w:left="640" w:right="280" w:hanging="316"/>
        <w:spacing w:after="0" w:line="271" w:lineRule="auto"/>
        <w:tabs>
          <w:tab w:leader="none" w:pos="635"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timing and outcome of regulatory review of our product candidates, particularly for marketing approval of Symvess outside of the United States and of our product candidates in the United States;</w:t>
      </w:r>
    </w:p>
    <w:p>
      <w:pPr>
        <w:spacing w:after="0" w:line="200" w:lineRule="exact"/>
        <w:rPr>
          <w:sz w:val="20"/>
          <w:szCs w:val="20"/>
          <w:color w:val="auto"/>
        </w:rPr>
      </w:pPr>
    </w:p>
    <w:p>
      <w:pPr>
        <w:spacing w:after="0" w:line="3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preclinical development, laboratory testing and clinical trials for our additional product candidates;</w:t>
      </w:r>
    </w:p>
    <w:p>
      <w:pPr>
        <w:spacing w:after="0" w:line="176" w:lineRule="exact"/>
        <w:rPr>
          <w:rFonts w:ascii="Times New Roman" w:cs="Times New Roman" w:eastAsia="Times New Roman" w:hAnsi="Times New Roman"/>
          <w:sz w:val="18"/>
          <w:szCs w:val="18"/>
          <w:color w:val="231F20"/>
        </w:rPr>
      </w:pPr>
    </w:p>
    <w:p>
      <w:pPr>
        <w:ind w:left="640" w:right="80" w:hanging="316"/>
        <w:spacing w:after="0" w:line="271" w:lineRule="auto"/>
        <w:tabs>
          <w:tab w:leader="none" w:pos="635"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 and</w:t>
      </w:r>
    </w:p>
    <w:p>
      <w:pPr>
        <w:spacing w:after="0" w:line="128" w:lineRule="exact"/>
        <w:rPr>
          <w:rFonts w:ascii="Times New Roman" w:cs="Times New Roman" w:eastAsia="Times New Roman" w:hAnsi="Times New Roman"/>
          <w:sz w:val="18"/>
          <w:szCs w:val="18"/>
          <w:color w:val="231F20"/>
        </w:rPr>
      </w:pPr>
    </w:p>
    <w:p>
      <w:pPr>
        <w:ind w:left="640" w:right="60" w:hanging="316"/>
        <w:spacing w:after="0" w:line="258" w:lineRule="auto"/>
        <w:tabs>
          <w:tab w:leader="none" w:pos="635"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spacing w:after="0" w:line="153" w:lineRule="exact"/>
        <w:rPr>
          <w:sz w:val="20"/>
          <w:szCs w:val="20"/>
          <w:color w:val="auto"/>
        </w:rPr>
      </w:pPr>
    </w:p>
    <w:p>
      <w:pPr>
        <w:ind w:right="100" w:firstLine="318"/>
        <w:spacing w:after="0" w:line="248" w:lineRule="auto"/>
        <w:rPr>
          <w:sz w:val="20"/>
          <w:szCs w:val="20"/>
          <w:color w:val="auto"/>
        </w:rPr>
      </w:pPr>
      <w:r>
        <w:rPr>
          <w:rFonts w:ascii="Times New Roman" w:cs="Times New Roman" w:eastAsia="Times New Roman" w:hAnsi="Times New Roman"/>
          <w:sz w:val="18"/>
          <w:szCs w:val="18"/>
          <w:color w:val="231F20"/>
        </w:rPr>
        <w:t>Until such time, if ever, as we are able to successfully commercialize Symvess and to develop and commercialize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We do not currently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plan to implement a program that delays, reduces, suspends or ceases our planned capital expenditures, research and development programs or any future commercialization efforts, which would have a negative impact on our business, prospects, operating results and financial condition.</w:t>
      </w:r>
    </w:p>
    <w:p>
      <w:pPr>
        <w:spacing w:after="0" w:line="151" w:lineRule="exact"/>
        <w:rPr>
          <w:sz w:val="20"/>
          <w:szCs w:val="20"/>
          <w:color w:val="auto"/>
        </w:rPr>
      </w:pPr>
    </w:p>
    <w:p>
      <w:pPr>
        <w:ind w:right="220" w:firstLine="318"/>
        <w:spacing w:after="0" w:line="251" w:lineRule="auto"/>
        <w:rPr>
          <w:sz w:val="20"/>
          <w:szCs w:val="20"/>
          <w:color w:val="auto"/>
        </w:rPr>
      </w:pPr>
      <w:r>
        <w:rPr>
          <w:rFonts w:ascii="Times New Roman" w:cs="Times New Roman" w:eastAsia="Times New Roman" w:hAnsi="Times New Roman"/>
          <w:sz w:val="18"/>
          <w:szCs w:val="18"/>
          <w:color w:val="231F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if any, that we receive from commercial sales. See “Risk Factors” for additional risks associated with our substantial capital requirements.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following table shows a summary of our cash flows for each of the periods shown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(110,776)</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Non-cash adjustments to reconcile net loss to net cash used in operating activities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0" w:type="dxa"/>
            <w:vAlign w:val="bottom"/>
          </w:tcPr>
          <w:p>
            <w:pPr>
              <w:spacing w:after="0"/>
              <w:rPr>
                <w:sz w:val="1"/>
                <w:szCs w:val="1"/>
                <w:color w:val="auto"/>
              </w:rPr>
            </w:pPr>
          </w:p>
        </w:tc>
      </w:tr>
      <w:tr>
        <w:trPr>
          <w:trHeight w:val="218"/>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(73,305)</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(68,971)</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149,772</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90" w:lineRule="exact"/>
        <w:rPr>
          <w:sz w:val="20"/>
          <w:szCs w:val="20"/>
          <w:color w:val="auto"/>
        </w:rPr>
      </w:pPr>
    </w:p>
    <w:p>
      <w:pPr>
        <w:ind w:left="160" w:right="20" w:hanging="154"/>
        <w:spacing w:after="0" w:line="242" w:lineRule="auto"/>
        <w:tabs>
          <w:tab w:leader="none" w:pos="179"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includes depreciation, amortization related to our leases, stock-based compensation expense, non-cash interest expense related to our revenue interest liability and our JDRF Award liability (defined below) the changes in fair value of our Contingent Earnout Liability and our derivative liabilities and asset, and an immaterial amount of loss on disposal of property and equipment, and in 2023 includes a loss on extinguishment of debt, amortization of our debt discount.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Cash Flow from Operating Activities</w:t>
      </w:r>
    </w:p>
    <w:p>
      <w:pPr>
        <w:spacing w:after="0" w:line="179" w:lineRule="exact"/>
        <w:rPr>
          <w:sz w:val="20"/>
          <w:szCs w:val="20"/>
          <w:color w:val="auto"/>
        </w:rPr>
      </w:pPr>
    </w:p>
    <w:p>
      <w:pPr>
        <w:ind w:right="100" w:firstLine="318"/>
        <w:spacing w:after="0" w:line="258" w:lineRule="auto"/>
        <w:rPr>
          <w:sz w:val="20"/>
          <w:szCs w:val="20"/>
          <w:color w:val="auto"/>
        </w:rPr>
      </w:pPr>
      <w:r>
        <w:rPr>
          <w:rFonts w:ascii="Times New Roman" w:cs="Times New Roman" w:eastAsia="Times New Roman" w:hAnsi="Times New Roman"/>
          <w:sz w:val="18"/>
          <w:szCs w:val="18"/>
          <w:color w:val="auto"/>
        </w:rPr>
        <w:t xml:space="preserve">The increase in net cash used in operating activities from 2023 to 2024 was primarily due to increased spending on preclinical, clinical and pre-commercial activities as well as payroll and personnel expenses, expansion of clinical development of the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xml:space="preserve"> for use in AV access, and preparation for the planned commercial launch of the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xml:space="preserve"> for an indication in vascular trauma.</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Cash Flow from Investing Activities</w:t>
      </w:r>
    </w:p>
    <w:p>
      <w:pPr>
        <w:spacing w:after="0" w:line="192" w:lineRule="exact"/>
        <w:rPr>
          <w:sz w:val="20"/>
          <w:szCs w:val="20"/>
          <w:color w:val="auto"/>
        </w:rPr>
      </w:pPr>
    </w:p>
    <w:p>
      <w:pPr>
        <w:jc w:val="both"/>
        <w:ind w:right="100" w:firstLine="318"/>
        <w:spacing w:after="0" w:line="258" w:lineRule="auto"/>
        <w:rPr>
          <w:sz w:val="20"/>
          <w:szCs w:val="20"/>
          <w:color w:val="auto"/>
        </w:rPr>
      </w:pPr>
      <w:r>
        <w:rPr>
          <w:rFonts w:ascii="Times New Roman" w:cs="Times New Roman" w:eastAsia="Times New Roman" w:hAnsi="Times New Roman"/>
          <w:sz w:val="18"/>
          <w:szCs w:val="18"/>
          <w:color w:val="auto"/>
        </w:rPr>
        <w:t xml:space="preserve">Net </w:t>
      </w:r>
      <w:r>
        <w:rPr>
          <w:rFonts w:ascii="Times New Roman" w:cs="Times New Roman" w:eastAsia="Times New Roman" w:hAnsi="Times New Roman"/>
          <w:sz w:val="18"/>
          <w:szCs w:val="18"/>
          <w:color w:val="231F20"/>
        </w:rPr>
        <w:t>cash used in investing activities for</w:t>
      </w:r>
      <w:r>
        <w:rPr>
          <w:rFonts w:ascii="Times New Roman" w:cs="Times New Roman" w:eastAsia="Times New Roman" w:hAnsi="Times New Roman"/>
          <w:sz w:val="18"/>
          <w:szCs w:val="18"/>
          <w:color w:val="auto"/>
        </w:rPr>
        <w:t xml:space="preserve"> the year ended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consisted of purchases of property and equipment. Net cash used in investing activities for the year ended </w:t>
      </w:r>
      <w:r>
        <w:rPr>
          <w:rFonts w:ascii="Times New Roman" w:cs="Times New Roman" w:eastAsia="Times New Roman" w:hAnsi="Times New Roman"/>
          <w:sz w:val="18"/>
          <w:szCs w:val="18"/>
          <w:color w:val="231F20"/>
        </w:rPr>
        <w:t>December 31, 2023 consisted primarily of purchases of property and equipment, which fully</w:t>
      </w:r>
      <w:r>
        <w:rPr>
          <w:rFonts w:ascii="Times New Roman" w:cs="Times New Roman" w:eastAsia="Times New Roman" w:hAnsi="Times New Roman"/>
          <w:sz w:val="18"/>
          <w:szCs w:val="18"/>
          <w:color w:val="auto"/>
        </w:rPr>
        <w:t xml:space="preserve"> offset proceeds from the maturity of our short-term investments (certificates of deposit).</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Cash Flow from Financing Activities</w:t>
      </w:r>
    </w:p>
    <w:p>
      <w:pPr>
        <w:spacing w:after="0" w:line="179"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for the year ended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consisted primarily of $43.1 million of net proceeds from our Registered Direct Offerings we completed in October and November 2024, $43.0 million of net proceeds from our Offering we completed in March 2024 and $19.5 million of net proceeds from our Purchase Agreement. Net cash provided by financing activities for the year ended </w:t>
      </w:r>
      <w:r>
        <w:rPr>
          <w:rFonts w:ascii="Times New Roman" w:cs="Times New Roman" w:eastAsia="Times New Roman" w:hAnsi="Times New Roman"/>
          <w:sz w:val="18"/>
          <w:szCs w:val="18"/>
          <w:color w:val="231F20"/>
        </w:rPr>
        <w:t>December 31, 2023 consisted primarily of</w:t>
      </w:r>
      <w:r>
        <w:rPr>
          <w:rFonts w:ascii="Times New Roman" w:cs="Times New Roman" w:eastAsia="Times New Roman" w:hAnsi="Times New Roman"/>
          <w:sz w:val="18"/>
          <w:szCs w:val="18"/>
          <w:color w:val="auto"/>
        </w:rPr>
        <w:t xml:space="preserve"> $37.9 million </w:t>
      </w:r>
      <w:r>
        <w:rPr>
          <w:rFonts w:ascii="Times New Roman" w:cs="Times New Roman" w:eastAsia="Times New Roman" w:hAnsi="Times New Roman"/>
          <w:sz w:val="18"/>
          <w:szCs w:val="18"/>
          <w:color w:val="231F20"/>
        </w:rPr>
        <w:t>of net proceeds from our Purchase Agreement, partially offset by</w:t>
      </w:r>
      <w:r>
        <w:rPr>
          <w:rFonts w:ascii="Times New Roman" w:cs="Times New Roman" w:eastAsia="Times New Roman" w:hAnsi="Times New Roman"/>
          <w:sz w:val="18"/>
          <w:szCs w:val="18"/>
          <w:color w:val="auto"/>
        </w:rPr>
        <w:t xml:space="preserve"> $31.8 million </w:t>
      </w:r>
      <w:r>
        <w:rPr>
          <w:rFonts w:ascii="Times New Roman" w:cs="Times New Roman" w:eastAsia="Times New Roman" w:hAnsi="Times New Roman"/>
          <w:sz w:val="18"/>
          <w:szCs w:val="18"/>
          <w:color w:val="231F20"/>
        </w:rPr>
        <w:t>of cash payments related to the</w:t>
      </w:r>
      <w:r>
        <w:rPr>
          <w:rFonts w:ascii="Times New Roman" w:cs="Times New Roman" w:eastAsia="Times New Roman" w:hAnsi="Times New Roman"/>
          <w:sz w:val="18"/>
          <w:szCs w:val="18"/>
          <w:color w:val="auto"/>
        </w:rPr>
        <w:t xml:space="preserve"> repayment of our loan agreement with SVB.</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Off-Balance Sheet Arrangements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We did not have during the periods presented, and we do not currently have, any off-balance sheet arrangements, as defined in SEC rules and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Critical Accounting Estimates</w:t>
      </w:r>
    </w:p>
    <w:p>
      <w:pPr>
        <w:spacing w:after="0" w:line="19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231F20"/>
        </w:rPr>
        <w:t>Our discussion and analysis of our financial condition and results of operations are based upon our consolidated financial statements, which have been prepared in accordance with accounting principles generally accepted in the United States of America. The preparation of our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spacing w:after="0" w:line="151" w:lineRule="exact"/>
        <w:rPr>
          <w:sz w:val="20"/>
          <w:szCs w:val="20"/>
          <w:color w:val="auto"/>
        </w:rPr>
      </w:pPr>
    </w:p>
    <w:p>
      <w:pPr>
        <w:ind w:right="180" w:firstLine="318"/>
        <w:spacing w:after="0" w:line="258" w:lineRule="auto"/>
        <w:rPr>
          <w:sz w:val="20"/>
          <w:szCs w:val="20"/>
          <w:color w:val="auto"/>
        </w:rPr>
      </w:pPr>
      <w:r>
        <w:rPr>
          <w:rFonts w:ascii="Times New Roman" w:cs="Times New Roman" w:eastAsia="Times New Roman" w:hAnsi="Times New Roman"/>
          <w:sz w:val="18"/>
          <w:szCs w:val="18"/>
          <w:color w:val="231F20"/>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Our critical accounting policies are summarized below.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Contingent Earnout Liability</w:t>
      </w:r>
    </w:p>
    <w:p>
      <w:pPr>
        <w:spacing w:after="0" w:line="192" w:lineRule="exact"/>
        <w:rPr>
          <w:sz w:val="20"/>
          <w:szCs w:val="20"/>
          <w:color w:val="auto"/>
        </w:rPr>
      </w:pPr>
    </w:p>
    <w:p>
      <w:pPr>
        <w:ind w:right="160" w:firstLine="318"/>
        <w:spacing w:after="0" w:line="250" w:lineRule="auto"/>
        <w:rPr>
          <w:sz w:val="20"/>
          <w:szCs w:val="20"/>
          <w:color w:val="auto"/>
        </w:rPr>
      </w:pPr>
      <w:r>
        <w:rPr>
          <w:rFonts w:ascii="Times New Roman" w:cs="Times New Roman" w:eastAsia="Times New Roman" w:hAnsi="Times New Roman"/>
          <w:sz w:val="18"/>
          <w:szCs w:val="18"/>
          <w:color w:val="231F20"/>
        </w:rPr>
        <w:t>In connection with the Reverse Recapitalization, Legacy Humacyte equity holders are entitled to receive as additional merger consideration of up to 15,000,000 shares of our common stock in the aggregate, in two equal tranches of 7,500,000 shares of common stock per tranche, for no consideration upon the occurrence of certain triggering events, including a change of control event that is not solely indexed to the common stock. In accordance with ASC 815-40, as the Contingent Earnout Shares were not indexed to the common stock, they were accounted for as a liability at the Reverse Recapitalization date and subsequently remeasured at each reporting date with changes in fair value recorded as a component of other income (expense), net in the consolidated statements of operations and comprehensive loss.</w:t>
      </w:r>
    </w:p>
    <w:p>
      <w:pPr>
        <w:spacing w:after="0" w:line="149"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The estimated fair value of the Contingent Earnout Shares was determined using a Monte Carlo simulation valuation model using a distribution of potential outcomes on a monthly basis over a 10-year period prioritizing the most reliable information available. The assumptions utilized in the calculation were based on the achievement of certain stock price milestones, including our current common stock price, expected volatility, risk-free rate, expected term and expected dividend yield. See </w:t>
      </w:r>
      <w:r>
        <w:rPr>
          <w:rFonts w:ascii="Times New Roman" w:cs="Times New Roman" w:eastAsia="Times New Roman" w:hAnsi="Times New Roman"/>
          <w:sz w:val="18"/>
          <w:szCs w:val="18"/>
          <w:color w:val="000000"/>
        </w:rPr>
        <w:t>Note 9</w:t>
      </w:r>
      <w:r>
        <w:rPr>
          <w:rFonts w:ascii="Times New Roman" w:cs="Times New Roman" w:eastAsia="Times New Roman" w:hAnsi="Times New Roman"/>
          <w:sz w:val="18"/>
          <w:szCs w:val="18"/>
          <w:color w:val="231F20"/>
        </w:rPr>
        <w:t xml:space="preserve"> to our accompanying consolidated financial statements contained in Part II, Item 8 of this Annual Report on Form 10-K for further information regarding the assumptions used in the valuations at December 31, 2024 and 2023.</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40" w:firstLine="318"/>
        <w:spacing w:after="0" w:line="254" w:lineRule="auto"/>
        <w:rPr>
          <w:sz w:val="20"/>
          <w:szCs w:val="20"/>
          <w:color w:val="auto"/>
        </w:rPr>
      </w:pPr>
      <w:r>
        <w:rPr>
          <w:rFonts w:ascii="Times New Roman" w:cs="Times New Roman" w:eastAsia="Times New Roman" w:hAnsi="Times New Roman"/>
          <w:sz w:val="18"/>
          <w:szCs w:val="18"/>
          <w:color w:val="231F20"/>
        </w:rPr>
        <w:t xml:space="preserve">The Contingent Earnout Shares are categorized as a Level 3 fair value measurement (see “Fair Value of Financial Instruments” accounting policy described in </w:t>
      </w:r>
      <w:r>
        <w:rPr>
          <w:rFonts w:ascii="Times New Roman" w:cs="Times New Roman" w:eastAsia="Times New Roman" w:hAnsi="Times New Roman"/>
          <w:sz w:val="18"/>
          <w:szCs w:val="18"/>
          <w:color w:val="000000"/>
        </w:rPr>
        <w:t>Note 2</w:t>
      </w:r>
      <w:r>
        <w:rPr>
          <w:rFonts w:ascii="Times New Roman" w:cs="Times New Roman" w:eastAsia="Times New Roman" w:hAnsi="Times New Roman"/>
          <w:sz w:val="18"/>
          <w:szCs w:val="18"/>
          <w:color w:val="231F20"/>
        </w:rPr>
        <w:t xml:space="preserve"> to our financial statements contained elsewhere in this Annual Report on Form 10-K) because we estimated projections over a ten-year period utilizing unobservable inputs. Contingent earnout payments involve certain assumptions requiring significant judgment and actual results can differ from assumed and estimated amounts.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Interest Liability</w:t>
      </w:r>
    </w:p>
    <w:p>
      <w:pPr>
        <w:spacing w:after="0" w:line="179"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On May 12, 2023, we entered into the Purchase Agreement to obtain financing in respect to the further development and commercialization of our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to repay our credit facility with SVB, and for other general corporate purposes. We recorded a revenue interest liability related to the Purchase Agreement on our consolidated balance sheet on the date we entered into the Purchase Agreement, which is presented net of issuance costs and a debt discount. We impute interest expense associated with this liability using the interest method. The estimated effective interest rate is calculated based on the rate that would enable the debt to be repaid in full over the anticipated life of the arrangement. Interest expense and amortization of our issuance costs and debt discount is recognized over the estimated term in our consolidated statements of operations and comprehensive loss. The interest rate on the liability may vary during the term of the agreement primarily due to the level of forecasted net sales. We evaluate the interest rate quarterly based on our current net sales forecasts utilizing the prospective method. A significant increase or decrease in net sales could materially impact the revenue interest liability, interest expense and the time period for repayment.</w:t>
      </w:r>
    </w:p>
    <w:p>
      <w:pPr>
        <w:spacing w:after="0" w:line="153"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At December 31, 2024, the revenue interest liability is calculated using our current estimate of forecasted global net sales of our products, and impacted by a debt discount comprising the estimated fair value of a bifurcated derivative liability related to the Purchasers’ put option under the Purchase Agreement, the estimated fair value of a freestanding option agreement related to the Purchase Agreement, and issuance and transaction costs incurred. As Symvess is currently our only product approved for sale in the United States and we have not yet generated product revenue, the estimated probability and timing or amounts of repayment is likely to change each reporting period.</w:t>
      </w:r>
    </w:p>
    <w:p>
      <w:pPr>
        <w:spacing w:after="0" w:line="162"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The fair value of the contingent derivative liability is valued using a “with-and-without” method.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contingent derivative liability. The estimated probability and timing of underlying events triggering the exercisability of the contingent derivative liability bifurcated from within the Purchase Agreement, forecasted cash flows and the discount rate are significant unobservable inputs used to determine the estimated fair value of the entire instrument with the embedded derivative.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Stock-Based Compensation</w:t>
      </w:r>
    </w:p>
    <w:p>
      <w:pPr>
        <w:spacing w:after="0" w:line="179" w:lineRule="exact"/>
        <w:rPr>
          <w:sz w:val="20"/>
          <w:szCs w:val="20"/>
          <w:color w:val="auto"/>
        </w:rPr>
      </w:pPr>
    </w:p>
    <w:p>
      <w:pPr>
        <w:ind w:right="320" w:firstLine="318"/>
        <w:spacing w:after="0" w:line="258" w:lineRule="auto"/>
        <w:rPr>
          <w:sz w:val="20"/>
          <w:szCs w:val="20"/>
          <w:color w:val="auto"/>
        </w:rPr>
      </w:pPr>
      <w:r>
        <w:rPr>
          <w:rFonts w:ascii="Times New Roman" w:cs="Times New Roman" w:eastAsia="Times New Roman" w:hAnsi="Times New Roman"/>
          <w:sz w:val="18"/>
          <w:szCs w:val="18"/>
          <w:color w:val="231F20"/>
        </w:rPr>
        <w:t>We measure and recognize compensation expense for all options based on the estimated fair value of the award on the grant date. We use the Black-Scholes option-pricing model to estimate the fair value of option awards. The fair value is recognized as expense on a straight-line basis over the requisite service period. We account for forfeitures as they occur.</w:t>
      </w:r>
    </w:p>
    <w:p>
      <w:pPr>
        <w:spacing w:after="0" w:line="153"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The determination of the grant date fair value of options using an option pricing model is affected principally by our estimated fair value of shares of our common stock and requires management to make a number of other assumptions, including the expected term of the option, the volatility of the underlying shares, the risk-free interest rate and expected dividends. The assumptions used in our Black-Scholes option-pricing model represent management’s good faith estimates at the time of measurement. These estimates are complex,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These assumptions are estimated as follows:</w:t>
      </w:r>
    </w:p>
    <w:p>
      <w:pPr>
        <w:spacing w:after="0" w:line="175" w:lineRule="exact"/>
        <w:rPr>
          <w:sz w:val="20"/>
          <w:szCs w:val="20"/>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Fair Value of Common Stock</w:t>
      </w:r>
      <w:r>
        <w:rPr>
          <w:rFonts w:ascii="Times New Roman" w:cs="Times New Roman" w:eastAsia="Times New Roman" w:hAnsi="Times New Roman"/>
          <w:sz w:val="18"/>
          <w:szCs w:val="18"/>
          <w:color w:val="231F20"/>
        </w:rPr>
        <w:t>. The fair value of our Common Stock has been determined based on the closing price of the shares on Nasdaq.</w:t>
      </w:r>
    </w:p>
    <w:p>
      <w:pPr>
        <w:spacing w:after="0" w:line="190" w:lineRule="exact"/>
        <w:rPr>
          <w:rFonts w:ascii="Times New Roman" w:cs="Times New Roman" w:eastAsia="Times New Roman" w:hAnsi="Times New Roman"/>
          <w:sz w:val="18"/>
          <w:szCs w:val="18"/>
          <w:color w:val="231F20"/>
        </w:rPr>
      </w:pPr>
    </w:p>
    <w:p>
      <w:pPr>
        <w:ind w:left="640" w:right="60" w:hanging="316"/>
        <w:spacing w:after="0" w:line="254" w:lineRule="auto"/>
        <w:tabs>
          <w:tab w:leader="none" w:pos="635"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Expected Term</w:t>
      </w:r>
      <w:r>
        <w:rPr>
          <w:rFonts w:ascii="Times New Roman" w:cs="Times New Roman" w:eastAsia="Times New Roman" w:hAnsi="Times New Roman"/>
          <w:sz w:val="18"/>
          <w:szCs w:val="18"/>
          <w:color w:val="231F20"/>
        </w:rPr>
        <w:t>. The expected term represents the period that stock options are expected to be outstanding. We calculated the expected term using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w:t>
      </w:r>
    </w:p>
    <w:p>
      <w:pPr>
        <w:spacing w:after="0" w:line="200" w:lineRule="exact"/>
        <w:rPr>
          <w:sz w:val="20"/>
          <w:szCs w:val="20"/>
          <w:color w:val="auto"/>
        </w:rPr>
      </w:pPr>
    </w:p>
    <w:p>
      <w:pPr>
        <w:spacing w:after="0" w:line="35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93"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right="240"/>
        <w:spacing w:after="0" w:line="271" w:lineRule="auto"/>
        <w:rPr>
          <w:sz w:val="20"/>
          <w:szCs w:val="20"/>
          <w:color w:val="auto"/>
        </w:rPr>
      </w:pPr>
      <w:r>
        <w:rPr>
          <w:rFonts w:ascii="Times New Roman" w:cs="Times New Roman" w:eastAsia="Times New Roman" w:hAnsi="Times New Roman"/>
          <w:sz w:val="18"/>
          <w:szCs w:val="18"/>
          <w:color w:val="231F20"/>
        </w:rPr>
        <w:t>the expected term under this method. For awards with multiple vesting-tranches, the times from grant until the mid-points for each of the tranches may be averaged to provide an overall expected term.</w:t>
      </w:r>
    </w:p>
    <w:p>
      <w:pPr>
        <w:spacing w:after="0" w:line="126" w:lineRule="exact"/>
        <w:rPr>
          <w:sz w:val="20"/>
          <w:szCs w:val="20"/>
          <w:color w:val="auto"/>
        </w:rPr>
      </w:pPr>
    </w:p>
    <w:p>
      <w:pPr>
        <w:ind w:left="640" w:right="20" w:hanging="316"/>
        <w:spacing w:after="0" w:line="254" w:lineRule="auto"/>
        <w:tabs>
          <w:tab w:leader="none" w:pos="63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Expected Volatility</w:t>
      </w:r>
      <w:r>
        <w:rPr>
          <w:rFonts w:ascii="Times New Roman" w:cs="Times New Roman" w:eastAsia="Times New Roman" w:hAnsi="Times New Roman"/>
          <w:sz w:val="18"/>
          <w:szCs w:val="18"/>
          <w:color w:val="231F20"/>
        </w:rPr>
        <w:t>. The expected volatility was determined based on a blended approach using the historical share volatility of our Common Stock</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and that of several publicly traded peer companies over a period of time equal to the expected term of the options, as we have limited trading history. For purposes of identifying these peer companies, we considered the industry, stage of development, size and financial leverage of potential comparable companies.</w:t>
      </w:r>
    </w:p>
    <w:p>
      <w:pPr>
        <w:spacing w:after="0" w:line="142" w:lineRule="exact"/>
        <w:rPr>
          <w:rFonts w:ascii="Times New Roman" w:cs="Times New Roman" w:eastAsia="Times New Roman" w:hAnsi="Times New Roman"/>
          <w:sz w:val="18"/>
          <w:szCs w:val="18"/>
          <w:color w:val="231F20"/>
        </w:rPr>
      </w:pPr>
    </w:p>
    <w:p>
      <w:pPr>
        <w:ind w:left="640" w:right="20" w:hanging="316"/>
        <w:spacing w:after="0" w:line="273" w:lineRule="auto"/>
        <w:tabs>
          <w:tab w:leader="none" w:pos="63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Risk-Free Interest Rate</w:t>
      </w:r>
      <w:r>
        <w:rPr>
          <w:rFonts w:ascii="Times New Roman" w:cs="Times New Roman" w:eastAsia="Times New Roman" w:hAnsi="Times New Roman"/>
          <w:sz w:val="18"/>
          <w:szCs w:val="18"/>
          <w:color w:val="231F20"/>
        </w:rPr>
        <w:t>. The risk-free interest rate was based on the yields of U.S. Treasury zero-coupon securities with maturities similar in duration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to the expected term of the options.</w:t>
      </w:r>
    </w:p>
    <w:p>
      <w:pPr>
        <w:spacing w:after="0" w:line="137" w:lineRule="exact"/>
        <w:rPr>
          <w:rFonts w:ascii="Times New Roman" w:cs="Times New Roman" w:eastAsia="Times New Roman" w:hAnsi="Times New Roman"/>
          <w:sz w:val="18"/>
          <w:szCs w:val="18"/>
          <w:color w:val="231F20"/>
        </w:rPr>
      </w:pPr>
    </w:p>
    <w:p>
      <w:pPr>
        <w:ind w:left="640" w:right="860" w:hanging="316"/>
        <w:spacing w:after="0" w:line="273" w:lineRule="auto"/>
        <w:tabs>
          <w:tab w:leader="none" w:pos="63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Expected Dividend Yield</w:t>
      </w:r>
      <w:r>
        <w:rPr>
          <w:rFonts w:ascii="Times New Roman" w:cs="Times New Roman" w:eastAsia="Times New Roman" w:hAnsi="Times New Roman"/>
          <w:sz w:val="18"/>
          <w:szCs w:val="18"/>
          <w:color w:val="231F20"/>
        </w:rPr>
        <w:t>. We have not paid dividends on our Common Stock nor do we expect to pay dividends in the foreseeable future.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Accordingly, we have estimated the dividend yield to be zero.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Common Stock Warrants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Public and Private Placement Warrants</w:t>
      </w:r>
    </w:p>
    <w:p>
      <w:pPr>
        <w:spacing w:after="0" w:line="192" w:lineRule="exact"/>
        <w:rPr>
          <w:sz w:val="20"/>
          <w:szCs w:val="20"/>
          <w:color w:val="auto"/>
        </w:rPr>
      </w:pPr>
    </w:p>
    <w:p>
      <w:pPr>
        <w:ind w:right="200" w:firstLine="318"/>
        <w:spacing w:after="0" w:line="254" w:lineRule="auto"/>
        <w:rPr>
          <w:sz w:val="20"/>
          <w:szCs w:val="20"/>
          <w:color w:val="auto"/>
        </w:rPr>
      </w:pPr>
      <w:r>
        <w:rPr>
          <w:rFonts w:ascii="Times New Roman" w:cs="Times New Roman" w:eastAsia="Times New Roman" w:hAnsi="Times New Roman"/>
          <w:sz w:val="18"/>
          <w:szCs w:val="18"/>
          <w:color w:val="231F20"/>
        </w:rPr>
        <w:t xml:space="preserve">Under the Merger, we assumed 5,000,000 publicly-traded warrants (“Public Warrants”) and 177,500 private placement warrants issued to AHAC in connection with AHAC’s initial public offering (“Private Placement Warrants” and, together with the Public Warrants, the “Common Stock Warrants”). We account for the Common Stock Warrants in accordance with the guidance contained in ASC Topic 480, </w:t>
      </w:r>
      <w:r>
        <w:rPr>
          <w:rFonts w:ascii="Times New Roman" w:cs="Times New Roman" w:eastAsia="Times New Roman" w:hAnsi="Times New Roman"/>
          <w:sz w:val="18"/>
          <w:szCs w:val="18"/>
          <w:i w:val="1"/>
          <w:iCs w:val="1"/>
          <w:color w:val="231F20"/>
        </w:rPr>
        <w:t>Distinguishing Liabilities from Equity (</w:t>
      </w:r>
      <w:r>
        <w:rPr>
          <w:rFonts w:ascii="Times New Roman" w:cs="Times New Roman" w:eastAsia="Times New Roman" w:hAnsi="Times New Roman"/>
          <w:sz w:val="18"/>
          <w:szCs w:val="18"/>
          <w:color w:val="231F20"/>
        </w:rPr>
        <w:t xml:space="preserve">“ASC 480”) and ASC Topic 815, </w:t>
      </w:r>
      <w:r>
        <w:rPr>
          <w:rFonts w:ascii="Times New Roman" w:cs="Times New Roman" w:eastAsia="Times New Roman" w:hAnsi="Times New Roman"/>
          <w:sz w:val="18"/>
          <w:szCs w:val="18"/>
          <w:i w:val="1"/>
          <w:iCs w:val="1"/>
          <w:color w:val="231F20"/>
        </w:rPr>
        <w:t>Derivatives and Hedging (</w:t>
      </w:r>
      <w:r>
        <w:rPr>
          <w:rFonts w:ascii="Times New Roman" w:cs="Times New Roman" w:eastAsia="Times New Roman" w:hAnsi="Times New Roman"/>
          <w:sz w:val="18"/>
          <w:szCs w:val="18"/>
          <w:color w:val="231F20"/>
        </w:rPr>
        <w:t>“ASC 815”)</w:t>
      </w:r>
      <w:r>
        <w:rPr>
          <w:rFonts w:ascii="Times New Roman" w:cs="Times New Roman" w:eastAsia="Times New Roman" w:hAnsi="Times New Roman"/>
          <w:sz w:val="18"/>
          <w:szCs w:val="18"/>
          <w:i w:val="1"/>
          <w:iCs w:val="1"/>
          <w:color w:val="231F20"/>
        </w:rPr>
        <w:t>.</w:t>
      </w:r>
    </w:p>
    <w:p>
      <w:pPr>
        <w:spacing w:after="0" w:line="143"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 xml:space="preserve">We accounted for the Private Placement Warrants in accordance with the guidance contained in ASC 815, under which the warrants did not meet the criteria for equity treatment and must be recorded as liabilities. As the Private Placement Warrants met the definition of a derivative under ASC 815, we recorded these warrants as liabilities on the consolidated balance sheet at fair value, with subsequent changes in their respective fair values recognized in the consolidated statements of operations and comprehensive loss at each reporting date. The fair value of the warrants was estimated using a Monte Carlo simulation value model utilizing assumptions including our current common stock price, expected volatility, risk-free rate, expected term and expected dividend yield. The fair value of the Private Placement Warrants is based on significant unobservable inputs, which represent Level 3 fair value measurements within the fair value hierarchy (see “Fair Value of Financial Instruments” accounting policy described in </w:t>
      </w:r>
      <w:r>
        <w:rPr>
          <w:rFonts w:ascii="Times New Roman" w:cs="Times New Roman" w:eastAsia="Times New Roman" w:hAnsi="Times New Roman"/>
          <w:sz w:val="18"/>
          <w:szCs w:val="18"/>
          <w:color w:val="000000"/>
        </w:rPr>
        <w:t>Note 2</w:t>
      </w:r>
      <w:r>
        <w:rPr>
          <w:rFonts w:ascii="Times New Roman" w:cs="Times New Roman" w:eastAsia="Times New Roman" w:hAnsi="Times New Roman"/>
          <w:sz w:val="18"/>
          <w:szCs w:val="18"/>
          <w:color w:val="231F20"/>
        </w:rPr>
        <w:t xml:space="preserve"> to our accompanying consolidated financial statements contained in Part II, Item 8 of this Annual Report on Form 10-K). Determining the fair value of the Private Placement Warrants involves certain assumptions requiring significant judgment and actual results can differ from assumed and estimated amounts.</w:t>
      </w:r>
    </w:p>
    <w:p>
      <w:pPr>
        <w:spacing w:after="0" w:line="153"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231F20"/>
        </w:rPr>
        <w:t>The Public Warrants are considered to be “indexed to the Company’s own stock” and as we have a single class of common stock, a qualifying cash tender offer of more than 50% of Common Stock will always result in a change-in-control and would not preclude permanent equity classification of the Public Warrants. Based on this evaluation, we concluded that the Public Warrants met the criteria to be classified within stockholders’ equity.</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Registered Direct Offering Warrants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accounted for the common stock warrants issued in the Registered Direct Offerings in accordance with the guidance contained in ASC 480 and ASC</w:t>
      </w:r>
    </w:p>
    <w:p>
      <w:pPr>
        <w:spacing w:after="0" w:line="34" w:lineRule="exact"/>
        <w:rPr>
          <w:sz w:val="20"/>
          <w:szCs w:val="20"/>
          <w:color w:val="auto"/>
        </w:rPr>
      </w:pPr>
    </w:p>
    <w:p>
      <w:pPr>
        <w:ind w:firstLine="6"/>
        <w:spacing w:after="0" w:line="246" w:lineRule="auto"/>
        <w:tabs>
          <w:tab w:leader="none" w:pos="35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Registered Direct Offering Warrants (as defined in Note 2 </w:t>
      </w:r>
      <w:r>
        <w:rPr>
          <w:rFonts w:ascii="Times New Roman" w:cs="Times New Roman" w:eastAsia="Times New Roman" w:hAnsi="Times New Roman"/>
          <w:sz w:val="18"/>
          <w:szCs w:val="18"/>
          <w:color w:val="231F20"/>
        </w:rPr>
        <w:t>to our accompanying consolidated financial statements contained in Part II, Item 8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Annual Report on Form 10-K) </w:t>
      </w:r>
      <w:r>
        <w:rPr>
          <w:rFonts w:ascii="Times New Roman" w:cs="Times New Roman" w:eastAsia="Times New Roman" w:hAnsi="Times New Roman"/>
          <w:sz w:val="18"/>
          <w:szCs w:val="18"/>
          <w:color w:val="000000"/>
        </w:rPr>
        <w:t>did not meet the criteria for equity treatment and must be recorded as liabilities. As the Registered Direct Offering Warrants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meet the definition of a </w:t>
      </w:r>
      <w:r>
        <w:rPr>
          <w:rFonts w:ascii="Times New Roman" w:cs="Times New Roman" w:eastAsia="Times New Roman" w:hAnsi="Times New Roman"/>
          <w:sz w:val="18"/>
          <w:szCs w:val="18"/>
          <w:color w:val="231F20"/>
        </w:rPr>
        <w:t>derivative under ASC 815, we recorded these warrants as liabilities on the consolidated balance sheet at fair value, with subsequent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changes in their respective fair values recognized in the consolidated statements of operations and comprehensive loss at each reporting date. The fair value of the warrants was estimated using a Black-Scholes valuation model utilizing assumptions including our current common stock price, expected volatility, risk-free rate, expected term and expected dividend yield. The fair value of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is based on significant unobservable inputs, which represent Level 3 fair value measurements within the fair value hierarchy (see “Fair Value of Financial Instruments” accounting policy described in </w:t>
      </w:r>
      <w:r>
        <w:rPr>
          <w:rFonts w:ascii="Times New Roman" w:cs="Times New Roman" w:eastAsia="Times New Roman" w:hAnsi="Times New Roman"/>
          <w:sz w:val="18"/>
          <w:szCs w:val="18"/>
          <w:color w:val="000000"/>
        </w:rPr>
        <w:t xml:space="preserve">Note 2 </w:t>
      </w:r>
      <w:r>
        <w:rPr>
          <w:rFonts w:ascii="Times New Roman" w:cs="Times New Roman" w:eastAsia="Times New Roman" w:hAnsi="Times New Roman"/>
          <w:sz w:val="18"/>
          <w:szCs w:val="18"/>
          <w:color w:val="231F20"/>
        </w:rPr>
        <w:t>to our accompanying consolidated financial statements contained in Part II, Item 8 of this Annual Report on Form 10-K). Determining the fair value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involves certain assumptions requiring significant judgment and actual results can differ from assumed and estimated amounts.</w:t>
      </w:r>
    </w:p>
    <w:p>
      <w:pPr>
        <w:spacing w:after="0" w:line="200" w:lineRule="exact"/>
        <w:rPr>
          <w:sz w:val="20"/>
          <w:szCs w:val="20"/>
          <w:color w:val="auto"/>
        </w:rPr>
      </w:pPr>
    </w:p>
    <w:p>
      <w:pPr>
        <w:spacing w:after="0" w:line="36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293" w:right="3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Emerging Growth Company and Smaller Reporting Company Status</w:t>
      </w:r>
    </w:p>
    <w:p>
      <w:pPr>
        <w:spacing w:after="0" w:line="181"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231F20"/>
        </w:rPr>
        <w:t>We are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This may make it difficult or impossible to compare our financial results with the financial results of another public company because of the potential differences in accounting standards used.</w:t>
      </w:r>
    </w:p>
    <w:p>
      <w:pPr>
        <w:spacing w:after="0" w:line="148"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231F20"/>
        </w:rPr>
        <w:t>Additionally, we are a “smaller reporting company” as defined in Item 10(f)(1) of Regulation S-K under the Exchange Act (“Regulation S-K”).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its second fiscal quarter are less than $100 million and the market value of Common Stock held by non-affiliates is less than $700 million as of the last business day of the second fiscal quarter.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7A. Quantitative and Qualitative Disclosures About Market Risk</w:t>
      </w:r>
    </w:p>
    <w:p>
      <w:pPr>
        <w:spacing w:after="0" w:line="17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231F20"/>
        </w:rPr>
        <w:t>We qualify as a smaller reporting company, as defined by Item 10 of Regulation S-K and, thus, are not required to provide the information required by this Item.</w:t>
      </w:r>
    </w:p>
    <w:p>
      <w:pPr>
        <w:spacing w:after="0" w:line="200" w:lineRule="exact"/>
        <w:rPr>
          <w:sz w:val="20"/>
          <w:szCs w:val="20"/>
          <w:color w:val="auto"/>
        </w:rPr>
      </w:pPr>
    </w:p>
    <w:p>
      <w:pPr>
        <w:spacing w:after="0" w:line="3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231F20"/>
        </w:rPr>
        <w:t>Item 8. Financial Statements and Supplementary Data.</w:t>
      </w:r>
    </w:p>
    <w:p>
      <w:pPr>
        <w:spacing w:after="0" w:line="17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231F20"/>
        </w:rPr>
        <w:t>INDEX TO CONSOLIDATED FINANCIAL STATEMENTS</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00" w:type="dxa"/>
            <w:vAlign w:val="bottom"/>
          </w:tcPr>
          <w:p>
            <w:pPr>
              <w:spacing w:after="0"/>
              <w:rPr>
                <w:sz w:val="16"/>
                <w:szCs w:val="16"/>
                <w:color w:val="auto"/>
              </w:rPr>
            </w:pPr>
          </w:p>
        </w:tc>
      </w:tr>
      <w:tr>
        <w:trPr>
          <w:trHeight w:val="24"/>
        </w:trPr>
        <w:tc>
          <w:tcPr>
            <w:tcW w:w="34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79"/>
        </w:trPr>
        <w:tc>
          <w:tcPr>
            <w:tcW w:w="340" w:type="dxa"/>
            <w:vAlign w:val="bottom"/>
            <w:tcBorders>
              <w:right w:val="single" w:sz="8" w:color="CCEEFF"/>
            </w:tcBorders>
          </w:tcPr>
          <w:p>
            <w:pPr>
              <w:spacing w:after="0"/>
              <w:rPr>
                <w:sz w:val="15"/>
                <w:szCs w:val="15"/>
                <w:color w:val="auto"/>
              </w:rPr>
            </w:pPr>
          </w:p>
        </w:tc>
        <w:tc>
          <w:tcPr>
            <w:tcW w:w="9740" w:type="dxa"/>
            <w:vAlign w:val="bottom"/>
            <w:gridSpan w:val="7"/>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1160" w:type="dxa"/>
            <w:vAlign w:val="bottom"/>
            <w:shd w:val="clear" w:color="auto" w:fill="CCEEFF"/>
          </w:tcPr>
          <w:p>
            <w:pPr>
              <w:ind w:left="600"/>
              <w:spacing w:after="0" w:line="178" w:lineRule="exact"/>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5"/>
                <w:szCs w:val="15"/>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308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380"/>
        </w:trPr>
        <w:tc>
          <w:tcPr>
            <w:tcW w:w="340" w:type="dxa"/>
            <w:vAlign w:val="bottom"/>
          </w:tcPr>
          <w:p>
            <w:pPr>
              <w:spacing w:after="0"/>
              <w:rPr>
                <w:sz w:val="24"/>
                <w:szCs w:val="24"/>
                <w:color w:val="auto"/>
              </w:rPr>
            </w:pPr>
          </w:p>
        </w:tc>
        <w:tc>
          <w:tcPr>
            <w:tcW w:w="4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Consolidated Balance Sheets as of December 31, 2024 and 2023</w:t>
            </w:r>
          </w:p>
        </w:tc>
        <w:tc>
          <w:tcPr>
            <w:tcW w:w="5180" w:type="dxa"/>
            <w:vAlign w:val="bottom"/>
            <w:gridSpan w:val="4"/>
          </w:tcPr>
          <w:p>
            <w:pPr>
              <w:spacing w:after="0"/>
              <w:rPr>
                <w:sz w:val="24"/>
                <w:szCs w:val="24"/>
                <w:color w:val="auto"/>
              </w:rPr>
            </w:pP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4"/>
                <w:szCs w:val="24"/>
                <w:color w:val="auto"/>
              </w:rPr>
            </w:pPr>
          </w:p>
        </w:tc>
      </w:tr>
      <w:tr>
        <w:trPr>
          <w:trHeight w:val="380"/>
        </w:trPr>
        <w:tc>
          <w:tcPr>
            <w:tcW w:w="340" w:type="dxa"/>
            <w:vAlign w:val="bottom"/>
            <w:tcBorders>
              <w:right w:val="single" w:sz="8" w:color="CCEEFF"/>
            </w:tcBorders>
          </w:tcPr>
          <w:p>
            <w:pPr>
              <w:spacing w:after="0"/>
              <w:rPr>
                <w:sz w:val="24"/>
                <w:szCs w:val="24"/>
                <w:color w:val="auto"/>
              </w:rPr>
            </w:pPr>
          </w:p>
        </w:tc>
        <w:tc>
          <w:tcPr>
            <w:tcW w:w="9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2024 and 2023</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4"/>
                <w:szCs w:val="24"/>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308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800" w:type="dxa"/>
            <w:vAlign w:val="bottom"/>
            <w:shd w:val="clear" w:color="auto" w:fill="0000FF"/>
          </w:tcPr>
          <w:p>
            <w:pPr>
              <w:spacing w:after="0"/>
              <w:rPr>
                <w:sz w:val="3"/>
                <w:szCs w:val="3"/>
                <w:color w:val="auto"/>
              </w:rPr>
            </w:pPr>
          </w:p>
        </w:tc>
        <w:tc>
          <w:tcPr>
            <w:tcW w:w="1760" w:type="dxa"/>
            <w:vAlign w:val="bottom"/>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380"/>
        </w:trPr>
        <w:tc>
          <w:tcPr>
            <w:tcW w:w="34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(Deficit) for the Years ended December 31, 2024 and 2023</w:t>
            </w: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4"/>
                <w:szCs w:val="24"/>
                <w:color w:val="auto"/>
              </w:rPr>
            </w:pPr>
          </w:p>
        </w:tc>
      </w:tr>
      <w:tr>
        <w:trPr>
          <w:trHeight w:val="400"/>
        </w:trPr>
        <w:tc>
          <w:tcPr>
            <w:tcW w:w="340" w:type="dxa"/>
            <w:vAlign w:val="bottom"/>
            <w:tcBorders>
              <w:right w:val="single" w:sz="8" w:color="CCEEFF"/>
            </w:tcBorders>
          </w:tcPr>
          <w:p>
            <w:pPr>
              <w:spacing w:after="0"/>
              <w:rPr>
                <w:sz w:val="24"/>
                <w:szCs w:val="24"/>
                <w:color w:val="auto"/>
              </w:rPr>
            </w:pPr>
          </w:p>
        </w:tc>
        <w:tc>
          <w:tcPr>
            <w:tcW w:w="6360" w:type="dxa"/>
            <w:vAlign w:val="bottom"/>
            <w:tcBorders>
              <w:top w:val="single" w:sz="8" w:color="0000FF"/>
              <w:bottom w:val="single" w:sz="8" w:color="0000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w w:val="97"/>
              </w:rPr>
              <w:t>Consolidated Statements of Cash Flows for the Years ended December 31, 2024 and 2023</w:t>
            </w:r>
          </w:p>
        </w:tc>
        <w:tc>
          <w:tcPr>
            <w:tcW w:w="2140" w:type="dxa"/>
            <w:vAlign w:val="bottom"/>
            <w:tcBorders>
              <w:top w:val="single" w:sz="8" w:color="0000FF"/>
              <w:bottom w:val="single" w:sz="8" w:color="CCEEFF"/>
            </w:tcBorders>
            <w:gridSpan w:val="2"/>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371"/>
        </w:trPr>
        <w:tc>
          <w:tcPr>
            <w:tcW w:w="34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4"/>
                <w:szCs w:val="24"/>
                <w:color w:val="auto"/>
              </w:rPr>
            </w:pPr>
          </w:p>
        </w:tc>
      </w:tr>
      <w:tr>
        <w:trPr>
          <w:trHeight w:val="932"/>
        </w:trPr>
        <w:tc>
          <w:tcPr>
            <w:tcW w:w="340" w:type="dxa"/>
            <w:vAlign w:val="bottom"/>
          </w:tcPr>
          <w:p>
            <w:pPr>
              <w:spacing w:after="0"/>
              <w:rPr>
                <w:sz w:val="24"/>
                <w:szCs w:val="24"/>
                <w:color w:val="auto"/>
              </w:rPr>
            </w:pPr>
          </w:p>
        </w:tc>
        <w:tc>
          <w:tcPr>
            <w:tcW w:w="3080" w:type="dxa"/>
            <w:vAlign w:val="bottom"/>
            <w:tcBorders>
              <w:top w:val="single" w:sz="8" w:color="0000FF"/>
            </w:tcBorders>
          </w:tcPr>
          <w:p>
            <w:pPr>
              <w:spacing w:after="0"/>
              <w:rPr>
                <w:sz w:val="24"/>
                <w:szCs w:val="24"/>
                <w:color w:val="auto"/>
              </w:rPr>
            </w:pPr>
          </w:p>
        </w:tc>
        <w:tc>
          <w:tcPr>
            <w:tcW w:w="32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114</w:t>
            </w: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340" w:type="dxa"/>
            <w:vAlign w:val="bottom"/>
            <w:tcBorders>
              <w:bottom w:val="single" w:sz="8" w:color="9A9A9A"/>
            </w:tcBorders>
          </w:tcPr>
          <w:p>
            <w:pPr>
              <w:spacing w:after="0"/>
              <w:rPr>
                <w:sz w:val="7"/>
                <w:szCs w:val="7"/>
                <w:color w:val="auto"/>
              </w:rPr>
            </w:pPr>
          </w:p>
        </w:tc>
        <w:tc>
          <w:tcPr>
            <w:tcW w:w="30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293"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220" w:firstLine="3569"/>
        <w:spacing w:after="0" w:line="532" w:lineRule="auto"/>
        <w:rPr>
          <w:sz w:val="20"/>
          <w:szCs w:val="20"/>
          <w:color w:val="auto"/>
        </w:rPr>
      </w:pPr>
      <w:r>
        <w:rPr>
          <w:rFonts w:ascii="Times New Roman" w:cs="Times New Roman" w:eastAsia="Times New Roman" w:hAnsi="Times New Roman"/>
          <w:sz w:val="18"/>
          <w:szCs w:val="18"/>
          <w:b w:val="1"/>
          <w:bCs w:val="1"/>
          <w:color w:val="231F20"/>
        </w:rPr>
        <w:t xml:space="preserve">Report of Independent Registered Public Accounting Firm </w:t>
      </w:r>
      <w:r>
        <w:rPr>
          <w:rFonts w:ascii="Times New Roman" w:cs="Times New Roman" w:eastAsia="Times New Roman" w:hAnsi="Times New Roman"/>
          <w:sz w:val="18"/>
          <w:szCs w:val="18"/>
          <w:color w:val="231F20"/>
        </w:rPr>
        <w:t xml:space="preserve">To the Board of Directors and Stockholders of Humacyte, Inc. </w:t>
      </w:r>
      <w:r>
        <w:rPr>
          <w:rFonts w:ascii="Times New Roman" w:cs="Times New Roman" w:eastAsia="Times New Roman" w:hAnsi="Times New Roman"/>
          <w:sz w:val="18"/>
          <w:szCs w:val="18"/>
          <w:b w:val="1"/>
          <w:bCs w:val="1"/>
          <w:i w:val="1"/>
          <w:iCs w:val="1"/>
          <w:color w:val="231F20"/>
        </w:rPr>
        <w:t>Opinion on the Financial Statements</w:t>
      </w:r>
    </w:p>
    <w:p>
      <w:pPr>
        <w:spacing w:after="0" w:line="24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Humacyte, Inc. and its subsidiaries (the “Company”) as of December 31, 2024 and 2023, and the related consolidated statements of operations and comprehensive loss, of changes in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68"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w:t>
      </w:r>
    </w:p>
    <w:p>
      <w:pPr>
        <w:spacing w:after="0" w:line="181"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has incurred operating losses and negative cash flows from operations since inception. Management’s evaluation of the events and conditions and management’s plans to mitigate these matters are also described in Note 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 PricewaterhouseCoopers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Raleigh, North Carolina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CONSOLIDATED BALANCE SHEETS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(in thousands except for share and per share amounts)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231F20"/>
              </w:rPr>
              <w:t>As of December 31,</w:t>
            </w:r>
          </w:p>
        </w:tc>
      </w:tr>
      <w:tr>
        <w:trPr>
          <w:trHeight w:val="37"/>
        </w:trPr>
        <w:tc>
          <w:tcPr>
            <w:tcW w:w="8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5"/>
        </w:trPr>
        <w:tc>
          <w:tcPr>
            <w:tcW w:w="8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5"/>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80,448</w:t>
            </w:r>
          </w:p>
        </w:tc>
      </w:tr>
      <w:tr>
        <w:trPr>
          <w:trHeight w:val="225"/>
        </w:trPr>
        <w:tc>
          <w:tcPr>
            <w:tcW w:w="83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18"/>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83,278</w:t>
            </w:r>
          </w:p>
        </w:tc>
      </w:tr>
      <w:tr>
        <w:trPr>
          <w:trHeight w:val="212"/>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5"/>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26,791</w:t>
            </w: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17,313</w:t>
            </w:r>
          </w:p>
        </w:tc>
      </w:tr>
      <w:tr>
        <w:trPr>
          <w:trHeight w:val="225"/>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43"/>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128,223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r>
      <w:tr>
        <w:trPr>
          <w:trHeight w:val="225"/>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w:t>
            </w:r>
          </w:p>
        </w:tc>
      </w:tr>
      <w:tr>
        <w:trPr>
          <w:trHeight w:val="225"/>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Finance lease obligation, current portion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25"/>
        </w:trPr>
        <w:tc>
          <w:tcPr>
            <w:tcW w:w="83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8"/>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18,443</w:t>
            </w:r>
          </w:p>
        </w:tc>
      </w:tr>
      <w:tr>
        <w:trPr>
          <w:trHeight w:val="212"/>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r>
      <w:tr>
        <w:trPr>
          <w:trHeight w:val="225"/>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interest liability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38,600</w:t>
            </w: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5"/>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 net of current portion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16,293</w:t>
            </w: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derivative liability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25"/>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18"/>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190,541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114,677</w:t>
            </w:r>
          </w:p>
        </w:tc>
      </w:tr>
      <w:tr>
        <w:trPr>
          <w:trHeight w:val="192"/>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59"/>
        </w:trPr>
        <w:tc>
          <w:tcPr>
            <w:tcW w:w="8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72"/>
        </w:trPr>
        <w:tc>
          <w:tcPr>
            <w:tcW w:w="834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Preferred stock, $0.0001 par value; 20,000,000 shares designated as of December 31, 2024 and 2023; 0 shares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8"/>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issued and outstanding as of December 31, 2024 and 2023</w:t>
            </w:r>
          </w:p>
        </w:tc>
        <w:tc>
          <w:tcPr>
            <w:tcW w:w="3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3"/>
        </w:trPr>
        <w:tc>
          <w:tcPr>
            <w:tcW w:w="834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8"/>
                <w:szCs w:val="18"/>
                <w:color w:val="auto"/>
                <w:w w:val="98"/>
              </w:rPr>
              <w:t>Common stock, $0.0001 par value; 250,000,000 shares authorized as of December 31, 2024 and 2023; 130,027,509</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8"/>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and 103,673,728 shares issued and outstanding as of December 31, 2024 and 2023, respectively</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550,850</w:t>
            </w:r>
          </w:p>
        </w:tc>
      </w:tr>
      <w:tr>
        <w:trPr>
          <w:trHeight w:val="225"/>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(537,314)</w:t>
            </w:r>
          </w:p>
        </w:tc>
      </w:tr>
      <w:tr>
        <w:trPr>
          <w:trHeight w:val="218"/>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13,546</w:t>
            </w:r>
          </w:p>
        </w:tc>
      </w:tr>
      <w:tr>
        <w:trPr>
          <w:trHeight w:val="243"/>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128,223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231F20"/>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CONSOLIDATED STATEMENTS OF OPERATIONS AND COMPREHENSIVE LOSS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(in thousands except for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88,599</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76,550</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23,497</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100,047</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(114,398)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(100,047)</w:t>
            </w:r>
          </w:p>
        </w:tc>
        <w:tc>
          <w:tcPr>
            <w:tcW w:w="0" w:type="dxa"/>
            <w:vAlign w:val="bottom"/>
          </w:tcPr>
          <w:p>
            <w:pPr>
              <w:spacing w:after="0"/>
              <w:rPr>
                <w:sz w:val="1"/>
                <w:szCs w:val="1"/>
                <w:color w:val="auto"/>
              </w:rPr>
            </w:pPr>
          </w:p>
        </w:tc>
      </w:tr>
      <w:tr>
        <w:trPr>
          <w:trHeight w:val="231"/>
        </w:trPr>
        <w:tc>
          <w:tcPr>
            <w:tcW w:w="8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0" w:type="dxa"/>
            <w:vAlign w:val="bottom"/>
          </w:tcPr>
          <w:p>
            <w:pPr>
              <w:spacing w:after="0"/>
              <w:rPr>
                <w:sz w:val="1"/>
                <w:szCs w:val="1"/>
                <w:color w:val="auto"/>
              </w:rPr>
            </w:pPr>
          </w:p>
        </w:tc>
      </w:tr>
      <w:tr>
        <w:trPr>
          <w:trHeight w:val="225"/>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5"/>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3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(34,303)</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(110,776)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Weighted-average shares outstanding used in computing net loss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1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118,479,097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103,420,238</w:t>
            </w:r>
          </w:p>
        </w:tc>
        <w:tc>
          <w:tcPr>
            <w:tcW w:w="0" w:type="dxa"/>
            <w:vAlign w:val="bottom"/>
          </w:tcPr>
          <w:p>
            <w:pPr>
              <w:spacing w:after="0"/>
              <w:rPr>
                <w:sz w:val="1"/>
                <w:szCs w:val="1"/>
                <w:color w:val="auto"/>
              </w:rPr>
            </w:pPr>
          </w:p>
        </w:tc>
      </w:tr>
      <w:tr>
        <w:trPr>
          <w:trHeight w:val="21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basic and diluted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CONSOLIDATED STATEMENTS OF CHANGES IN STOCKHOLDERS’ EQUITY (DEFICIT)</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(in thousands except for share amounts)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380" w:type="dxa"/>
            <w:vAlign w:val="bottom"/>
            <w:gridSpan w:val="3"/>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6"/>
        </w:trPr>
        <w:tc>
          <w:tcPr>
            <w:tcW w:w="43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restart"/>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9"/>
                <w:szCs w:val="9"/>
                <w:color w:val="auto"/>
              </w:rPr>
            </w:pPr>
          </w:p>
        </w:tc>
        <w:tc>
          <w:tcPr>
            <w:tcW w:w="1240" w:type="dxa"/>
            <w:vAlign w:val="bottom"/>
            <w:gridSpan w:val="2"/>
            <w:vMerge w:val="restart"/>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160" w:type="dxa"/>
            <w:vAlign w:val="bottom"/>
            <w:vMerge w:val="restart"/>
          </w:tcPr>
          <w:p>
            <w:pPr>
              <w:jc w:val="center"/>
              <w:ind w:right="55"/>
              <w:spacing w:after="0" w:line="124"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24"/>
        </w:trPr>
        <w:tc>
          <w:tcPr>
            <w:tcW w:w="4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24"/>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103,229,013</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543,456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(426,538)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116,928</w:t>
            </w: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444,715</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(110,776)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(110,776)</w:t>
            </w:r>
          </w:p>
        </w:tc>
        <w:tc>
          <w:tcPr>
            <w:tcW w:w="0" w:type="dxa"/>
            <w:vAlign w:val="bottom"/>
          </w:tcPr>
          <w:p>
            <w:pPr>
              <w:spacing w:after="0"/>
              <w:rPr>
                <w:sz w:val="1"/>
                <w:szCs w:val="1"/>
                <w:color w:val="auto"/>
              </w:rPr>
            </w:pPr>
          </w:p>
        </w:tc>
      </w:tr>
      <w:tr>
        <w:trPr>
          <w:trHeight w:val="218"/>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103,673,728</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550,850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(537,314)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13,546</w:t>
            </w: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in public offering, net of issuance costs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15,410,000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43,046</w:t>
            </w:r>
          </w:p>
        </w:tc>
        <w:tc>
          <w:tcPr>
            <w:tcW w:w="0" w:type="dxa"/>
            <w:vAlign w:val="bottom"/>
          </w:tcPr>
          <w:p>
            <w:pPr>
              <w:spacing w:after="0"/>
              <w:rPr>
                <w:sz w:val="1"/>
                <w:szCs w:val="1"/>
                <w:color w:val="auto"/>
              </w:rPr>
            </w:pPr>
          </w:p>
        </w:tc>
      </w:tr>
      <w:tr>
        <w:trPr>
          <w:trHeight w:val="172"/>
        </w:trPr>
        <w:tc>
          <w:tcPr>
            <w:tcW w:w="43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Issuance of stock in registered direct offerings, net of</w:t>
            </w: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costs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8,490,808</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21,745</w:t>
            </w: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ATM Facility, net of issuance costs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1,333,596</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0" w:type="dxa"/>
            <w:vAlign w:val="bottom"/>
          </w:tcPr>
          <w:p>
            <w:pPr>
              <w:spacing w:after="0"/>
              <w:rPr>
                <w:sz w:val="1"/>
                <w:szCs w:val="1"/>
                <w:color w:val="auto"/>
              </w:rPr>
            </w:pPr>
          </w:p>
        </w:tc>
      </w:tr>
      <w:tr>
        <w:trPr>
          <w:trHeight w:val="172"/>
        </w:trPr>
        <w:tc>
          <w:tcPr>
            <w:tcW w:w="43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Issuance of commitment shares pursuant to Common Stock</w:t>
            </w: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Agreement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115,705</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172"/>
        </w:trPr>
        <w:tc>
          <w:tcPr>
            <w:tcW w:w="43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Proceeds from sale of stock under Common Stock Purchase</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503,672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(148,701)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(148,701)</w:t>
            </w:r>
          </w:p>
        </w:tc>
        <w:tc>
          <w:tcPr>
            <w:tcW w:w="0" w:type="dxa"/>
            <w:vAlign w:val="bottom"/>
          </w:tcPr>
          <w:p>
            <w:pPr>
              <w:spacing w:after="0"/>
              <w:rPr>
                <w:sz w:val="1"/>
                <w:szCs w:val="1"/>
                <w:color w:val="auto"/>
              </w:rPr>
            </w:pP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130,027,509</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633,333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(686,015)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(52,669)</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480" w:type="dxa"/>
            <w:vAlign w:val="bottom"/>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r>
      <w:tr>
        <w:trPr>
          <w:trHeight w:val="18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(148,701)</w:t>
            </w:r>
          </w:p>
        </w:tc>
        <w:tc>
          <w:tcPr>
            <w:tcW w:w="100" w:type="dxa"/>
            <w:vAlign w:val="bottom"/>
          </w:tcPr>
          <w:p>
            <w:pPr>
              <w:spacing w:after="0"/>
              <w:rPr>
                <w:sz w:val="16"/>
                <w:szCs w:val="16"/>
                <w:color w:val="auto"/>
              </w:rPr>
            </w:pP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(110,776)</w:t>
            </w:r>
          </w:p>
        </w:tc>
      </w:tr>
      <w:tr>
        <w:trPr>
          <w:trHeight w:val="20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expense</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5,659</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6,828</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Contingent Earnout Liability</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10,023</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derivatives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9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expense</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operating lease costs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SVB debt discount</w:t>
            </w:r>
          </w:p>
        </w:tc>
        <w:tc>
          <w:tcPr>
            <w:tcW w:w="9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1"/>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r>
      <w:tr>
        <w:trPr>
          <w:trHeight w:val="20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w:t>
            </w:r>
          </w:p>
        </w:tc>
      </w:tr>
      <w:tr>
        <w:trPr>
          <w:trHeight w:val="191"/>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w:t>
            </w:r>
          </w:p>
        </w:tc>
      </w:tr>
      <w:tr>
        <w:trPr>
          <w:trHeight w:val="20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obligation</w:t>
            </w: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(98,122)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(73,305)</w:t>
            </w:r>
          </w:p>
        </w:tc>
      </w:tr>
      <w:tr>
        <w:trPr>
          <w:trHeight w:val="166"/>
        </w:trPr>
        <w:tc>
          <w:tcPr>
            <w:tcW w:w="8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5"/>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w:t>
            </w:r>
          </w:p>
        </w:tc>
      </w:tr>
      <w:tr>
        <w:trPr>
          <w:trHeight w:val="192"/>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maturity of short-term investments (certificates of deposit)</w:t>
            </w:r>
          </w:p>
        </w:tc>
        <w:tc>
          <w:tcPr>
            <w:tcW w:w="9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w:t>
            </w:r>
          </w:p>
        </w:tc>
      </w:tr>
      <w:tr>
        <w:trPr>
          <w:trHeight w:val="199"/>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59"/>
        </w:trPr>
        <w:tc>
          <w:tcPr>
            <w:tcW w:w="8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issuance of stock in public offering, net of underwriting fees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43,396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of costs related to public offering</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issuance of stock and warrants in registered direct offerings, net of placement agent fees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Revenue Interest Purchase Agreement, net of issuance costs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39,377</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of transaction costs related to Revenue Interest Purchase Agreement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issuance of stock under ATM Facility, net of issuance costs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 of stock under Common Stock Purchase Agreement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JDRF Agreement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of finance lease principal</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payments on SVB loan</w:t>
            </w:r>
          </w:p>
        </w:tc>
        <w:tc>
          <w:tcPr>
            <w:tcW w:w="9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(31,500)</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for debt prepayment and extinguishment costs</w:t>
            </w:r>
          </w:p>
        </w:tc>
        <w:tc>
          <w:tcPr>
            <w:tcW w:w="9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8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114,183</w:t>
            </w: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4,507</w:t>
            </w:r>
          </w:p>
        </w:tc>
      </w:tr>
      <w:tr>
        <w:trPr>
          <w:trHeight w:val="166"/>
        </w:trPr>
        <w:tc>
          <w:tcPr>
            <w:tcW w:w="8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40"/>
          </w:cols>
          <w:pgMar w:left="320" w:top="293" w:right="33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1263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(68,971)</w:t>
            </w:r>
          </w:p>
        </w:tc>
      </w:tr>
      <w:tr>
        <w:trPr>
          <w:trHeight w:val="189"/>
        </w:trPr>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80,801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149,772</w:t>
            </w:r>
          </w:p>
        </w:tc>
      </w:tr>
      <w:tr>
        <w:trPr>
          <w:trHeight w:val="24"/>
        </w:trPr>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5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95,290</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80,801</w:t>
            </w:r>
          </w:p>
        </w:tc>
      </w:tr>
      <w:tr>
        <w:trPr>
          <w:trHeight w:val="26"/>
        </w:trPr>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p>
    <w:p>
      <w:pPr>
        <w:sectPr>
          <w:pgSz w:w="11900" w:h="16838" w:orient="portrait"/>
          <w:cols w:equalWidth="0" w:num="2">
            <w:col w:w="7460" w:space="720"/>
            <w:col w:w="3060"/>
          </w:cols>
          <w:pgMar w:left="320" w:top="293" w:right="339" w:bottom="1440" w:gutter="0" w:footer="0" w:header="0"/>
          <w:type w:val="continuous"/>
        </w:sectPr>
      </w:pPr>
    </w:p>
    <w:tbl>
      <w:tblPr>
        <w:tblLayout w:type="fixed"/>
        <w:tblInd w:w="0" w:type="dxa"/>
        <w:tblCellMar>
          <w:top w:w="0" w:type="dxa"/>
          <w:left w:w="0" w:type="dxa"/>
          <w:bottom w:w="0" w:type="dxa"/>
          <w:right w:w="0" w:type="dxa"/>
        </w:tblCellMar>
      </w:tblPr>
      <w:tr>
        <w:trPr>
          <w:trHeight w:val="112"/>
        </w:trPr>
        <w:tc>
          <w:tcPr>
            <w:tcW w:w="6440" w:type="dxa"/>
            <w:vAlign w:val="bottom"/>
            <w:shd w:val="clear" w:color="auto" w:fill="CCEEFF"/>
          </w:tcPr>
          <w:p>
            <w:pPr>
              <w:spacing w:after="0"/>
              <w:rPr>
                <w:sz w:val="9"/>
                <w:szCs w:val="9"/>
                <w:color w:val="auto"/>
              </w:rPr>
            </w:pPr>
          </w:p>
        </w:tc>
        <w:tc>
          <w:tcPr>
            <w:tcW w:w="23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r>
      <w:tr>
        <w:trPr>
          <w:trHeight w:val="192"/>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 on SVB loan</w:t>
            </w:r>
          </w:p>
        </w:tc>
        <w:tc>
          <w:tcPr>
            <w:tcW w:w="234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w:t>
            </w:r>
          </w:p>
        </w:tc>
      </w:tr>
      <w:tr>
        <w:trPr>
          <w:trHeight w:val="159"/>
        </w:trPr>
        <w:tc>
          <w:tcPr>
            <w:tcW w:w="64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2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1"/>
        </w:trPr>
        <w:tc>
          <w:tcPr>
            <w:tcW w:w="6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property and equipment in accounts payable and accrued expenses</w:t>
            </w:r>
          </w:p>
        </w:tc>
        <w:tc>
          <w:tcPr>
            <w:tcW w:w="23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92</w:t>
            </w:r>
          </w:p>
        </w:tc>
        <w:tc>
          <w:tcPr>
            <w:tcW w:w="6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20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Debt discount from embedded contingent derivative liability</w:t>
            </w:r>
          </w:p>
        </w:tc>
        <w:tc>
          <w:tcPr>
            <w:tcW w:w="234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1,552</w:t>
            </w:r>
          </w:p>
        </w:tc>
        <w:tc>
          <w:tcPr>
            <w:tcW w:w="66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w:t>
            </w:r>
          </w:p>
        </w:tc>
      </w:tr>
      <w:tr>
        <w:trPr>
          <w:trHeight w:val="184"/>
        </w:trPr>
        <w:tc>
          <w:tcPr>
            <w:tcW w:w="6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commitment shares pursuant to Common Stock Purchase Agreement</w:t>
            </w:r>
          </w:p>
        </w:tc>
        <w:tc>
          <w:tcPr>
            <w:tcW w:w="23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708</w:t>
            </w:r>
          </w:p>
        </w:tc>
        <w:tc>
          <w:tcPr>
            <w:tcW w:w="6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5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29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120" w:name="page121"/>
    <w:bookmarkEnd w:id="120"/>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920" w:firstLine="6"/>
        <w:spacing w:after="0" w:line="446" w:lineRule="auto"/>
        <w:tabs>
          <w:tab w:leader="none" w:pos="176" w:val="left"/>
        </w:tabs>
        <w:numPr>
          <w:ilvl w:val="0"/>
          <w:numId w:val="4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Organization and Description of Business Organization</w:t>
      </w:r>
    </w:p>
    <w:p>
      <w:pPr>
        <w:ind w:right="140" w:firstLine="318"/>
        <w:spacing w:after="0" w:line="273" w:lineRule="auto"/>
        <w:rPr>
          <w:sz w:val="20"/>
          <w:szCs w:val="20"/>
          <w:color w:val="auto"/>
        </w:rPr>
      </w:pPr>
      <w:r>
        <w:rPr>
          <w:rFonts w:ascii="Times New Roman" w:cs="Times New Roman" w:eastAsia="Times New Roman" w:hAnsi="Times New Roman"/>
          <w:sz w:val="17"/>
          <w:szCs w:val="17"/>
          <w:color w:val="231F20"/>
        </w:rPr>
        <w:t>Humacyte, Inc. and subsidiaries (unless the context indicates otherwise, collectively, the “Company”) is pioneering the development and manufacture of off-the-shelf, universally implantable, bioengineered human tissues, advanced tissue constructs and organ systems with the goal of improving the lives of patients and transforming the practice of medicine. The Company is leveraging its regenerative medicine technology platform to develop proprietary product candidates for use in the treatment of diseases and conditions across a range of anatomic locations in multiple therapeutic areas.</w:t>
      </w:r>
    </w:p>
    <w:p>
      <w:pPr>
        <w:spacing w:after="0" w:line="143"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On August 26, 2021 (the “Closing Date”), Alpha Healthcare Acquisition Corp. (“AHAC”) consummated a merger pursuant to a Business Combination Agreement, dated as of February 17, 2021 (the “Merger Agreement”), by and among Humacyte, Inc. (“Legacy Humacyte”), AHAC and Hunter Merger Sub, Inc. (“Merger Sub”), a wholly owned subsidiary of AHAC. As contemplated by the Merger Agreement, Merger Sub merged with and into Legacy Humacyte, with Legacy Humacyte continuing as the surviving corporation and as a wholly-owned subsidiary of AHAC (such transactions, the “Merger,” and, collectively with the other transactions described in the Merger Agreement, the “Reverse Recapitalization”). On the Closing Date, AHAC changed its name to Humacyte, Inc. and Legacy Humacyte changed its name to Humacyte Global, Inc. (“Global”). The Merger was accounted for as a reverse recapitalization in accordance with accounting principles generally accepted in the United States of America (“U.S. GAAP”), and under this method of accounting, AHAC was treated as the acquired company for financial reporting purposes and Legacy Humacyte was treated as the acquirer. Operations prior to the Merger are those of Legacy Humacyte.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w:t>
      </w:r>
    </w:p>
    <w:p>
      <w:pPr>
        <w:spacing w:after="0" w:line="179"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231F20"/>
        </w:rPr>
        <w:t>Since its inception in 2004, the Company has generated no product revenue and has incurred operating losses and negative cash flows from operations in each year. To date, the Company has financed its operations primarily through the sale of equity securities and convertible debt, proceeds from the Reverse Recapitalization, borrowings under loan facilities, proceeds from a revenue interest purchase agreement and, to a lesser extent, through governmental and other grants. At December 31, 2024 and December 31, 2023, the Company had an accumulated deficit of $686.0 million and $537.3 million, respectively. The Company’s operating losses were $114.4 million and $100.0 million for the years ended December 31, 2024 and 2023, respectively. Net cash flows used in operating activities were $98.1 million and $73.3 million during the years ended December 31, 2024 and 2023, respectively. Substantially all of the Company’s operating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product candidates.</w:t>
      </w:r>
    </w:p>
    <w:p>
      <w:pPr>
        <w:spacing w:after="0" w:line="166"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 xml:space="preserve">As further disclosed in Note 6, on May 12, 2023, Humacyte, Inc. and Global entered into a Revenue Interest Purchase Agreement (the “Purchase Agreement”) with two purchasers, both affiliates of Oberland Capital Management LLC (the “Purchasers”), and another affiliate of Oberland Capital Management LLC (“Oberland”), as agent for the Purchasers (the “Agent”), to obtain financing with respect to the further development and commercialization of the Company’s ATEV, to repay the Company’s then-existing credit facility with Silicon Valley Bank (“SVB”), and for other general corporate purposes.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$64.2 million</w:t>
      </w:r>
      <w:r>
        <w:rPr>
          <w:rFonts w:ascii="Times New Roman" w:cs="Times New Roman" w:eastAsia="Times New Roman" w:hAnsi="Times New Roman"/>
          <w:sz w:val="18"/>
          <w:szCs w:val="18"/>
          <w:color w:val="auto"/>
        </w:rPr>
        <w:t xml:space="preserve"> was recorded as a revenue interest liability on the consolidated balance sheets.</w:t>
      </w:r>
    </w:p>
    <w:p>
      <w:pPr>
        <w:spacing w:after="0" w:line="148" w:lineRule="exact"/>
        <w:rPr>
          <w:sz w:val="20"/>
          <w:szCs w:val="20"/>
          <w:color w:val="auto"/>
        </w:rPr>
      </w:pPr>
    </w:p>
    <w:p>
      <w:pPr>
        <w:ind w:right="220" w:firstLine="318"/>
        <w:spacing w:after="0" w:line="265" w:lineRule="auto"/>
        <w:rPr>
          <w:sz w:val="20"/>
          <w:szCs w:val="20"/>
          <w:color w:val="auto"/>
        </w:rPr>
      </w:pPr>
      <w:r>
        <w:rPr>
          <w:rFonts w:ascii="Times New Roman" w:cs="Times New Roman" w:eastAsia="Times New Roman" w:hAnsi="Times New Roman"/>
          <w:sz w:val="17"/>
          <w:szCs w:val="17"/>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On February 18, 2024, the Company reached an agreement with the Purchasers and the Agent to waive certain breaches related to, and extend the deadline for certain post-closing obligations under, the Purchase Agreement, including the requirement for the Company to deliver a leasehold mortgage in favor of the Agent over the Company’s headquarters. On May 8, 2024, the Company agreed with the Purchasers to amend the Purchase Agreement to remove requirements related to the leasehold mortgage. In exchange for removing this requirement, the Company agreed to fund an account in the amount of $54.0 million over which the Agent has certain consent and other rights to $50.0 million</w:t>
      </w:r>
    </w:p>
    <w:p>
      <w:pPr>
        <w:spacing w:after="0" w:line="200" w:lineRule="exact"/>
        <w:rPr>
          <w:sz w:val="20"/>
          <w:szCs w:val="20"/>
          <w:color w:val="auto"/>
        </w:rPr>
      </w:pPr>
    </w:p>
    <w:p>
      <w:pPr>
        <w:spacing w:after="0" w:line="3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21" w:name="page122"/>
    <w:bookmarkEnd w:id="121"/>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of the funds. The Company funded an account with the required $54.0 million on August 14, 2024. As of December 31, 2024, the $50.0 million was classified as restricted cash on the accompanying consolidated balance sheets.</w:t>
      </w:r>
    </w:p>
    <w:p>
      <w:pPr>
        <w:spacing w:after="0" w:line="128"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 xml:space="preserve">As further disclosed in Note 9, on September 24, 2024, the Company entered into a common stock purchase agreement with Lincoln Park Capital Fund, LLC (“Lincoln Park”) for an equity line financing (the “Common Stock Purchase Agreement”). The Common Stock Purchase Agreement provides that, subject to the terms and conditions set forth therein, the Company has the sole right, but not the obligation, to sell to Lincoln Park shares of the Company’s common stock, par value </w:t>
      </w:r>
      <w:r>
        <w:rPr>
          <w:rFonts w:ascii="Times New Roman" w:cs="Times New Roman" w:eastAsia="Times New Roman" w:hAnsi="Times New Roman"/>
          <w:sz w:val="18"/>
          <w:szCs w:val="18"/>
          <w:color w:val="231F20"/>
        </w:rPr>
        <w:t>$0.0001</w:t>
      </w:r>
      <w:r>
        <w:rPr>
          <w:rFonts w:ascii="Times New Roman" w:cs="Times New Roman" w:eastAsia="Times New Roman" w:hAnsi="Times New Roman"/>
          <w:sz w:val="18"/>
          <w:szCs w:val="18"/>
          <w:color w:val="auto"/>
        </w:rPr>
        <w:t xml:space="preserve"> per share (“Common Stock”), having an aggregate value of up to </w:t>
      </w:r>
      <w:r>
        <w:rPr>
          <w:rFonts w:ascii="Times New Roman" w:cs="Times New Roman" w:eastAsia="Times New Roman" w:hAnsi="Times New Roman"/>
          <w:sz w:val="18"/>
          <w:szCs w:val="18"/>
          <w:color w:val="231F20"/>
        </w:rPr>
        <w:t>$50.0 million</w:t>
      </w:r>
      <w:r>
        <w:rPr>
          <w:rFonts w:ascii="Times New Roman" w:cs="Times New Roman" w:eastAsia="Times New Roman" w:hAnsi="Times New Roman"/>
          <w:sz w:val="18"/>
          <w:szCs w:val="18"/>
          <w:color w:val="auto"/>
        </w:rPr>
        <w:t xml:space="preserve"> (the “Purchase Shares”) over a 24-month period. The Company controls the timing and amount of any sales of Purchase Shares to Lincoln Park pursuant to the Common Stock Purchase Agreement in its sole discretion.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the Company had </w:t>
      </w:r>
      <w:r>
        <w:rPr>
          <w:rFonts w:ascii="Times New Roman" w:cs="Times New Roman" w:eastAsia="Times New Roman" w:hAnsi="Times New Roman"/>
          <w:sz w:val="18"/>
          <w:szCs w:val="18"/>
          <w:color w:val="231F20"/>
        </w:rPr>
        <w:t>$47.5 million</w:t>
      </w:r>
      <w:r>
        <w:rPr>
          <w:rFonts w:ascii="Times New Roman" w:cs="Times New Roman" w:eastAsia="Times New Roman" w:hAnsi="Times New Roman"/>
          <w:sz w:val="18"/>
          <w:szCs w:val="18"/>
          <w:color w:val="auto"/>
        </w:rPr>
        <w:t xml:space="preserve"> in remaining availability for sales of Common Stock under the Common Stock Purchase Agreement.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the Company had completed sales of shares under the Common Stock Purchase Agreement that provided </w:t>
      </w:r>
      <w:r>
        <w:rPr>
          <w:rFonts w:ascii="Times New Roman" w:cs="Times New Roman" w:eastAsia="Times New Roman" w:hAnsi="Times New Roman"/>
          <w:sz w:val="18"/>
          <w:szCs w:val="18"/>
          <w:color w:val="231F20"/>
        </w:rPr>
        <w:t xml:space="preserve">$2.5 million </w:t>
      </w:r>
      <w:r>
        <w:rPr>
          <w:rFonts w:ascii="Times New Roman" w:cs="Times New Roman" w:eastAsia="Times New Roman" w:hAnsi="Times New Roman"/>
          <w:sz w:val="18"/>
          <w:szCs w:val="18"/>
          <w:color w:val="000000"/>
        </w:rPr>
        <w:t>in gross proceeds.</w:t>
      </w:r>
    </w:p>
    <w:p>
      <w:pPr>
        <w:spacing w:after="0" w:line="148"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As further disclosed in Note 9, o</w:t>
      </w:r>
      <w:r>
        <w:rPr>
          <w:rFonts w:ascii="Times New Roman" w:cs="Times New Roman" w:eastAsia="Times New Roman" w:hAnsi="Times New Roman"/>
          <w:sz w:val="18"/>
          <w:szCs w:val="18"/>
          <w:color w:val="231F20"/>
        </w:rPr>
        <w:t>n September 1, 2022, the Company entered into an agreement with Jefferies LLC for the sale from time to time of up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$80.0 million of shares of Common Stock pursuant to a sales agreement (the “ATM Facility”). In December 2024, the Company completed sales of shares under the ATM Facility that provided net proceeds </w:t>
      </w:r>
      <w:r>
        <w:rPr>
          <w:rFonts w:ascii="Times New Roman" w:cs="Times New Roman" w:eastAsia="Times New Roman" w:hAnsi="Times New Roman"/>
          <w:sz w:val="18"/>
          <w:szCs w:val="18"/>
          <w:color w:val="000000"/>
        </w:rPr>
        <w:t>$6.8 million, and from</w:t>
      </w:r>
      <w:r>
        <w:rPr>
          <w:rFonts w:ascii="Times New Roman" w:cs="Times New Roman" w:eastAsia="Times New Roman" w:hAnsi="Times New Roman"/>
          <w:sz w:val="18"/>
          <w:szCs w:val="18"/>
          <w:color w:val="231F20"/>
        </w:rPr>
        <w:t xml:space="preserve"> December 31, 2024 </w:t>
      </w:r>
      <w:r>
        <w:rPr>
          <w:rFonts w:ascii="Times New Roman" w:cs="Times New Roman" w:eastAsia="Times New Roman" w:hAnsi="Times New Roman"/>
          <w:sz w:val="18"/>
          <w:szCs w:val="18"/>
          <w:color w:val="000000"/>
        </w:rPr>
        <w:t>through</w:t>
      </w:r>
      <w:r>
        <w:rPr>
          <w:rFonts w:ascii="Times New Roman" w:cs="Times New Roman" w:eastAsia="Times New Roman" w:hAnsi="Times New Roman"/>
          <w:sz w:val="18"/>
          <w:szCs w:val="18"/>
          <w:color w:val="231F20"/>
        </w:rPr>
        <w:t xml:space="preserve"> March 31, 2025</w:t>
      </w:r>
      <w:r>
        <w:rPr>
          <w:rFonts w:ascii="Times New Roman" w:cs="Times New Roman" w:eastAsia="Times New Roman" w:hAnsi="Times New Roman"/>
          <w:sz w:val="18"/>
          <w:szCs w:val="18"/>
          <w:color w:val="000000"/>
        </w:rPr>
        <w:t>, the Company completed sales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shares to under the ATM Facility that provided net proceeds of </w:t>
      </w:r>
      <w:r>
        <w:rPr>
          <w:rFonts w:ascii="Times New Roman" w:cs="Times New Roman" w:eastAsia="Times New Roman" w:hAnsi="Times New Roman"/>
          <w:sz w:val="18"/>
          <w:szCs w:val="18"/>
          <w:color w:val="231F20"/>
        </w:rPr>
        <w:t>approximately</w:t>
      </w:r>
      <w:r>
        <w:rPr>
          <w:rFonts w:ascii="Times New Roman" w:cs="Times New Roman" w:eastAsia="Times New Roman" w:hAnsi="Times New Roman"/>
          <w:sz w:val="18"/>
          <w:szCs w:val="18"/>
          <w:color w:val="000000"/>
        </w:rPr>
        <w:t xml:space="preserve"> $0.4 million</w:t>
      </w:r>
      <w:r>
        <w:rPr>
          <w:rFonts w:ascii="Times New Roman" w:cs="Times New Roman" w:eastAsia="Times New Roman" w:hAnsi="Times New Roman"/>
          <w:sz w:val="18"/>
          <w:szCs w:val="18"/>
          <w:color w:val="231F20"/>
        </w:rPr>
        <w:t>. As of December 31, 2024, $73.0 million remained available under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 ATM Facility.</w:t>
      </w:r>
    </w:p>
    <w:p>
      <w:pPr>
        <w:spacing w:after="0" w:line="162" w:lineRule="exact"/>
        <w:rPr>
          <w:sz w:val="20"/>
          <w:szCs w:val="20"/>
          <w:color w:val="auto"/>
        </w:rPr>
      </w:pPr>
    </w:p>
    <w:p>
      <w:pPr>
        <w:jc w:val="both"/>
        <w:ind w:right="20" w:firstLine="318"/>
        <w:spacing w:after="0" w:line="258" w:lineRule="auto"/>
        <w:rPr>
          <w:sz w:val="20"/>
          <w:szCs w:val="20"/>
          <w:color w:val="auto"/>
        </w:rPr>
      </w:pPr>
      <w:r>
        <w:rPr>
          <w:rFonts w:ascii="Times New Roman" w:cs="Times New Roman" w:eastAsia="Times New Roman" w:hAnsi="Times New Roman"/>
          <w:sz w:val="18"/>
          <w:szCs w:val="18"/>
          <w:color w:val="231F20"/>
        </w:rPr>
        <w:t xml:space="preserve">As of December 31, 2024, the Company had available cash and cash equivalents of $44.9 million. Subsequent to December 31, 2024, in March 2025, the Company completed a public offering of </w:t>
      </w:r>
      <w:r>
        <w:rPr>
          <w:rFonts w:ascii="Times New Roman" w:cs="Times New Roman" w:eastAsia="Times New Roman" w:hAnsi="Times New Roman"/>
          <w:sz w:val="18"/>
          <w:szCs w:val="18"/>
          <w:color w:val="000000"/>
        </w:rPr>
        <w:t>Common Stock, which provided approximately $46.6 million in net proceeds. See Note 15 — Subsequent Events for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further information.</w:t>
      </w:r>
    </w:p>
    <w:p>
      <w:pPr>
        <w:spacing w:after="0" w:line="140"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7"/>
          <w:szCs w:val="17"/>
          <w:color w:val="auto"/>
        </w:rPr>
        <w:t>Before consideration of management’s plans described below, the Company believes its cash and cash equivalents on hand and existing capacity under its Common Stock Purchase Agreement will be sufficient to fund operations at least into March 2026. The future viability of the Company beyond that point is dependent on its ability to generate cash flows from the sale of Symvess and raise additional capital to finance its operations. The Company plans to seek additional funding through private or public equity financings, debt financings, debt refinancing or restructuring, collaborations, strategic alliances, and marketing, distribution or licensing arrangements. Adequate capital may not be available to the Company when needed or on acceptable terms. If the Company is unable to raise capital, the Company plans to implement a program that delays, reduces, suspends or ceases certain of its planned capital expenditures, research and development programs or any future commercialization efforts, which would have a negative impact on its business, prospects, operating results and financial condition. Based on the Company’s current cash and cash equivalents on hand and existing capacity under its Common Stock Purchase Agreement, and after considering management’s plans, the Company believes it has the ability to fund operations at least into the middle of 2026.</w:t>
      </w:r>
    </w:p>
    <w:p>
      <w:pPr>
        <w:spacing w:after="0" w:line="133" w:lineRule="exact"/>
        <w:rPr>
          <w:sz w:val="20"/>
          <w:szCs w:val="20"/>
          <w:color w:val="auto"/>
        </w:rPr>
      </w:pPr>
    </w:p>
    <w:p>
      <w:pPr>
        <w:ind w:right="7700" w:firstLine="6"/>
        <w:spacing w:after="0" w:line="453" w:lineRule="auto"/>
        <w:tabs>
          <w:tab w:leader="none" w:pos="176" w:val="left"/>
        </w:tabs>
        <w:numPr>
          <w:ilvl w:val="0"/>
          <w:numId w:val="4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Summary of Significant Accounting Policies Basis of Presentation</w:t>
      </w:r>
    </w:p>
    <w:p>
      <w:pPr>
        <w:spacing w:after="0" w:line="1" w:lineRule="exact"/>
        <w:rPr>
          <w:sz w:val="20"/>
          <w:szCs w:val="20"/>
          <w:color w:val="auto"/>
        </w:rPr>
      </w:pPr>
    </w:p>
    <w:p>
      <w:pPr>
        <w:ind w:right="160" w:firstLine="318"/>
        <w:spacing w:after="0" w:line="301" w:lineRule="auto"/>
        <w:rPr>
          <w:sz w:val="20"/>
          <w:szCs w:val="20"/>
          <w:color w:val="auto"/>
        </w:rPr>
      </w:pPr>
      <w:r>
        <w:rPr>
          <w:rFonts w:ascii="Times New Roman" w:cs="Times New Roman" w:eastAsia="Times New Roman" w:hAnsi="Times New Roman"/>
          <w:sz w:val="17"/>
          <w:szCs w:val="17"/>
          <w:color w:val="231F20"/>
        </w:rPr>
        <w:t>The Company has prepared the accompanying financial statements in conformity with U.S. GAAP. The Company’s consolidated financial statements reflect the operations of the Company and its wholly owned subsidiaries. All intercompany accounts and transactions have been eliminated in consolidation.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192"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231F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revenue interest liability, derivatives, fair value of common stock warrants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200" w:lineRule="exact"/>
        <w:rPr>
          <w:sz w:val="20"/>
          <w:szCs w:val="20"/>
          <w:color w:val="auto"/>
        </w:rPr>
      </w:pPr>
    </w:p>
    <w:p>
      <w:pPr>
        <w:spacing w:after="0" w:line="38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93" w:right="379" w:bottom="1440" w:gutter="0" w:footer="0" w:header="0"/>
        </w:sectPr>
      </w:pPr>
    </w:p>
    <w:bookmarkStart w:id="122" w:name="page123"/>
    <w:bookmarkEnd w:id="122"/>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79" w:lineRule="exact"/>
        <w:rPr>
          <w:sz w:val="20"/>
          <w:szCs w:val="20"/>
          <w:color w:val="auto"/>
        </w:rPr>
      </w:pPr>
    </w:p>
    <w:p>
      <w:pPr>
        <w:ind w:right="60" w:firstLine="318"/>
        <w:spacing w:after="0" w:line="271"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None of these reclassifications had a material impact on the Company’s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Segments</w:t>
      </w:r>
    </w:p>
    <w:p>
      <w:pPr>
        <w:spacing w:after="0" w:line="192"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231F20"/>
        </w:rPr>
        <w:t>The Company is developing proprietary, bioengineered, acellular human tissues, advanced tissue constructs and organ systems that are designed to be used in the treatment of diseases and conditions across a range of anatomic locations in multiple therapeutic areas. The Company’s operations are managed and reported to its Chief Executive Officer, the Company’s chief operating decision maker (“CODM”), on a consolidated basis. The CODM evaluates financial performance, allocates resources and monitors budget versus actual results based on the Company’s consolidated statements of operations. The measure of segment assets provided to and reviewed by the CODM is reported on the consolidated balance sheets as total assets. Segment asset information is not used by the CODM to evaluate performance, allocate resources or make strategic decisions. Under the current organizational and reporting structure, the Company operates and manages its business on a consolidated basis as one reportable and operating segment.</w:t>
      </w:r>
    </w:p>
    <w:p>
      <w:pPr>
        <w:spacing w:after="0" w:line="151"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7"/>
          <w:szCs w:val="17"/>
          <w:color w:val="auto"/>
        </w:rPr>
        <w:t xml:space="preserve">As a single reportable segment entity, the Company’s segment performance measure is </w:t>
      </w:r>
      <w:r>
        <w:rPr>
          <w:rFonts w:ascii="Times New Roman" w:cs="Times New Roman" w:eastAsia="Times New Roman" w:hAnsi="Times New Roman"/>
          <w:sz w:val="17"/>
          <w:szCs w:val="17"/>
          <w:color w:val="231F20"/>
        </w:rPr>
        <w:t>consolidated net (loss) income. Consolidated net (loss) income 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used to monitor the budget versus actual results and to help make key operating decisions such as the allocation of budget between research and development and general and administrative expenses. Significant segment expenses within net loss include research and development and general and administrative expenses, which are each separately presented on the Company’s consolidated statements of operations. Other segment items within net loss include interest income, interest expense, the change in fair value of the Company’s Contingent Earnout Liability and the change in fair value of derivatives.</w:t>
      </w:r>
    </w:p>
    <w:p>
      <w:pPr>
        <w:spacing w:after="0" w:line="131" w:lineRule="exact"/>
        <w:rPr>
          <w:sz w:val="20"/>
          <w:szCs w:val="20"/>
          <w:color w:val="auto"/>
        </w:rPr>
      </w:pPr>
    </w:p>
    <w:p>
      <w:pPr>
        <w:ind w:right="440" w:firstLine="318"/>
        <w:spacing w:after="0" w:line="271" w:lineRule="auto"/>
        <w:rPr>
          <w:sz w:val="20"/>
          <w:szCs w:val="20"/>
          <w:color w:val="auto"/>
        </w:rPr>
      </w:pPr>
      <w:r>
        <w:rPr>
          <w:rFonts w:ascii="Times New Roman" w:cs="Times New Roman" w:eastAsia="Times New Roman" w:hAnsi="Times New Roman"/>
          <w:sz w:val="18"/>
          <w:szCs w:val="18"/>
          <w:color w:val="231F20"/>
        </w:rPr>
        <w:t>Additional disaggregated significant segment expenses that are not separately presented on the Company’s consolidated statements of operations are presented below.</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0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Vascular Trauma</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0" w:type="dxa"/>
            <w:vAlign w:val="bottom"/>
          </w:tcPr>
          <w:p>
            <w:pPr>
              <w:spacing w:after="0"/>
              <w:rPr>
                <w:sz w:val="1"/>
                <w:szCs w:val="1"/>
                <w:color w:val="auto"/>
              </w:rPr>
            </w:pPr>
          </w:p>
        </w:tc>
      </w:tr>
      <w:tr>
        <w:trPr>
          <w:trHeight w:val="225"/>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 Access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0" w:type="dxa"/>
            <w:vAlign w:val="bottom"/>
          </w:tcPr>
          <w:p>
            <w:pPr>
              <w:spacing w:after="0"/>
              <w:rPr>
                <w:sz w:val="1"/>
                <w:szCs w:val="1"/>
                <w:color w:val="auto"/>
              </w:rPr>
            </w:pPr>
          </w:p>
        </w:tc>
      </w:tr>
      <w:tr>
        <w:trPr>
          <w:trHeight w:val="225"/>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PAD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8"/>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0" w:type="dxa"/>
            <w:vAlign w:val="bottom"/>
          </w:tcPr>
          <w:p>
            <w:pPr>
              <w:spacing w:after="0"/>
              <w:rPr>
                <w:sz w:val="1"/>
                <w:szCs w:val="1"/>
                <w:color w:val="auto"/>
              </w:rPr>
            </w:pPr>
          </w:p>
        </w:tc>
      </w:tr>
      <w:tr>
        <w:trPr>
          <w:trHeight w:val="22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External services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0" w:type="dxa"/>
            <w:vAlign w:val="bottom"/>
          </w:tcPr>
          <w:p>
            <w:pPr>
              <w:spacing w:after="0"/>
              <w:rPr>
                <w:sz w:val="1"/>
                <w:szCs w:val="1"/>
                <w:color w:val="auto"/>
              </w:rPr>
            </w:pPr>
          </w:p>
        </w:tc>
      </w:tr>
      <w:tr>
        <w:trPr>
          <w:trHeight w:val="225"/>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Materials and supplies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0" w:type="dxa"/>
            <w:vAlign w:val="bottom"/>
          </w:tcPr>
          <w:p>
            <w:pPr>
              <w:spacing w:after="0"/>
              <w:rPr>
                <w:sz w:val="1"/>
                <w:szCs w:val="1"/>
                <w:color w:val="auto"/>
              </w:rPr>
            </w:pPr>
          </w:p>
        </w:tc>
      </w:tr>
      <w:tr>
        <w:trPr>
          <w:trHeight w:val="225"/>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30,118</w:t>
            </w:r>
          </w:p>
        </w:tc>
        <w:tc>
          <w:tcPr>
            <w:tcW w:w="0" w:type="dxa"/>
            <w:vAlign w:val="bottom"/>
          </w:tcPr>
          <w:p>
            <w:pPr>
              <w:spacing w:after="0"/>
              <w:rPr>
                <w:sz w:val="1"/>
                <w:szCs w:val="1"/>
                <w:color w:val="auto"/>
              </w:rPr>
            </w:pPr>
          </w:p>
        </w:tc>
      </w:tr>
      <w:tr>
        <w:trPr>
          <w:trHeight w:val="225"/>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0" w:type="dxa"/>
            <w:vAlign w:val="bottom"/>
          </w:tcPr>
          <w:p>
            <w:pPr>
              <w:spacing w:after="0"/>
              <w:rPr>
                <w:sz w:val="1"/>
                <w:szCs w:val="1"/>
                <w:color w:val="auto"/>
              </w:rPr>
            </w:pPr>
          </w:p>
        </w:tc>
      </w:tr>
      <w:tr>
        <w:trPr>
          <w:trHeight w:val="218"/>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63,520</w:t>
            </w:r>
          </w:p>
        </w:tc>
        <w:tc>
          <w:tcPr>
            <w:tcW w:w="0" w:type="dxa"/>
            <w:vAlign w:val="bottom"/>
          </w:tcPr>
          <w:p>
            <w:pPr>
              <w:spacing w:after="0"/>
              <w:rPr>
                <w:sz w:val="1"/>
                <w:szCs w:val="1"/>
                <w:color w:val="auto"/>
              </w:rPr>
            </w:pPr>
          </w:p>
        </w:tc>
      </w:tr>
      <w:tr>
        <w:trPr>
          <w:trHeight w:val="218"/>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88,599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76,550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231F20"/>
        </w:rPr>
        <w:t>Direct expenses for the Company’s vascular trauma, AV access for hemodialysis and PAD indications include costs related to the Company’s clinical trials, including fees paid to CROs, consultants, clinical sites and investigators. Costs related to development activities which broadly support multiple programs using the Company’s technology platform, including personnel, materials and supplies, external services costs, and other internal expenses, such as facilities and overhead costs, are not allocated to individual research and development programs. Other research and development expenses reported in the table above include direct costs not identifiable with a specific product candidate, including costs associated with the Company’s research and development platform used across programs, process development,</w:t>
      </w:r>
    </w:p>
    <w:p>
      <w:pPr>
        <w:spacing w:after="0" w:line="200" w:lineRule="exact"/>
        <w:rPr>
          <w:sz w:val="20"/>
          <w:szCs w:val="20"/>
          <w:color w:val="auto"/>
        </w:rPr>
      </w:pPr>
    </w:p>
    <w:p>
      <w:pPr>
        <w:spacing w:after="0" w:line="3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3" w:name="page124"/>
    <w:bookmarkEnd w:id="12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manufacturing analytics and preclinical research and development for prospective product candidates and new technologies.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Non-cash Operating Expenses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0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5"/>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0" w:type="dxa"/>
            <w:vAlign w:val="bottom"/>
          </w:tcPr>
          <w:p>
            <w:pPr>
              <w:spacing w:after="0"/>
              <w:rPr>
                <w:sz w:val="1"/>
                <w:szCs w:val="1"/>
                <w:color w:val="auto"/>
              </w:rPr>
            </w:pP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Comprehensive Loss</w:t>
      </w:r>
    </w:p>
    <w:p>
      <w:pPr>
        <w:spacing w:after="0" w:line="192" w:lineRule="exact"/>
        <w:rPr>
          <w:sz w:val="20"/>
          <w:szCs w:val="20"/>
          <w:color w:val="auto"/>
        </w:rPr>
      </w:pPr>
    </w:p>
    <w:p>
      <w:pPr>
        <w:ind w:right="420" w:firstLine="318"/>
        <w:spacing w:after="0" w:line="301" w:lineRule="auto"/>
        <w:rPr>
          <w:sz w:val="20"/>
          <w:szCs w:val="20"/>
          <w:color w:val="auto"/>
        </w:rPr>
      </w:pPr>
      <w:r>
        <w:rPr>
          <w:rFonts w:ascii="Times New Roman" w:cs="Times New Roman" w:eastAsia="Times New Roman" w:hAnsi="Times New Roman"/>
          <w:sz w:val="17"/>
          <w:szCs w:val="17"/>
          <w:color w:val="231F20"/>
        </w:rPr>
        <w:t>Comprehensive loss includes net loss as well as other changes in stockholders’ equity (deficit) that result from transactions and economic events other than those with stockholders. There was no difference between net loss and comprehensive loss for the years ended December 31, 2024 and 2023.</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and Cash Equivalents</w:t>
      </w:r>
    </w:p>
    <w:p>
      <w:pPr>
        <w:spacing w:after="0" w:line="179" w:lineRule="exact"/>
        <w:rPr>
          <w:sz w:val="20"/>
          <w:szCs w:val="20"/>
          <w:color w:val="auto"/>
        </w:rPr>
      </w:pPr>
    </w:p>
    <w:p>
      <w:pPr>
        <w:ind w:right="180" w:firstLine="318"/>
        <w:spacing w:after="0" w:line="254" w:lineRule="auto"/>
        <w:rPr>
          <w:sz w:val="20"/>
          <w:szCs w:val="20"/>
          <w:color w:val="auto"/>
        </w:rPr>
      </w:pPr>
      <w:r>
        <w:rPr>
          <w:rFonts w:ascii="Times New Roman" w:cs="Times New Roman" w:eastAsia="Times New Roman" w:hAnsi="Times New Roman"/>
          <w:sz w:val="18"/>
          <w:szCs w:val="18"/>
          <w:color w:val="231F20"/>
        </w:rPr>
        <w:t>The Company considers all short-term, highly liquid investments, including certificates of deposit (“CDs”) purchased with an original maturity of three months or less at the date of purchase, to be cash equivalents. Cash deposits are held with financial institutions with investment-grade ratings in the U.S. Cash deposits typically exceed federally insured limits. As of December 31, 2024 and 2023, cash and cash equivalents consisted of cash on deposit with banks denominated in U.S. dollars and investments in money market funds.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79" w:lineRule="exact"/>
        <w:rPr>
          <w:sz w:val="20"/>
          <w:szCs w:val="20"/>
          <w:color w:val="auto"/>
        </w:rPr>
      </w:pPr>
    </w:p>
    <w:p>
      <w:pPr>
        <w:ind w:right="220" w:firstLine="318"/>
        <w:spacing w:after="0" w:line="251" w:lineRule="auto"/>
        <w:rPr>
          <w:sz w:val="20"/>
          <w:szCs w:val="20"/>
          <w:color w:val="auto"/>
        </w:rPr>
      </w:pPr>
      <w:r>
        <w:rPr>
          <w:rFonts w:ascii="Times New Roman" w:cs="Times New Roman" w:eastAsia="Times New Roman" w:hAnsi="Times New Roman"/>
          <w:sz w:val="18"/>
          <w:szCs w:val="18"/>
          <w:color w:val="auto"/>
        </w:rPr>
        <w:t xml:space="preserve">The Company classifies as restricted cash all cash pledged as collateral to secure long-term obligations and all cash whose use is otherwise limited by contractual provisions.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restricted cash includes $50.0 million maintained in an account that is not subject to the Company’s unilateral control, in accordance with the amended Purchase Agreement, as further disclosed in Note 6. As of </w:t>
      </w:r>
      <w:r>
        <w:rPr>
          <w:rFonts w:ascii="Times New Roman" w:cs="Times New Roman" w:eastAsia="Times New Roman" w:hAnsi="Times New Roman"/>
          <w:sz w:val="18"/>
          <w:szCs w:val="18"/>
          <w:color w:val="231F20"/>
        </w:rPr>
        <w:t>December 31, 2024 and 2023,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classified $0.2 million </w:t>
      </w:r>
      <w:r>
        <w:rPr>
          <w:rFonts w:ascii="Times New Roman" w:cs="Times New Roman" w:eastAsia="Times New Roman" w:hAnsi="Times New Roman"/>
          <w:sz w:val="18"/>
          <w:szCs w:val="18"/>
          <w:color w:val="000000"/>
        </w:rPr>
        <w:t>in funds maintained in a separate deposit account to secure a letter of credit for the benefit of the lessor of the Company’s headquarters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lease, and </w:t>
      </w:r>
      <w:r>
        <w:rPr>
          <w:rFonts w:ascii="Times New Roman" w:cs="Times New Roman" w:eastAsia="Times New Roman" w:hAnsi="Times New Roman"/>
          <w:sz w:val="18"/>
          <w:szCs w:val="18"/>
          <w:color w:val="231F20"/>
        </w:rPr>
        <w:t>$0.1 million</w:t>
      </w:r>
      <w:r>
        <w:rPr>
          <w:rFonts w:ascii="Times New Roman" w:cs="Times New Roman" w:eastAsia="Times New Roman" w:hAnsi="Times New Roman"/>
          <w:sz w:val="18"/>
          <w:szCs w:val="18"/>
          <w:color w:val="000000"/>
        </w:rPr>
        <w:t xml:space="preserve"> in cash balances held as collateral for the Company’s employee credit card program as restricted cash.</w:t>
      </w:r>
    </w:p>
    <w:p>
      <w:pPr>
        <w:spacing w:after="0" w:line="148" w:lineRule="exact"/>
        <w:rPr>
          <w:sz w:val="20"/>
          <w:szCs w:val="20"/>
          <w:color w:val="auto"/>
        </w:rPr>
      </w:pPr>
    </w:p>
    <w:p>
      <w:pPr>
        <w:ind w:right="320" w:firstLine="318"/>
        <w:spacing w:after="0" w:line="271" w:lineRule="auto"/>
        <w:rPr>
          <w:sz w:val="20"/>
          <w:szCs w:val="20"/>
          <w:color w:val="auto"/>
        </w:rPr>
      </w:pPr>
      <w:r>
        <w:rPr>
          <w:rFonts w:ascii="Times New Roman" w:cs="Times New Roman" w:eastAsia="Times New Roman" w:hAnsi="Times New Roman"/>
          <w:sz w:val="18"/>
          <w:szCs w:val="18"/>
          <w:color w:val="auto"/>
        </w:rPr>
        <w:t xml:space="preserve">The following table provides a reconciliation of cash, cash equivalents and restricted cash reported within the consolidated balance sheets to the total of the amounts shown in the consolidated statements of cash flows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w:t>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1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5"/>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long-term assets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95,290</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Credit</w:t>
      </w:r>
    </w:p>
    <w:p>
      <w:pPr>
        <w:spacing w:after="0" w:line="192" w:lineRule="exact"/>
        <w:rPr>
          <w:sz w:val="20"/>
          <w:szCs w:val="20"/>
          <w:color w:val="auto"/>
        </w:rPr>
      </w:pPr>
    </w:p>
    <w:p>
      <w:pPr>
        <w:ind w:right="260" w:firstLine="318"/>
        <w:spacing w:after="0" w:line="249" w:lineRule="auto"/>
        <w:rPr>
          <w:sz w:val="20"/>
          <w:szCs w:val="20"/>
          <w:color w:val="auto"/>
        </w:rPr>
      </w:pPr>
      <w:r>
        <w:rPr>
          <w:rFonts w:ascii="Times New Roman" w:cs="Times New Roman" w:eastAsia="Times New Roman" w:hAnsi="Times New Roman"/>
          <w:sz w:val="18"/>
          <w:szCs w:val="18"/>
          <w:color w:val="auto"/>
        </w:rPr>
        <w:t xml:space="preserve">The Coronavirus Aid, Relief, and Economic Security Act (the “CARES Act”) provided refundable employee retention credits, which could be used to offset payroll tax liabilities. Under the provisions of the extension of the CARES Act, the Company qualified for the employee retention credit for the first three quarters of 2021, and the Company applied for the credit in February 2023. As there is no authoritative guidance under U.S. GAAP for accounting for grants to for-profit business entities, the Company accounted for the grant by applying Accounting Standards Codification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received an employee retention credit of $3.1 million in July 2023, and recognized the credit as a component of other income (expense), net on the consolidated statement of operations and comprehensive loss during the second quarter of 2023. The Company considered the collection of the receivable probable and recognized the credit</w:t>
      </w: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293" w:right="239" w:bottom="1440" w:gutter="0" w:footer="0" w:header="0"/>
        </w:sectPr>
      </w:pPr>
    </w:p>
    <w:bookmarkStart w:id="124" w:name="page125"/>
    <w:bookmarkEnd w:id="124"/>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after the Company received notices from the Internal Revenue Service, (the “IRS”), specifying the amount of the credit receivable and all uncertainties were resolved regarding receipt of the credit.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Interest Liability</w:t>
      </w:r>
    </w:p>
    <w:p>
      <w:pPr>
        <w:spacing w:after="0" w:line="179"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On May 12, 2023, Humacyte, Inc. and Global entered into a Revenue Interest Purchase Agreement (the “Purchase Agreement”) with the Purchasers and another affiliate of Oberland, as agent for the Purchasers. The revenue interest liability associated with the Purchase Agreement is presented net of a debt discount comprised of issuance costs, transaction costs, the fair value of a freestanding option agreement related to the Purchase Agreement, and the fair value of embedded derivatives requiring bifurcation on the consolidated balance sheets. The Company imputes interest expense associated with this liability using the interest method. The effective interest rate is calculated based on the rate that would enable the debt to be repaid in full over the anticipated life of the arrangement. The interest rate on the liability may vary during the term of the agreement depending on a number of factors, including the level and expected timing of forecasted net sales. If the level and timing of any forecasted net sales and related payments change, the Company will prospectively adjust the effective interest and the related amortization of the liability and related issuance costs on a quarterly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Derivative Liability</w:t>
      </w:r>
    </w:p>
    <w:p>
      <w:pPr>
        <w:spacing w:after="0" w:line="179" w:lineRule="exact"/>
        <w:rPr>
          <w:sz w:val="20"/>
          <w:szCs w:val="20"/>
          <w:color w:val="auto"/>
        </w:rPr>
      </w:pPr>
    </w:p>
    <w:p>
      <w:pPr>
        <w:ind w:right="20" w:firstLine="318"/>
        <w:spacing w:after="0" w:line="273" w:lineRule="auto"/>
        <w:rPr>
          <w:sz w:val="20"/>
          <w:szCs w:val="20"/>
          <w:color w:val="auto"/>
        </w:rPr>
      </w:pPr>
      <w:r>
        <w:rPr>
          <w:rFonts w:ascii="Times New Roman" w:cs="Times New Roman" w:eastAsia="Times New Roman" w:hAnsi="Times New Roman"/>
          <w:sz w:val="17"/>
          <w:szCs w:val="17"/>
          <w:color w:val="auto"/>
        </w:rPr>
        <w:t>The Purchase Agreement contains certain features that meet the definition of embedded derivatives requiring bifurcation as a separate compound financial instrument apart from the Revenue Interest Liability. The contingent derivative liability related to the Put Option, as defined in Note 6 — Revenue Interest Purchase Agreement, was initially measured at fair value upon issuance and is subject to remeasurement at each reporting period with changes in fair value recognized as other income (expense) in the consolidated statements of operations and comprehensive loss, classified in change in fair value of derivatives.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JDRF Award</w:t>
      </w:r>
    </w:p>
    <w:p>
      <w:pPr>
        <w:spacing w:after="0" w:line="192" w:lineRule="exact"/>
        <w:rPr>
          <w:sz w:val="20"/>
          <w:szCs w:val="20"/>
          <w:color w:val="auto"/>
        </w:rPr>
      </w:pPr>
    </w:p>
    <w:p>
      <w:pPr>
        <w:jc w:val="both"/>
        <w:ind w:right="520" w:firstLine="318"/>
        <w:spacing w:after="0" w:line="267" w:lineRule="auto"/>
        <w:rPr>
          <w:sz w:val="20"/>
          <w:szCs w:val="20"/>
          <w:color w:val="auto"/>
        </w:rPr>
      </w:pPr>
      <w:r>
        <w:rPr>
          <w:rFonts w:ascii="Times New Roman" w:cs="Times New Roman" w:eastAsia="Times New Roman" w:hAnsi="Times New Roman"/>
          <w:sz w:val="17"/>
          <w:szCs w:val="17"/>
          <w:color w:val="auto"/>
        </w:rPr>
        <w:t xml:space="preserve">On April 1, 2023, the Company entered into an Industry Discovery and Development Partnership Agreement with Breakthrough T1D (f/k/a JDRF International) (“JDRF,” and such agreement, the “JDRF Agreement”) to further develop and perform preclinical testing of the Company’s BioVascular Pancreas (“BVP”), a product candidate designed to deliver insulin-producing islets using the </w:t>
      </w:r>
      <w:r>
        <w:rPr>
          <w:rFonts w:ascii="Times New Roman" w:cs="Times New Roman" w:eastAsia="Times New Roman" w:hAnsi="Times New Roman"/>
          <w:sz w:val="17"/>
          <w:szCs w:val="17"/>
          <w:color w:val="231F20"/>
        </w:rPr>
        <w:t>ATEV</w:t>
      </w:r>
      <w:r>
        <w:rPr>
          <w:rFonts w:ascii="Times New Roman" w:cs="Times New Roman" w:eastAsia="Times New Roman" w:hAnsi="Times New Roman"/>
          <w:sz w:val="17"/>
          <w:szCs w:val="17"/>
          <w:color w:val="auto"/>
        </w:rPr>
        <w:t xml:space="preserve"> as a means of treating patients with type 1 diabetes.</w:t>
      </w:r>
    </w:p>
    <w:p>
      <w:pPr>
        <w:ind w:right="140"/>
        <w:spacing w:after="0" w:line="248" w:lineRule="auto"/>
        <w:rPr>
          <w:sz w:val="20"/>
          <w:szCs w:val="20"/>
          <w:color w:val="auto"/>
        </w:rPr>
      </w:pPr>
      <w:r>
        <w:rPr>
          <w:rFonts w:ascii="Times New Roman" w:cs="Times New Roman" w:eastAsia="Times New Roman" w:hAnsi="Times New Roman"/>
          <w:sz w:val="18"/>
          <w:szCs w:val="18"/>
          <w:color w:val="auto"/>
        </w:rPr>
        <w:t>According to the terms of the JDRF Agreement, JDRF will provide funding up to $0.8 million (“JDRF Award”) based on the achievement of certain research and development milestones related to the Company’s BVP. The JDRF Agreement refers to the total cumulative payments the Company has received from JDRF as of any point in time as the “Actual Award.”</w:t>
      </w:r>
    </w:p>
    <w:p>
      <w:pPr>
        <w:spacing w:after="0" w:line="148" w:lineRule="exact"/>
        <w:rPr>
          <w:sz w:val="20"/>
          <w:szCs w:val="20"/>
          <w:color w:val="auto"/>
        </w:rPr>
      </w:pPr>
    </w:p>
    <w:p>
      <w:pPr>
        <w:jc w:val="both"/>
        <w:ind w:right="140" w:firstLine="318"/>
        <w:spacing w:after="0" w:line="258" w:lineRule="auto"/>
        <w:rPr>
          <w:sz w:val="20"/>
          <w:szCs w:val="20"/>
          <w:color w:val="auto"/>
        </w:rPr>
      </w:pPr>
      <w:r>
        <w:rPr>
          <w:rFonts w:ascii="Times New Roman" w:cs="Times New Roman" w:eastAsia="Times New Roman" w:hAnsi="Times New Roman"/>
          <w:sz w:val="18"/>
          <w:szCs w:val="18"/>
          <w:color w:val="auto"/>
        </w:rPr>
        <w:t xml:space="preserve">The Company received the first milestone payment of $80 thousand in April 2023 upon execution of the JDRF Agreement. In May 2024, the Company received the second milestone payment of $90 thousand and the third milestone payment of $150 thousand, based on the achievement of certain research and development milestones specified in the JDRF Agreement. As of </w:t>
      </w:r>
      <w:r>
        <w:rPr>
          <w:rFonts w:ascii="Times New Roman" w:cs="Times New Roman" w:eastAsia="Times New Roman" w:hAnsi="Times New Roman"/>
          <w:sz w:val="18"/>
          <w:szCs w:val="18"/>
          <w:color w:val="231F20"/>
        </w:rPr>
        <w:t>December 31, 2024, the Actual Award totaled</w:t>
      </w:r>
      <w:r>
        <w:rPr>
          <w:rFonts w:ascii="Times New Roman" w:cs="Times New Roman" w:eastAsia="Times New Roman" w:hAnsi="Times New Roman"/>
          <w:sz w:val="18"/>
          <w:szCs w:val="18"/>
          <w:color w:val="auto"/>
        </w:rPr>
        <w:t xml:space="preserve"> $320 thousand</w:t>
      </w:r>
      <w:r>
        <w:rPr>
          <w:rFonts w:ascii="Times New Roman" w:cs="Times New Roman" w:eastAsia="Times New Roman" w:hAnsi="Times New Roman"/>
          <w:sz w:val="18"/>
          <w:szCs w:val="18"/>
          <w:color w:val="231F20"/>
        </w:rPr>
        <w:t>.</w:t>
      </w:r>
    </w:p>
    <w:p>
      <w:pPr>
        <w:spacing w:after="0" w:line="140"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231F20"/>
        </w:rPr>
        <w:t xml:space="preserve">As further disclosed in Note 13, in accordance with the JDRF Agreement the Company has agreed to pay JDRF a one-time royalty, to be paid in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equal installments following the first commercial sale of any product containing the Company’s technology identified in the JDRF Agreement, and an additional royalty equal to the Actual Award after net sales exceed </w:t>
      </w:r>
      <w:r>
        <w:rPr>
          <w:rFonts w:ascii="Times New Roman" w:cs="Times New Roman" w:eastAsia="Times New Roman" w:hAnsi="Times New Roman"/>
          <w:sz w:val="18"/>
          <w:szCs w:val="18"/>
          <w:color w:val="000000"/>
        </w:rPr>
        <w:t>$250 million. In the event of a license, sale or transfer of the Company’s rights to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product’s technology identified in the JDRF Agreement or a change of control transaction, the Company is obligated to pay JDRF a payment equal to 10% of any license or purchase price payments received by the Company up to an amount equal to four times the Actual Award (the “Royalty Cap”), less any previous royalty payments paid towards the Royalty Cap (the “Disposition Payment”).</w:t>
      </w:r>
    </w:p>
    <w:p>
      <w:pPr>
        <w:spacing w:after="0" w:line="162"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The JDRF Agreement expires on the date on which the Company has paid JDRF all of the above mentioned royalty payments. If the JDRF Agreement is terminated earlier in accordance with its terms, royalties based on previously received milestone payments would remain due after a termination by JDRF without cause. As the royalties are contractually required to be paid upon achieving these milestones even after the termination of the JDRF Agreement, the Company determined that the JDRF Actual Award payments are to be classified as a liability on the consolidated balance sheets. The JDRF liability related to the Actual Award payments is reported at amortized cost and is included in other long-term liabilities in the consolidated balance sheets. The Disposition Payment was determined to meet the definition of an embedded derivative requiring bifurcation and is measured at fair value each reporting period with changes in fair value</w:t>
      </w: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5" w:name="page126"/>
    <w:bookmarkEnd w:id="12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as other income (expense) in the consolidated statements of operations and comprehensive loss, classified in change in fair value of derivatives.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Concentration of Credit Risk</w:t>
      </w:r>
    </w:p>
    <w:p>
      <w:pPr>
        <w:spacing w:after="0" w:line="179"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Financial instruments which potentially subject the Company to concentrations of credit risk consist principally of cash and cash equivalents, including amounts classified as restricted cash. Total cash balances exceeded insured balances by the FDIC as of December 31, 2024 and 2023. The Company believes it mitigates this risk by monitoring the financial stability of the institutions holding material cash and cash equivalents balances. The Company maintains the majority of these balances at a Global Systemically Important Bank, as designated by the Financial Stability Board. The Company has cash equivalents that are invested in highly rated money market funds that are invested only in obligations of the U.S. government and its agencies. The Company has not experienced any credit loss relating to its cash and cash equivalents.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Net Loss per Share Attributable to Common Stockholders</w:t>
      </w:r>
    </w:p>
    <w:p>
      <w:pPr>
        <w:spacing w:after="0" w:line="179"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231F20"/>
        </w:rPr>
        <w:t>Basic net loss per share attributable to common stockholders is computed by dividing net loss attributable to common stockholders by the weighted-average number of shares of Common Stock outstanding during the period without consideration of potentially dilutive shares of Common Stock. Diluted net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 As the Company has incurred losses for the years ended December 31, 2024 and 2023, basic and diluted net loss per share is the same for each period.</w:t>
      </w:r>
    </w:p>
    <w:p>
      <w:pPr>
        <w:spacing w:after="0" w:line="149" w:lineRule="exact"/>
        <w:rPr>
          <w:sz w:val="20"/>
          <w:szCs w:val="20"/>
          <w:color w:val="auto"/>
        </w:rPr>
      </w:pPr>
    </w:p>
    <w:p>
      <w:pPr>
        <w:ind w:right="380" w:firstLine="318"/>
        <w:spacing w:after="0" w:line="271" w:lineRule="auto"/>
        <w:rPr>
          <w:sz w:val="20"/>
          <w:szCs w:val="20"/>
          <w:color w:val="auto"/>
        </w:rPr>
      </w:pPr>
      <w:r>
        <w:rPr>
          <w:rFonts w:ascii="Times New Roman" w:cs="Times New Roman" w:eastAsia="Times New Roman" w:hAnsi="Times New Roman"/>
          <w:sz w:val="18"/>
          <w:szCs w:val="18"/>
          <w:color w:val="231F20"/>
        </w:rPr>
        <w:t>The following potential shares of Common Stock were excluded from the computation of diluted net loss per share for each period because including them would have had an antidilutive effect: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6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5"/>
        </w:trPr>
        <w:tc>
          <w:tcPr>
            <w:tcW w:w="8180" w:type="dxa"/>
            <w:vAlign w:val="bottom"/>
          </w:tcPr>
          <w:p>
            <w:pPr>
              <w:spacing w:after="0"/>
              <w:rPr>
                <w:sz w:val="16"/>
                <w:szCs w:val="16"/>
                <w:color w:val="auto"/>
              </w:rPr>
            </w:pPr>
          </w:p>
        </w:tc>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1"/>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 under stock plan</w:t>
            </w:r>
          </w:p>
        </w:tc>
        <w:tc>
          <w:tcPr>
            <w:tcW w:w="1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12,274,139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11,919,421</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14,079,314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5,588,506</w:t>
            </w:r>
          </w:p>
        </w:tc>
      </w:tr>
    </w:tbl>
    <w:p>
      <w:pPr>
        <w:spacing w:after="0" w:line="242"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The 15,000,000 Contingent Earnout Shares (defined below) are excluded from the anti-dilutive table for all periods presented, as such shares are contingently issuable until the share price of the Company exceeds specified thresholds that have not yet been achieved, or upon the occurrence of a change in control. </w:t>
      </w:r>
      <w:r>
        <w:rPr>
          <w:rFonts w:ascii="Times New Roman" w:cs="Times New Roman" w:eastAsia="Times New Roman" w:hAnsi="Times New Roman"/>
          <w:sz w:val="18"/>
          <w:szCs w:val="18"/>
          <w:color w:val="000000"/>
        </w:rPr>
        <w:t>The Option Agreement, as defined in Note 6 — Revenue Interest Purchase Agreement, is excluded from the anti-dilutive table for the years ended</w:t>
      </w:r>
      <w:r>
        <w:rPr>
          <w:rFonts w:ascii="Times New Roman" w:cs="Times New Roman" w:eastAsia="Times New Roman" w:hAnsi="Times New Roman"/>
          <w:sz w:val="18"/>
          <w:szCs w:val="18"/>
          <w:color w:val="231F20"/>
        </w:rPr>
        <w:t xml:space="preserve"> December 31, 2024 and 2023</w:t>
      </w:r>
      <w:r>
        <w:rPr>
          <w:rFonts w:ascii="Times New Roman" w:cs="Times New Roman" w:eastAsia="Times New Roman" w:hAnsi="Times New Roman"/>
          <w:sz w:val="18"/>
          <w:szCs w:val="18"/>
          <w:color w:val="000000"/>
        </w:rPr>
        <w:t>, based on the Company’s assumption that the Option Agreement will not be exercised unless the Company’s stock price exceeds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$7.50 per share, the minimum purchase price under the Option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Fair Value of Financial Instruments</w:t>
      </w:r>
    </w:p>
    <w:p>
      <w:pPr>
        <w:spacing w:after="0" w:line="179"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8"/>
          <w:szCs w:val="18"/>
          <w:color w:val="231F20"/>
        </w:rPr>
        <w:t xml:space="preserve">Fair value is defined as the price that would be received to sell an asset or paid to transfer a liability in the principal or most advantageous market in an orderly transaction between market participants at the measurement date. ASC 820, </w:t>
      </w:r>
      <w:r>
        <w:rPr>
          <w:rFonts w:ascii="Times New Roman" w:cs="Times New Roman" w:eastAsia="Times New Roman" w:hAnsi="Times New Roman"/>
          <w:sz w:val="18"/>
          <w:szCs w:val="18"/>
          <w:i w:val="1"/>
          <w:iCs w:val="1"/>
          <w:color w:val="231F20"/>
        </w:rPr>
        <w:t>Fair Value Measurement and Disclosures</w:t>
      </w:r>
      <w:r>
        <w:rPr>
          <w:rFonts w:ascii="Times New Roman" w:cs="Times New Roman" w:eastAsia="Times New Roman" w:hAnsi="Times New Roman"/>
          <w:sz w:val="18"/>
          <w:szCs w:val="18"/>
          <w:color w:val="231F20"/>
        </w:rPr>
        <w:t>, establishes a hierarchy whereby inputs to valuation techniques used in measuring fair value are prioritized, or the fair value hierarchy. There are three levels to the fair value hierarchy based on reliability of inputs, as follows:</w:t>
      </w:r>
    </w:p>
    <w:p>
      <w:pPr>
        <w:spacing w:after="0" w:line="156" w:lineRule="exact"/>
        <w:rPr>
          <w:sz w:val="20"/>
          <w:szCs w:val="20"/>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1 — Observable inputs that reflect unadjusted quoted prices for identical assets or liabilities in active markets.</w:t>
      </w:r>
    </w:p>
    <w:p>
      <w:pPr>
        <w:spacing w:after="0" w:line="176" w:lineRule="exact"/>
        <w:rPr>
          <w:rFonts w:ascii="Times New Roman" w:cs="Times New Roman" w:eastAsia="Times New Roman" w:hAnsi="Times New Roman"/>
          <w:sz w:val="18"/>
          <w:szCs w:val="18"/>
          <w:color w:val="231F20"/>
        </w:rPr>
      </w:pPr>
    </w:p>
    <w:p>
      <w:pPr>
        <w:ind w:left="640" w:right="140" w:hanging="316"/>
        <w:spacing w:after="0" w:line="258" w:lineRule="auto"/>
        <w:tabs>
          <w:tab w:leader="none" w:pos="63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6" w:name="page127"/>
    <w:bookmarkEnd w:id="12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40" w:hanging="316"/>
        <w:spacing w:after="0"/>
        <w:tabs>
          <w:tab w:leader="none" w:pos="64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3 — Unobservable inputs in which little or no market data exists, therefore requiring the Company to develop its own assumptions.</w:t>
      </w:r>
    </w:p>
    <w:p>
      <w:pPr>
        <w:spacing w:after="0" w:line="177"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231F20"/>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Property and Equipment, Net</w:t>
      </w:r>
    </w:p>
    <w:p>
      <w:pPr>
        <w:spacing w:after="0" w:line="192"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231F20"/>
        </w:rPr>
        <w:t>Property and equipment, net are recorded at cost less accumulated depreciation. Expenditures for major additions and improvements are capitalized and minor replacements, maintenance, and repairs are charged to expense as incurred. When property and equipment are retired or otherwise disposed of, the cost and accumulated depreciation are removed from the balance sheet accounts and any resulting gain or loss is included in the results of operations for the respective period. Depreciation is calculated using the straight-line method over the estimated useful lives of the related assets. The estimated useful lives for significant asset categories are as follows:</w:t>
      </w:r>
    </w:p>
    <w:p>
      <w:pPr>
        <w:spacing w:after="0" w:line="16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w:t>
            </w:r>
          </w:p>
        </w:tc>
        <w:tc>
          <w:tcPr>
            <w:tcW w:w="3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Estimated Useful</w:t>
            </w:r>
          </w:p>
        </w:tc>
        <w:tc>
          <w:tcPr>
            <w:tcW w:w="0" w:type="dxa"/>
            <w:vAlign w:val="bottom"/>
          </w:tcPr>
          <w:p>
            <w:pPr>
              <w:spacing w:after="0"/>
              <w:rPr>
                <w:sz w:val="1"/>
                <w:szCs w:val="1"/>
                <w:color w:val="auto"/>
              </w:rPr>
            </w:pPr>
          </w:p>
        </w:tc>
      </w:tr>
      <w:tr>
        <w:trPr>
          <w:trHeight w:val="191"/>
        </w:trPr>
        <w:tc>
          <w:tcPr>
            <w:tcW w:w="6820" w:type="dxa"/>
            <w:vAlign w:val="bottom"/>
            <w:gridSpan w:val="2"/>
            <w:vMerge w:val="continue"/>
          </w:tcPr>
          <w:p>
            <w:pPr>
              <w:spacing w:after="0"/>
              <w:rPr>
                <w:sz w:val="16"/>
                <w:szCs w:val="16"/>
                <w:color w:val="auto"/>
              </w:rPr>
            </w:pPr>
          </w:p>
        </w:tc>
        <w:tc>
          <w:tcPr>
            <w:tcW w:w="3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Lives (Years)</w:t>
            </w:r>
          </w:p>
        </w:tc>
        <w:tc>
          <w:tcPr>
            <w:tcW w:w="0" w:type="dxa"/>
            <w:vAlign w:val="bottom"/>
          </w:tcPr>
          <w:p>
            <w:pPr>
              <w:spacing w:after="0"/>
              <w:rPr>
                <w:sz w:val="1"/>
                <w:szCs w:val="1"/>
                <w:color w:val="auto"/>
              </w:rPr>
            </w:pPr>
          </w:p>
        </w:tc>
      </w:tr>
      <w:tr>
        <w:trPr>
          <w:trHeight w:val="224"/>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Scientific equipment</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w:t>
            </w:r>
          </w:p>
        </w:tc>
        <w:tc>
          <w:tcPr>
            <w:tcW w:w="0" w:type="dxa"/>
            <w:vAlign w:val="bottom"/>
          </w:tcPr>
          <w:p>
            <w:pPr>
              <w:spacing w:after="0"/>
              <w:rPr>
                <w:sz w:val="1"/>
                <w:szCs w:val="1"/>
                <w:color w:val="auto"/>
              </w:rPr>
            </w:pPr>
          </w:p>
        </w:tc>
      </w:tr>
      <w:tr>
        <w:trPr>
          <w:trHeight w:val="225"/>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580" w:type="dxa"/>
            <w:vAlign w:val="bottom"/>
          </w:tcPr>
          <w:p>
            <w:pPr>
              <w:spacing w:after="0"/>
              <w:rPr>
                <w:sz w:val="19"/>
                <w:szCs w:val="19"/>
                <w:color w:val="auto"/>
              </w:rPr>
            </w:pP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580" w:type="dxa"/>
            <w:vAlign w:val="bottom"/>
            <w:shd w:val="clear" w:color="auto" w:fill="CCEEFF"/>
          </w:tcPr>
          <w:p>
            <w:pPr>
              <w:spacing w:after="0"/>
              <w:rPr>
                <w:sz w:val="19"/>
                <w:szCs w:val="19"/>
                <w:color w:val="auto"/>
              </w:rPr>
            </w:pP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w:t>
            </w:r>
          </w:p>
        </w:tc>
        <w:tc>
          <w:tcPr>
            <w:tcW w:w="0" w:type="dxa"/>
            <w:vAlign w:val="bottom"/>
          </w:tcPr>
          <w:p>
            <w:pPr>
              <w:spacing w:after="0"/>
              <w:rPr>
                <w:sz w:val="1"/>
                <w:szCs w:val="1"/>
                <w:color w:val="auto"/>
              </w:rPr>
            </w:pPr>
          </w:p>
        </w:tc>
      </w:tr>
      <w:tr>
        <w:trPr>
          <w:trHeight w:val="225"/>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Lesser of useful life or life of lease</w:t>
            </w: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Impairment of Long-Lived Assets</w:t>
      </w:r>
    </w:p>
    <w:p>
      <w:pPr>
        <w:spacing w:after="0" w:line="179"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231F20"/>
        </w:rPr>
        <w:t>The Company reviews the carrying value of property and equipment for indicators of possible impairment whenever events and circumstances indicate that the carrying value of an asset or asset group may not be recoverable from the estimated future net undiscounted cash flows expected to result from its use and eventual disposition. In cases where estimated future net undiscounted cash flows are less than the carrying value, an impairment loss is recognized equal to an amount by which the carrying value exceeds the fair value of the asset or asset group. The factors considered by management in performing this assessment include current operating results, trends and prospects, the manner in which the property is used, and the effects of obsolescence, demand, competition, and other economic factors. Based on this assessment, during the years ended December 31, 2024 and 2023, respectively, the Company concluded there were no such events or changes in circumstances requiring review of the carrying amount of the Company’s long-lived assets and there was no impairment during the years ended December 31, 2024 and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Income Taxes</w:t>
      </w:r>
    </w:p>
    <w:p>
      <w:pPr>
        <w:spacing w:after="0" w:line="179" w:lineRule="exact"/>
        <w:rPr>
          <w:sz w:val="20"/>
          <w:szCs w:val="20"/>
          <w:color w:val="auto"/>
        </w:rPr>
      </w:pPr>
    </w:p>
    <w:p>
      <w:pPr>
        <w:ind w:right="120" w:firstLine="318"/>
        <w:spacing w:after="0" w:line="254" w:lineRule="auto"/>
        <w:rPr>
          <w:sz w:val="20"/>
          <w:szCs w:val="20"/>
          <w:color w:val="auto"/>
        </w:rPr>
      </w:pPr>
      <w:r>
        <w:rPr>
          <w:rFonts w:ascii="Times New Roman" w:cs="Times New Roman" w:eastAsia="Times New Roman" w:hAnsi="Times New Roman"/>
          <w:sz w:val="18"/>
          <w:szCs w:val="18"/>
          <w:color w:val="231F20"/>
        </w:rPr>
        <w:t>Income taxes are computed using the asset and liability approach that requires the recognition of deferred tax assets and liabilities for the expected future tax consequences of events that have been recognized in the Company’s financial statements. A valuation allowance is recorded, if necessary, to reduce net deferred tax assets to their realizable values if management does not believe it is more likely than not that the net deferred tax assets will be realized. As of December 31, 2024 and 2023, the Company has recorded a full valuation allowance against its deferred tax assets.</w:t>
      </w:r>
    </w:p>
    <w:p>
      <w:pPr>
        <w:spacing w:after="0" w:line="143"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8"/>
          <w:szCs w:val="18"/>
          <w:color w:val="231F20"/>
        </w:rPr>
        <w:t>The Company applies the accounting guidance for uncertainties in income taxes, which prescribes a recognition threshold and measurement process for recording uncertain tax positions taken, or expected to be taken, in a tax return in the financial statements. Additionally, the guidance also prescribes the treatment for derecognition, classification, accounting in interim periods and disclosure requirements for uncertain tax positions. The Company accrues for the estimated amount of taxes for uncertain tax positions if it is more likely than not that the Company would be required to pay such additional taxes.</w:t>
      </w:r>
    </w:p>
    <w:p>
      <w:pPr>
        <w:spacing w:after="0" w:line="200" w:lineRule="exact"/>
        <w:rPr>
          <w:sz w:val="20"/>
          <w:szCs w:val="20"/>
          <w:color w:val="auto"/>
        </w:rPr>
      </w:pPr>
    </w:p>
    <w:p>
      <w:pPr>
        <w:spacing w:after="0" w:line="3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7" w:name="page128"/>
    <w:bookmarkEnd w:id="12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7"/>
          <w:szCs w:val="17"/>
          <w:color w:val="231F20"/>
        </w:rPr>
        <w:t>The Company recognizes the benefit of an income tax position only if it is more likely than not (greater than 50%) that the tax position will be sustained upon tax examination, based solely on the technical merits of the tax position. Otherwise, no benefit can be recognized. Assessing an uncertain tax position begins with the initial determination of the sustainability of the position and is measured at the largest amount of benefit that is greater than 50% likely of being realized upon ultimate settlement. As of each balance sheet date, unresolved uncertain tax positions must be reassessed. Additionally, the Company must accrue interest and related penalties, if applicable, on all tax exposures for which reserves have been established consistent with jurisdictional tax laws.</w:t>
      </w:r>
    </w:p>
    <w:p>
      <w:pPr>
        <w:spacing w:after="0" w:line="131"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The Company has analyzed its filing positions in all significant Federal and state jurisdictions where it is required to file income tax returns, as well as open tax years in these jurisdictions. As of December 31, 2024 and 2023, the Company has determined that no uncertain tax positions would have a material impact on the financials statements of the Company. The Company is no longer subject to Federal, state, and local tax examinations by tax authorities for years before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31F20"/>
        </w:rPr>
        <w:t xml:space="preserve"> although carry-forward attributes that were generated prior to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31F20"/>
        </w:rPr>
        <w:t xml:space="preserve"> may still be adjusted upon examination by the taxing authorities if they either have been or will be used in a future period. No income tax returns are currently under examination by taxing authorities.</w:t>
      </w:r>
    </w:p>
    <w:p>
      <w:pPr>
        <w:spacing w:after="0" w:line="148" w:lineRule="exact"/>
        <w:rPr>
          <w:sz w:val="20"/>
          <w:szCs w:val="20"/>
          <w:color w:val="auto"/>
        </w:rPr>
      </w:pPr>
    </w:p>
    <w:p>
      <w:pPr>
        <w:jc w:val="both"/>
        <w:ind w:right="280" w:firstLine="318"/>
        <w:spacing w:after="0" w:line="254" w:lineRule="auto"/>
        <w:rPr>
          <w:sz w:val="20"/>
          <w:szCs w:val="20"/>
          <w:color w:val="auto"/>
        </w:rPr>
      </w:pPr>
      <w:r>
        <w:rPr>
          <w:rFonts w:ascii="Times New Roman" w:cs="Times New Roman" w:eastAsia="Times New Roman" w:hAnsi="Times New Roman"/>
          <w:sz w:val="18"/>
          <w:szCs w:val="18"/>
          <w:color w:val="231F20"/>
        </w:rPr>
        <w:t>As of December 31, 2024 and 2023, the Company had not recorded any amounts for unrecognized tax benefits. The Company’s policy is to recognize interest and penalties related to uncertain tax positions in the provision for income taxes. As of December 31, 2024 and 2023, the Company had no accrued interest or penalties related to uncertain tax positions, and no amounts had been recognized in the Company’s statements of operations and comprehensive loss.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Intellectual Property</w:t>
      </w:r>
    </w:p>
    <w:p>
      <w:pPr>
        <w:spacing w:after="0" w:line="179" w:lineRule="exact"/>
        <w:rPr>
          <w:sz w:val="20"/>
          <w:szCs w:val="20"/>
          <w:color w:val="auto"/>
        </w:rPr>
      </w:pPr>
    </w:p>
    <w:p>
      <w:pPr>
        <w:ind w:right="100" w:firstLine="318"/>
        <w:spacing w:after="0" w:line="254" w:lineRule="auto"/>
        <w:rPr>
          <w:sz w:val="20"/>
          <w:szCs w:val="20"/>
          <w:color w:val="auto"/>
        </w:rPr>
      </w:pPr>
      <w:r>
        <w:rPr>
          <w:rFonts w:ascii="Times New Roman" w:cs="Times New Roman" w:eastAsia="Times New Roman" w:hAnsi="Times New Roman"/>
          <w:sz w:val="18"/>
          <w:szCs w:val="18"/>
          <w:color w:val="231F20"/>
        </w:rPr>
        <w:t>The Company seeks to protect its intellectual property by filing patent applications in the United States and abroad related to novel technologies and product candidates that it views as important to its business. The patent positions of biotechnology companies generally, including the Company’s patent positions, is highly uncertain and involves complex legal and factual questions for which legal principles remain unresolved. Patent costs have been expensed as incurred as general and administrative expense.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Research and Development</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Company expenses research and development costs as operating expenses as incurred. Research and development expenses consist primarily of:</w:t>
      </w:r>
    </w:p>
    <w:p>
      <w:pPr>
        <w:spacing w:after="0" w:line="177" w:lineRule="exact"/>
        <w:rPr>
          <w:sz w:val="20"/>
          <w:szCs w:val="20"/>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salaries and related overhead expenses for personnel in research and development functions, including stock-based compensation and benefits;</w:t>
      </w:r>
    </w:p>
    <w:p>
      <w:pPr>
        <w:spacing w:after="0" w:line="176" w:lineRule="exact"/>
        <w:rPr>
          <w:rFonts w:ascii="Times New Roman" w:cs="Times New Roman" w:eastAsia="Times New Roman" w:hAnsi="Times New Roman"/>
          <w:sz w:val="18"/>
          <w:szCs w:val="18"/>
          <w:color w:val="231F20"/>
        </w:rPr>
      </w:pPr>
    </w:p>
    <w:p>
      <w:pPr>
        <w:ind w:left="640" w:right="280" w:hanging="316"/>
        <w:spacing w:after="0" w:line="301" w:lineRule="auto"/>
        <w:tabs>
          <w:tab w:leader="none" w:pos="635" w:val="left"/>
        </w:tabs>
        <w:numPr>
          <w:ilvl w:val="0"/>
          <w:numId w:val="5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fees paid to CROs and consultants, including in connection with clinical trials, and other related clinical trial fees, such as for clinical site fees and investigator grants related to patient screening and treatment, conduct of clinical trials, laboratory work and statistical compilation and analysis;</w:t>
      </w:r>
    </w:p>
    <w:p>
      <w:pPr>
        <w:spacing w:after="0" w:line="118" w:lineRule="exact"/>
        <w:rPr>
          <w:rFonts w:ascii="Times New Roman" w:cs="Times New Roman" w:eastAsia="Times New Roman" w:hAnsi="Times New Roman"/>
          <w:sz w:val="17"/>
          <w:szCs w:val="17"/>
          <w:color w:val="231F20"/>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allocation of facility lease and maintenance costs;</w:t>
      </w:r>
    </w:p>
    <w:p>
      <w:pPr>
        <w:spacing w:after="0" w:line="17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depreciation of leasehold improvements, laboratory equipment and computers;</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purchasing raw materials for and producing product candidates for clinical trials;</w:t>
      </w:r>
    </w:p>
    <w:p>
      <w:pPr>
        <w:spacing w:after="0" w:line="190"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compliance with regulatory requirements;</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the manufacturing scale-out initiative; and</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license fees related to in-licensed technologies.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8" w:name="page129"/>
    <w:bookmarkEnd w:id="12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Accrued Research and Development</w:t>
      </w:r>
    </w:p>
    <w:p>
      <w:pPr>
        <w:spacing w:after="0" w:line="179"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231F20"/>
        </w:rPr>
        <w:t>The Company has entered into various agreements with CROs, which conduct preclinical studies and clinical trials.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on the balance sheet.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until the services are rendered.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Stock-Based Compensation</w:t>
      </w:r>
    </w:p>
    <w:p>
      <w:pPr>
        <w:spacing w:after="0" w:line="19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The Company accounts for stock-based compensation for employees and non-employees measured at grant date, based on the fair value of the award. The Company measures the fair value of awards granted using the Black-Scholes option pricing model and recognizes the expense over the requisite service period using the straight-line method.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Common Stock Warrants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Public and Private Placement Warrants</w:t>
      </w:r>
    </w:p>
    <w:p>
      <w:pPr>
        <w:spacing w:after="0" w:line="194"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231F20"/>
        </w:rPr>
        <w:t>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Common Stock, at an exercise price of $11.50 per share.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eligible for a cashless exercise. 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spacing w:after="0" w:line="153"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8"/>
          <w:szCs w:val="18"/>
          <w:color w:val="231F20"/>
        </w:rPr>
        <w:t xml:space="preserve">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shares. As such, the Common Stock Warrants were not classified as liabilities under FASB ASC Topic 480, </w:t>
      </w:r>
      <w:r>
        <w:rPr>
          <w:rFonts w:ascii="Times New Roman" w:cs="Times New Roman" w:eastAsia="Times New Roman" w:hAnsi="Times New Roman"/>
          <w:sz w:val="18"/>
          <w:szCs w:val="18"/>
          <w:i w:val="1"/>
          <w:iCs w:val="1"/>
          <w:color w:val="231F20"/>
        </w:rPr>
        <w:t>Distinguishing Liabilities from Equity</w:t>
      </w:r>
      <w:r>
        <w:rPr>
          <w:rFonts w:ascii="Times New Roman" w:cs="Times New Roman" w:eastAsia="Times New Roman" w:hAnsi="Times New Roman"/>
          <w:sz w:val="18"/>
          <w:szCs w:val="18"/>
          <w:color w:val="231F20"/>
        </w:rPr>
        <w:t xml:space="preserve"> (“ASC 480”). The Company then evaluated the Common Stock Warrants under FASB ASC Topic 815, </w:t>
      </w:r>
      <w:r>
        <w:rPr>
          <w:rFonts w:ascii="Times New Roman" w:cs="Times New Roman" w:eastAsia="Times New Roman" w:hAnsi="Times New Roman"/>
          <w:sz w:val="18"/>
          <w:szCs w:val="18"/>
          <w:i w:val="1"/>
          <w:iCs w:val="1"/>
          <w:color w:val="231F20"/>
        </w:rPr>
        <w:t>Derivatives and Hedging</w:t>
      </w:r>
      <w:r>
        <w:rPr>
          <w:rFonts w:ascii="Times New Roman" w:cs="Times New Roman" w:eastAsia="Times New Roman" w:hAnsi="Times New Roman"/>
          <w:sz w:val="18"/>
          <w:szCs w:val="18"/>
          <w:color w:val="231F20"/>
        </w:rPr>
        <w:t xml:space="preserve"> (“ASC 815”).</w:t>
      </w:r>
    </w:p>
    <w:p>
      <w:pPr>
        <w:spacing w:after="0" w:line="143"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231F20"/>
        </w:rPr>
        <w:t>The agreement governing the Common Stock Warrants includes a provision (“Replacement of Securities Upon Reorganization”), the application of which could result in a different settlement value for the Private Placement Warrants depending on their holder. Because the holder of an instrument is not an input into the pricing of a fixed-for-fixed option on the Company’s ordinary shares, the Private Placement Warrants are not considered to be “indexed to the Company’s own stock” and therefore are not classified in stockholders’ equity. As the Private Placement Warrants meet the definition of a derivative, the Company recorded these warrants as liabilities on the consolidated balance sheet at fair value, with subsequent changes in their respective fair values recognized in the consolidated statements of operations and comprehensive loss at each reporting date.</w:t>
      </w:r>
    </w:p>
    <w:p>
      <w:pPr>
        <w:spacing w:after="0" w:line="200" w:lineRule="exact"/>
        <w:rPr>
          <w:sz w:val="20"/>
          <w:szCs w:val="20"/>
          <w:color w:val="auto"/>
        </w:rPr>
      </w:pP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9" w:name="page130"/>
    <w:bookmarkEnd w:id="12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The Public Warrants are considered to be “indexed to the Company’s own stock”. The agreement provides that in the event of a tender or exchange offer made to and accepted by holders of more than 50% of the outstanding shares of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shares of Common Stock will always result in a change-in-control and would not preclude permanent equity classification of the Public Warrants. Based on this evaluation, the Company concluded that the Public Warrants meet the criteria to be classified within stockholders’ equity.</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Registered Direct Offering Warrants</w:t>
      </w:r>
    </w:p>
    <w:p>
      <w:pPr>
        <w:spacing w:after="0" w:line="181" w:lineRule="exact"/>
        <w:rPr>
          <w:sz w:val="20"/>
          <w:szCs w:val="20"/>
          <w:color w:val="auto"/>
        </w:rPr>
      </w:pPr>
    </w:p>
    <w:p>
      <w:pPr>
        <w:ind w:right="200" w:firstLine="318"/>
        <w:spacing w:after="0" w:line="273" w:lineRule="auto"/>
        <w:rPr>
          <w:sz w:val="20"/>
          <w:szCs w:val="20"/>
          <w:color w:val="auto"/>
        </w:rPr>
      </w:pPr>
      <w:r>
        <w:rPr>
          <w:rFonts w:ascii="Times New Roman" w:cs="Times New Roman" w:eastAsia="Times New Roman" w:hAnsi="Times New Roman"/>
          <w:sz w:val="17"/>
          <w:szCs w:val="17"/>
          <w:color w:val="auto"/>
        </w:rPr>
        <w:t>As further disclosed in Note 9, in October 2024, the Company completed a registered direct offering whereby Common Stock warrants were issued to purchase up to 5,681,820 shares of Common Stock (the “October 2024 RDO Warrants”). In November 2024, the Company completed a registered direct offering whereby Common Stock warrants were issued to purchase up to 2,808,988 shares of Common Stock of the Company, (the “November 2024 RDO Warrants”). Together the October 2024 RDO Warrants and the November 2024 RDO Warrants are referred to as the “Registered Direct Offering Warrants”).</w:t>
      </w:r>
    </w:p>
    <w:p>
      <w:pPr>
        <w:spacing w:after="0" w:line="143"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The Company evaluated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to determine the appropriate financial statement classification upon issuance. The </w:t>
      </w:r>
      <w:r>
        <w:rPr>
          <w:rFonts w:ascii="Times New Roman" w:cs="Times New Roman" w:eastAsia="Times New Roman" w:hAnsi="Times New Roman"/>
          <w:sz w:val="18"/>
          <w:szCs w:val="18"/>
          <w:color w:val="000000"/>
        </w:rPr>
        <w:t xml:space="preserve">Registered Direct Offering Warrants </w:t>
      </w:r>
      <w:r>
        <w:rPr>
          <w:rFonts w:ascii="Times New Roman" w:cs="Times New Roman" w:eastAsia="Times New Roman" w:hAnsi="Times New Roman"/>
          <w:sz w:val="18"/>
          <w:szCs w:val="18"/>
          <w:color w:val="231F20"/>
        </w:rPr>
        <w:t>are not mandatorily redeemable and are considered to be freestanding instruments as they are separately exercisable into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common shares. The Company is not required to transfer assets to settle the warrants, except potentially as a result of a fundamental transaction (defined in the agreement to include various merger and change in control transactions). As such,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were not classified as liabilities under ASC 480. The Company then evaluated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under ASC 815.</w:t>
      </w:r>
    </w:p>
    <w:p>
      <w:pPr>
        <w:spacing w:after="0" w:line="148" w:lineRule="exact"/>
        <w:rPr>
          <w:sz w:val="20"/>
          <w:szCs w:val="20"/>
          <w:color w:val="auto"/>
        </w:rPr>
      </w:pPr>
    </w:p>
    <w:p>
      <w:pPr>
        <w:ind w:right="200" w:firstLine="318"/>
        <w:spacing w:after="0" w:line="268" w:lineRule="auto"/>
        <w:rPr>
          <w:sz w:val="20"/>
          <w:szCs w:val="20"/>
          <w:color w:val="auto"/>
        </w:rPr>
      </w:pPr>
      <w:r>
        <w:rPr>
          <w:rFonts w:ascii="Times New Roman" w:cs="Times New Roman" w:eastAsia="Times New Roman" w:hAnsi="Times New Roman"/>
          <w:sz w:val="17"/>
          <w:szCs w:val="17"/>
          <w:color w:val="231F20"/>
        </w:rPr>
        <w:t xml:space="preserve">The agreements governing the </w:t>
      </w:r>
      <w:r>
        <w:rPr>
          <w:rFonts w:ascii="Times New Roman" w:cs="Times New Roman" w:eastAsia="Times New Roman" w:hAnsi="Times New Roman"/>
          <w:sz w:val="17"/>
          <w:szCs w:val="17"/>
          <w:color w:val="000000"/>
        </w:rPr>
        <w:t>Registered Direct Offering Warrants</w:t>
      </w:r>
      <w:r>
        <w:rPr>
          <w:rFonts w:ascii="Times New Roman" w:cs="Times New Roman" w:eastAsia="Times New Roman" w:hAnsi="Times New Roman"/>
          <w:sz w:val="17"/>
          <w:szCs w:val="17"/>
          <w:color w:val="231F20"/>
        </w:rPr>
        <w:t xml:space="preserve"> include a provision, the application of which could result in a different settlement value for the warrants. T</w:t>
      </w:r>
      <w:r>
        <w:rPr>
          <w:rFonts w:ascii="Times New Roman" w:cs="Times New Roman" w:eastAsia="Times New Roman" w:hAnsi="Times New Roman"/>
          <w:sz w:val="17"/>
          <w:szCs w:val="17"/>
          <w:color w:val="000000"/>
        </w:rPr>
        <w:t>he Warrants cannot be exercised if after the exercise the warrant holder would own more than 4.99% of the Company’s outstanding</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Common Stock (“Beneficial Ownership Limitation”). The holder may elect to increase the Beneficial Ownership Limitation to 9.99%. The Beneficial Ownership Limitation constitutes an exercise contingency in that it limits or defers the exercise of some of the Registered Direct Offering Warrants if the limitation would otherwise be reached, depending on the number of shares of Common Stock that are outstanding. The exercise contingency is not based on either an observable market or an observable index, so it does not preclude the Warrants from being considered indexed to the Company’s own stock.</w:t>
      </w:r>
    </w:p>
    <w:p>
      <w:pPr>
        <w:spacing w:after="0" w:line="133"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the event of a fundamental transaction, if the warrant holder elects to have the Company repurchase the warrant, the Black-Scholes value of the warrant is calculated with adjustments to the stock price and volatility of the shares on the market. These are not standard adjustments in determining the fair value of an option. As the volatility adjustment provision violates the fixed-for-fixed rule, the Registered Direct Offering Warrants </w:t>
      </w:r>
      <w:r>
        <w:rPr>
          <w:rFonts w:ascii="Times New Roman" w:cs="Times New Roman" w:eastAsia="Times New Roman" w:hAnsi="Times New Roman"/>
          <w:sz w:val="18"/>
          <w:szCs w:val="18"/>
          <w:color w:val="231F20"/>
        </w:rPr>
        <w:t>are not considered to be “indexed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 Company’s own stock” and therefore are not classified in stockholders’ equity. As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meet the definition of a derivative, the Company recorded these warrants as liabilities on the consolidated balance sheet at fair value, with subsequent changes in their respective fair values recognized in the consolidated statements of operations and comprehensive loss at each reporting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w:t>
      </w:r>
    </w:p>
    <w:p>
      <w:pPr>
        <w:spacing w:after="0" w:line="179"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231F20"/>
        </w:rPr>
        <w:t>Pursuant to the Merger Agreement, following the closing of the Merger (the “Closing”), Legacy Humacyte equity holders are entitled to receive additional merger consideration of up to 15,000,000 additional shares of Common Stock (the “Contingent Earnout Shares”), comprised of two separate tranches of 7,500,000 shares per tranche, for no consideration upon the occurrence of certain triggering events, including a change of control event that is not solely indexed to the Common Stock. In accordance with ASC 815-40, as the earnout shares were not indexed to the common stock, they were accounted for as a liability (“Contingent Earnout Liability”) at the Reverse Recapitalization date and subsequently remeasured at each reporting date with changes in fair value recorded as a component of other income (expense), net in the consolidated statements of operations and comprehensive loss.</w:t>
      </w:r>
    </w:p>
    <w:p>
      <w:pPr>
        <w:spacing w:after="0" w:line="200" w:lineRule="exact"/>
        <w:rPr>
          <w:sz w:val="20"/>
          <w:szCs w:val="20"/>
          <w:color w:val="auto"/>
        </w:rPr>
      </w:pPr>
    </w:p>
    <w:p>
      <w:pPr>
        <w:spacing w:after="0" w:line="3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0" w:name="page131"/>
    <w:bookmarkEnd w:id="130"/>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318"/>
        <w:spacing w:after="0" w:line="254" w:lineRule="auto"/>
        <w:rPr>
          <w:sz w:val="20"/>
          <w:szCs w:val="20"/>
          <w:color w:val="auto"/>
        </w:rPr>
      </w:pPr>
      <w:r>
        <w:rPr>
          <w:rFonts w:ascii="Times New Roman" w:cs="Times New Roman" w:eastAsia="Times New Roman" w:hAnsi="Times New Roman"/>
          <w:sz w:val="18"/>
          <w:szCs w:val="18"/>
          <w:color w:val="231F20"/>
        </w:rPr>
        <w:t>The estimated fair value of the Contingent Earnout Liability was determined using a Monte Carlo simulation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w:t>
      </w:r>
    </w:p>
    <w:p>
      <w:pPr>
        <w:spacing w:after="0" w:line="143" w:lineRule="exact"/>
        <w:rPr>
          <w:sz w:val="20"/>
          <w:szCs w:val="20"/>
          <w:color w:val="auto"/>
        </w:rPr>
      </w:pPr>
    </w:p>
    <w:p>
      <w:pPr>
        <w:ind w:right="480" w:firstLine="318"/>
        <w:spacing w:after="0" w:line="258" w:lineRule="auto"/>
        <w:rPr>
          <w:sz w:val="20"/>
          <w:szCs w:val="20"/>
          <w:color w:val="auto"/>
        </w:rPr>
      </w:pPr>
      <w:r>
        <w:rPr>
          <w:rFonts w:ascii="Times New Roman" w:cs="Times New Roman" w:eastAsia="Times New Roman" w:hAnsi="Times New Roman"/>
          <w:sz w:val="18"/>
          <w:szCs w:val="18"/>
          <w:color w:val="231F20"/>
        </w:rPr>
        <w:t>The Contingent Earnout Shares are categorized as a Level 3 fair value measurement (see “Fair Value of Financial Instruments” accounting policy described above) because the Company estimated projections over a 10-year period utilizing unobservable inputs. Contingent earnout payments involve certain assumptions requiring significant judgment and actual results can differ from assumed and estimated amounts.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Leases</w:t>
      </w:r>
    </w:p>
    <w:p>
      <w:pPr>
        <w:spacing w:after="0" w:line="190"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The Company accounts for its leases under ASC 842, </w:t>
      </w:r>
      <w:r>
        <w:rPr>
          <w:rFonts w:ascii="Times New Roman" w:cs="Times New Roman" w:eastAsia="Times New Roman" w:hAnsi="Times New Roman"/>
          <w:sz w:val="18"/>
          <w:szCs w:val="18"/>
          <w:i w:val="1"/>
          <w:iCs w:val="1"/>
          <w:color w:val="231F20"/>
        </w:rPr>
        <w:t>Leases</w:t>
      </w:r>
      <w:r>
        <w:rPr>
          <w:rFonts w:ascii="Times New Roman" w:cs="Times New Roman" w:eastAsia="Times New Roman" w:hAnsi="Times New Roman"/>
          <w:sz w:val="18"/>
          <w:szCs w:val="18"/>
          <w:color w:val="231F20"/>
        </w:rPr>
        <w:t>. The Company determines if an arrangement is or contains a lease and the classification of that lease at inception of a contract. The Company’s operating lease assets are included in “other long-term assets”, and the current and non-current portions of the operating lease liabilities are included in “other current liabilities”, and “other long-term liabilities”, respectively, on the consolidated balance sheets. The Company’s finance lease assets are included in “finance lease right-of-use assets, net”, and the current and non-current portions of the finance lease liabilities are included in “finance lease obligation, current portion”, and “finance lease obligation, net of current portion”, respectively, on the consolidated balance sheets.</w:t>
      </w:r>
    </w:p>
    <w:p>
      <w:pPr>
        <w:spacing w:after="0" w:line="146"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231F20"/>
        </w:rPr>
        <w:t>Under this guidance, arrangements meeting the definition of a lease are classified as operating or finance leases, and are recorded on the consolidated balance sheet as both a right-of-use asset and lease liability, calculated by discounting fixed lease payments over the lease term at the rate implicit in the lease or the Company’s incremental borrowing rate. Lease right-of-use assets and lease obligations are recognized based on the present value of the future minimum lease payments over the lease term at commencement date. Operating lease right-of-use assets are adjusted for (i) payments made at or before the commencement date, (ii) initial direct costs incurred, and (iii) tenant incentives under the lease. As the implicit rate for the operating leases were not determinable, the Company used an incremental borrowing rate based on the information available at the respective lease commencement dates in determining the present value of future payments. The incremental borrowing rate represents the interest rate the Company would expect to incur at lease commencement to borrow an amount equal to the lease payments on a collateralized basis over the term of a lease. The Company determined the incremental borrowing rate by considering various factors, such as its credit rating, interest rates of similar debt instruments of entities with comparable credit ratings, the lease term and the currency in which the lease was denominated. The Company considers a lease term to be the noncancelable period that it has the right to use the underlying asset, including any periods where it is reasonably certain the Company will exercise any option to extend the contract.</w:t>
      </w:r>
    </w:p>
    <w:p>
      <w:pPr>
        <w:spacing w:after="0" w:line="136"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8"/>
          <w:szCs w:val="18"/>
          <w:color w:val="231F20"/>
        </w:rPr>
        <w:t>Lease expenses for minimum lease payments for operating leases are recognized on a straight-line basis over the lease term. Amortization expense of the right-of-use asset for finance leases is recognized on a straight-line basis over the lease term and interest expense for finance leases is recognized based on the incremental borrowing rate. Lease liabilities are increased by interest and reduced by payments each period, and the right of use asset is amortized over the lease term.</w:t>
      </w:r>
    </w:p>
    <w:p>
      <w:pPr>
        <w:spacing w:after="0" w:line="156" w:lineRule="exact"/>
        <w:rPr>
          <w:sz w:val="20"/>
          <w:szCs w:val="20"/>
          <w:color w:val="auto"/>
        </w:rPr>
      </w:pPr>
    </w:p>
    <w:p>
      <w:pPr>
        <w:ind w:right="100" w:firstLine="318"/>
        <w:spacing w:after="0" w:line="258" w:lineRule="auto"/>
        <w:rPr>
          <w:sz w:val="20"/>
          <w:szCs w:val="20"/>
          <w:color w:val="auto"/>
        </w:rPr>
      </w:pPr>
      <w:r>
        <w:rPr>
          <w:rFonts w:ascii="Times New Roman" w:cs="Times New Roman" w:eastAsia="Times New Roman" w:hAnsi="Times New Roman"/>
          <w:sz w:val="18"/>
          <w:szCs w:val="18"/>
          <w:color w:val="231F20"/>
        </w:rPr>
        <w:t>In calculating the right-of-use assets and lease liabilities, the Company has elected to combine lease and non-lease components for all asset classes. The Company excludes short-term leases, if any, having initial terms of 12 months or less from the new guidance as an accounting policy election, and recognizes rent expense on a straight-line basis over the lease term.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Risks and Uncertainties</w:t>
      </w:r>
    </w:p>
    <w:p>
      <w:pPr>
        <w:spacing w:after="0" w:line="179"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231F20"/>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its ongoing V007 and V012 Phase 3 clinical trials, successful commercialization of Symvess and regulatory approval and commercialization of its product candidates, if approved, the expected size of the target populations for the Company’s product candidates, the degree of market acceptance of Symvess, and if approved by regulatory authorities, our product candidates, the availability of third-party coverage and reimbursement, development by competitors of new technological innovations, the ability to manufacture Symvess and its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Company’s implementation and</w:t>
      </w: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31" w:name="page132"/>
    <w:bookmarkEnd w:id="131"/>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maintenance of effective internal controls, and the ability to secure additional capital to fund operations and the commercial success of its product candidates.</w:t>
      </w:r>
    </w:p>
    <w:p>
      <w:pPr>
        <w:spacing w:after="0" w:line="188" w:lineRule="exact"/>
        <w:rPr>
          <w:sz w:val="20"/>
          <w:szCs w:val="20"/>
          <w:color w:val="auto"/>
        </w:rPr>
      </w:pPr>
    </w:p>
    <w:p>
      <w:pPr>
        <w:jc w:val="both"/>
        <w:ind w:right="60" w:firstLine="318"/>
        <w:spacing w:after="0" w:line="251" w:lineRule="auto"/>
        <w:rPr>
          <w:sz w:val="20"/>
          <w:szCs w:val="20"/>
          <w:color w:val="auto"/>
        </w:rPr>
      </w:pPr>
      <w:r>
        <w:rPr>
          <w:rFonts w:ascii="Times New Roman" w:cs="Times New Roman" w:eastAsia="Times New Roman" w:hAnsi="Times New Roman"/>
          <w:sz w:val="18"/>
          <w:szCs w:val="18"/>
          <w:color w:val="231F20"/>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 including the Company’s strategic partnership with Fresenius Medical Care to sell, market and distribute its 6 millimeter ATEV for certain specified indications outside the United States.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Adopted Accounting Pronouncements</w:t>
      </w:r>
    </w:p>
    <w:p>
      <w:pPr>
        <w:spacing w:after="0" w:line="19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The FASB issued this update to improve the disclosures about an entity’s reportable segments, including providing more detailed information about a reportable segment’s expenses, enhancing interim disclosure requirements and providing new segment disclosure requirements for entities with a single reportable segment. This standard is effective for fiscal years beginning after December 15, 2023, and interim periods within fiscal years beginning after December 15, 2024, with early adoption permitted. The Company adopted ASU 2023-07 effective December 31, 2024 on a retrospective basis. The adoption of ASU 2023-07 did not change the way the Company identifies its reportable segments. The adoption had no impact on the consolidated financial statements, but it resulted in incremental disclosures within the Company’s notes to the consolidated financial statements. See the “Segments” section above for further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9" w:lineRule="exact"/>
        <w:rPr>
          <w:sz w:val="20"/>
          <w:szCs w:val="20"/>
          <w:color w:val="auto"/>
        </w:rPr>
      </w:pPr>
    </w:p>
    <w:p>
      <w:pPr>
        <w:ind w:right="200" w:firstLine="318"/>
        <w:spacing w:after="0" w:line="268"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Disclosures” (“ASU 2023-09”). The FASB issued this update to improve the transparency and comparability of income tax disclosures, including requiring consistent categories and greater disaggregation of information in the rate reconciliation and further disaggregation of income taxes paid by jurisdiction. This standard is effective for fiscal years beginning after December 15, 2024, with early adoption permitted. Entities should apply the amendments prospectively, with retrospective application permitted. This ASU is applicable to the Company’s Annual Report on Form 10-K for the fiscal year ending December 31, 2025. The Company is currently evaluating the impact of adopting ASU 2023-09 on its disclosures included in the notes to the consolidated financial statements.</w:t>
      </w:r>
    </w:p>
    <w:p>
      <w:pPr>
        <w:spacing w:after="0" w:line="14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In January 2025, the FASB issued ASU No. 2025-01, “Income Statement — Reporting Comprehensive Income — Expense Disaggregation Disclosures (Subtopic 220-40), Clarifying the Effective Date (“ASU 2025-01”). ASU 2024-03 requires additional disclosure about the nature and amounts of expenses included in certain expense captions presented on the income statement to enhance the transparency of the relevant expense captions. ASU 2024-03, as clarified by ASU 2025-01, is effective for annual reporting periods beginning after December 15, 2026 and interim reporting periods within annual reporting periods beginning after December 15, 2027, with early adoption permitted. Entities may elect to apply the amendments either prospectively or retrospectively. The Company is currently evaluating the impact of adopting ASU 2024-03 on its disclosures included in the notes to the consolidated financial statements.</w:t>
      </w: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2" w:name="page133"/>
    <w:bookmarkEnd w:id="132"/>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3. Fair Value Measurements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Company’s assets and liabilities that were measured at fair value on a recurring basis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2024</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5"/>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32,044</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32,044</w:t>
            </w:r>
          </w:p>
        </w:tc>
        <w:tc>
          <w:tcPr>
            <w:tcW w:w="0" w:type="dxa"/>
            <w:vAlign w:val="bottom"/>
          </w:tcPr>
          <w:p>
            <w:pPr>
              <w:spacing w:after="0"/>
              <w:rPr>
                <w:sz w:val="1"/>
                <w:szCs w:val="1"/>
                <w:color w:val="auto"/>
              </w:rPr>
            </w:pPr>
          </w:p>
        </w:tc>
      </w:tr>
      <w:tr>
        <w:trPr>
          <w:trHeight w:val="225"/>
        </w:trPr>
        <w:tc>
          <w:tcPr>
            <w:tcW w:w="5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Purchase Agreement derivative asset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8"/>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32,716</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4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70,961</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70,961</w:t>
            </w:r>
          </w:p>
        </w:tc>
        <w:tc>
          <w:tcPr>
            <w:tcW w:w="0" w:type="dxa"/>
            <w:vAlign w:val="bottom"/>
          </w:tcPr>
          <w:p>
            <w:pPr>
              <w:spacing w:after="0"/>
              <w:rPr>
                <w:sz w:val="1"/>
                <w:szCs w:val="1"/>
                <w:color w:val="auto"/>
              </w:rPr>
            </w:pPr>
          </w:p>
        </w:tc>
      </w:tr>
      <w:tr>
        <w:trPr>
          <w:trHeight w:val="225"/>
        </w:trPr>
        <w:tc>
          <w:tcPr>
            <w:tcW w:w="5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derivative liability</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0E74"/>
              </w:rPr>
              <w:t>2,415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0E74"/>
              </w:rPr>
              <w:t>2,415</w:t>
            </w:r>
          </w:p>
        </w:tc>
        <w:tc>
          <w:tcPr>
            <w:tcW w:w="0" w:type="dxa"/>
            <w:vAlign w:val="bottom"/>
          </w:tcPr>
          <w:p>
            <w:pPr>
              <w:spacing w:after="0"/>
              <w:rPr>
                <w:sz w:val="1"/>
                <w:szCs w:val="1"/>
                <w:color w:val="auto"/>
              </w:rPr>
            </w:pPr>
          </w:p>
        </w:tc>
      </w:tr>
      <w:tr>
        <w:trPr>
          <w:trHeight w:val="225"/>
        </w:trPr>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5"/>
        </w:trPr>
        <w:tc>
          <w:tcPr>
            <w:tcW w:w="5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October 2024 RDO Warrants liability</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0" w:type="dxa"/>
            <w:vAlign w:val="bottom"/>
          </w:tcPr>
          <w:p>
            <w:pPr>
              <w:spacing w:after="0"/>
              <w:rPr>
                <w:sz w:val="1"/>
                <w:szCs w:val="1"/>
                <w:color w:val="auto"/>
              </w:rPr>
            </w:pPr>
          </w:p>
        </w:tc>
      </w:tr>
      <w:tr>
        <w:trPr>
          <w:trHeight w:val="225"/>
        </w:trPr>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November 2024 RDO Warrants liability</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25"/>
        </w:trPr>
        <w:tc>
          <w:tcPr>
            <w:tcW w:w="5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 Agreement liability</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5"/>
        </w:trPr>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JDRF Agreement derivative liability</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3"/>
        </w:trPr>
        <w:tc>
          <w:tcPr>
            <w:tcW w:w="5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2023</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5"/>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0" w:type="dxa"/>
            <w:vAlign w:val="bottom"/>
          </w:tcPr>
          <w:p>
            <w:pPr>
              <w:spacing w:after="0"/>
              <w:rPr>
                <w:sz w:val="1"/>
                <w:szCs w:val="1"/>
                <w:color w:val="auto"/>
              </w:rPr>
            </w:pPr>
          </w:p>
        </w:tc>
      </w:tr>
      <w:tr>
        <w:trPr>
          <w:trHeight w:val="243"/>
        </w:trPr>
        <w:tc>
          <w:tcPr>
            <w:tcW w:w="5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3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0" w:type="dxa"/>
            <w:vAlign w:val="bottom"/>
          </w:tcPr>
          <w:p>
            <w:pPr>
              <w:spacing w:after="0"/>
              <w:rPr>
                <w:sz w:val="1"/>
                <w:szCs w:val="1"/>
                <w:color w:val="auto"/>
              </w:rPr>
            </w:pPr>
          </w:p>
        </w:tc>
      </w:tr>
      <w:tr>
        <w:trPr>
          <w:trHeight w:val="225"/>
        </w:trPr>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Contingent derivative liability</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25"/>
        </w:trPr>
        <w:tc>
          <w:tcPr>
            <w:tcW w:w="5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5"/>
        </w:trPr>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Option Agreement liability</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5"/>
        </w:trPr>
        <w:tc>
          <w:tcPr>
            <w:tcW w:w="5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JDRF Agreement derivative liability</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8"/>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40,693</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right="220" w:firstLine="318"/>
        <w:spacing w:after="0" w:line="258" w:lineRule="auto"/>
        <w:rPr>
          <w:sz w:val="20"/>
          <w:szCs w:val="20"/>
          <w:color w:val="auto"/>
        </w:rPr>
      </w:pPr>
      <w:r>
        <w:rPr>
          <w:rFonts w:ascii="Times New Roman" w:cs="Times New Roman" w:eastAsia="Times New Roman" w:hAnsi="Times New Roman"/>
          <w:sz w:val="18"/>
          <w:szCs w:val="18"/>
          <w:color w:val="231F20"/>
        </w:rPr>
        <w:t>The Company’s money market funds are classified within Level 1 of the fair value hierarchy because they are valued using quoted market prices. The carrying values of cash, prepaid expenses and other current assets, accounts payable, accrued expenses and other current liabilities as of December 31, 2024 and 2023 approximated their fair values due to the short-term nature of these items.</w:t>
      </w:r>
    </w:p>
    <w:p>
      <w:pPr>
        <w:spacing w:after="0" w:line="179"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The fair value of the Contingent Earnout Liability, contingent derivative liability related to the Put Option (as defined in Note 6 — Revenue Interest Purchase Agreement and discussed below), Private Placement Warrants liability, liabilities associated with the Registered Direct Offering Warrants (as defined in Note 9 — Stockholders’ Equity (Deficit) and Warrants), Option Agreement liability (as defined in Note 6 — Revenue Interest Purchase Agreement), and the derivative liability associated with the JDRF Agreement Disposition Payment are based on significant unobservable inputs, which represent Level 3 measurements within the fair value hierarchy. The fair values of the Private Placement Warrants liability and the liabilities associated with the Registered Direct Offering Warrants are included in common stock warrant liabilities on the consolidated balance sheets. The fair values of the Option Agreement liability and the derivative liability associated with the JDRF Agreement Disposition Payment are included in other long-term liabilities on the consolidated balance sheets.</w:t>
      </w: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3" w:name="page134"/>
    <w:bookmarkEnd w:id="13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192"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The Company evaluated the Common Stock Purchase Agreement and determined that the agreement should be accounted for in accordance with ASC 815-40, “</w:t>
      </w:r>
      <w:r>
        <w:rPr>
          <w:rFonts w:ascii="Times New Roman" w:cs="Times New Roman" w:eastAsia="Times New Roman" w:hAnsi="Times New Roman"/>
          <w:sz w:val="18"/>
          <w:szCs w:val="18"/>
          <w:i w:val="1"/>
          <w:iCs w:val="1"/>
          <w:color w:val="auto"/>
        </w:rPr>
        <w:t>Derivatives and Hedging — Contracts on an Entity’s Own Equity”.</w:t>
      </w:r>
      <w:r>
        <w:rPr>
          <w:rFonts w:ascii="Times New Roman" w:cs="Times New Roman" w:eastAsia="Times New Roman" w:hAnsi="Times New Roman"/>
          <w:sz w:val="18"/>
          <w:szCs w:val="18"/>
          <w:color w:val="auto"/>
        </w:rPr>
        <w:t xml:space="preserve"> Accordingly, the Company recorded a derivative asset with an initial fair value based on the 115,705 shares of Common Stock issued to Lincoln Park as consideration for its irrevocable commitment to purchase up to $50.0 million in shares of Common Stock. The initial fair value of $0.7 million was based on the closing price of the Common Stock on September 24, 2024, which was $6.12 per share, and the derivative asset is reported as a component of long-term assets on the consolidated balance sheets. Subsequent changes in the fair value of the derivative asset are dependent upon, among other things, changes in the closing share price of Common Stock, the quantity and purchase price of the shares purchased by Lincoln Park during the reporting period and the unused capacity under the Common Stock Purchase Agreement. The Common Stock Purchase Agreement is subsequently remeasured at each reporting date with changes in fair value recorded </w:t>
      </w:r>
      <w:r>
        <w:rPr>
          <w:rFonts w:ascii="Times New Roman" w:cs="Times New Roman" w:eastAsia="Times New Roman" w:hAnsi="Times New Roman"/>
          <w:sz w:val="18"/>
          <w:szCs w:val="18"/>
          <w:color w:val="231F20"/>
        </w:rPr>
        <w:t>within Change in fair value of derivatives</w:t>
      </w:r>
      <w:r>
        <w:rPr>
          <w:rFonts w:ascii="Times New Roman" w:cs="Times New Roman" w:eastAsia="Times New Roman" w:hAnsi="Times New Roman"/>
          <w:sz w:val="18"/>
          <w:szCs w:val="18"/>
          <w:color w:val="auto"/>
        </w:rPr>
        <w:t xml:space="preserve"> in the consolidated statements of operations and comprehensive loss. The change in fair value of the derivative asset between the September 24, 2024 issuance date and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was insignificant.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following table presents a summary of the changes in the fair value of the Contingent Earnout Liability: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Contingent Earnout Liability</w:t>
            </w:r>
          </w:p>
        </w:tc>
      </w:tr>
      <w:tr>
        <w:trPr>
          <w:trHeight w:val="24"/>
        </w:trPr>
        <w:tc>
          <w:tcPr>
            <w:tcW w:w="7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185"/>
        </w:trPr>
        <w:tc>
          <w:tcPr>
            <w:tcW w:w="7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2"/>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00" w:type="dxa"/>
            <w:vAlign w:val="bottom"/>
          </w:tcPr>
          <w:p>
            <w:pPr>
              <w:spacing w:after="0"/>
              <w:rPr>
                <w:sz w:val="16"/>
                <w:szCs w:val="16"/>
                <w:color w:val="auto"/>
              </w:rPr>
            </w:pPr>
          </w:p>
        </w:tc>
        <w:tc>
          <w:tcPr>
            <w:tcW w:w="124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7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r>
      <w:tr>
        <w:trPr>
          <w:trHeight w:val="225"/>
        </w:trPr>
        <w:tc>
          <w:tcPr>
            <w:tcW w:w="77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(10,023)</w:t>
            </w:r>
          </w:p>
        </w:tc>
      </w:tr>
      <w:tr>
        <w:trPr>
          <w:trHeight w:val="243"/>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 (see </w:t>
      </w:r>
      <w:r>
        <w:rPr>
          <w:rFonts w:ascii="Times New Roman" w:cs="Times New Roman" w:eastAsia="Times New Roman" w:hAnsi="Times New Roman"/>
          <w:sz w:val="18"/>
          <w:szCs w:val="18"/>
          <w:color w:val="000000"/>
        </w:rPr>
        <w:t>Note 9 — Stockholders’ Equity (Deficit) and Warrants</w:t>
      </w:r>
      <w:r>
        <w:rPr>
          <w:rFonts w:ascii="Times New Roman" w:cs="Times New Roman" w:eastAsia="Times New Roman" w:hAnsi="Times New Roman"/>
          <w:sz w:val="18"/>
          <w:szCs w:val="18"/>
          <w:color w:val="231F20"/>
        </w:rPr>
        <w:t>). Contingent earnout payments involve certain assumptions requiring significant judgment and actual results can differ from assumed and estimated amounts.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Derivative Liability</w:t>
      </w:r>
    </w:p>
    <w:p>
      <w:pPr>
        <w:spacing w:after="0" w:line="179"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The debt pursuant to the Purchase Agreement, as defined in Note 6, contains an embedded derivative related to the Put Option, as defined in Note 6, requiring bifurcation as a single compound derivative instrument. The Company estimated the fair value of the derivative liability using a “with-and-without” methodology.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derivative liability at issuance and each subsequent reporting period. In determining the fair value of the contingent derivative liability, the Company used the Monte Carlo simulation value model using a distribution of potential outcomes on a monthly basis over a 10-year period. The estimated probability and timing of underlying events triggering the exercisability of the Put Option contained within the Purchase Agreement, forecasted cash flows and the discount rates are significant unobservable inputs used to determine the estimated fair value of the entire instrument with the embedded derivative.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the discount rates used to calculate the value of the contingent derivative liability were 14.2% to calculate the present-value of the revenue forecast and 11.8% to calculate the present-value of the payoff of the Put Option. As of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the discount rates used to calculate the value of the contingent derivative liability were 14.5% to calculate the present-value of the revenue forecast and 17.1% to calculate the present-value of the payoff of the Put Option.</w:t>
      </w: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34" w:name="page135"/>
    <w:bookmarkEnd w:id="134"/>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40" w:firstLine="318"/>
        <w:spacing w:after="0" w:line="271" w:lineRule="auto"/>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contingent derivative liability, which is classified as a Level 3 financial instrument: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4"/>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Contingent Derivative Liability</w:t>
            </w:r>
          </w:p>
        </w:tc>
      </w:tr>
      <w:tr>
        <w:trPr>
          <w:trHeight w:val="24"/>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185"/>
        </w:trPr>
        <w:tc>
          <w:tcPr>
            <w:tcW w:w="7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2"/>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7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center"/>
              <w:ind w:left="479"/>
              <w:spacing w:after="0"/>
              <w:rPr>
                <w:sz w:val="20"/>
                <w:szCs w:val="20"/>
                <w:color w:val="auto"/>
              </w:rPr>
            </w:pPr>
            <w:r>
              <w:rPr>
                <w:rFonts w:ascii="Times New Roman" w:cs="Times New Roman" w:eastAsia="Times New Roman" w:hAnsi="Times New Roman"/>
                <w:sz w:val="18"/>
                <w:szCs w:val="18"/>
                <w:color w:val="auto"/>
                <w:w w:val="95"/>
              </w:rPr>
              <w:t>(2,636)</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center"/>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embedded derivative upon issuance of debt</w:t>
            </w:r>
          </w:p>
        </w:tc>
        <w:tc>
          <w:tcPr>
            <w:tcW w:w="340" w:type="dxa"/>
            <w:vAlign w:val="bottom"/>
          </w:tcPr>
          <w:p>
            <w:pPr>
              <w:spacing w:after="0"/>
              <w:rPr>
                <w:sz w:val="19"/>
                <w:szCs w:val="19"/>
                <w:color w:val="auto"/>
              </w:rPr>
            </w:pPr>
          </w:p>
        </w:tc>
        <w:tc>
          <w:tcPr>
            <w:tcW w:w="1140" w:type="dxa"/>
            <w:vAlign w:val="bottom"/>
          </w:tcPr>
          <w:p>
            <w:pPr>
              <w:jc w:val="center"/>
              <w:ind w:left="479"/>
              <w:spacing w:after="0"/>
              <w:rPr>
                <w:sz w:val="20"/>
                <w:szCs w:val="20"/>
                <w:color w:val="auto"/>
              </w:rPr>
            </w:pPr>
            <w:r>
              <w:rPr>
                <w:rFonts w:ascii="Times New Roman" w:cs="Times New Roman" w:eastAsia="Times New Roman" w:hAnsi="Times New Roman"/>
                <w:sz w:val="18"/>
                <w:szCs w:val="18"/>
                <w:color w:val="auto"/>
                <w:w w:val="95"/>
              </w:rPr>
              <w:t>(1,552)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25"/>
        </w:trPr>
        <w:tc>
          <w:tcPr>
            <w:tcW w:w="7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99"/>
              <w:spacing w:after="0"/>
              <w:rPr>
                <w:sz w:val="20"/>
                <w:szCs w:val="20"/>
                <w:color w:val="auto"/>
              </w:rPr>
            </w:pPr>
            <w:r>
              <w:rPr>
                <w:rFonts w:ascii="Times New Roman" w:cs="Times New Roman" w:eastAsia="Times New Roman" w:hAnsi="Times New Roman"/>
                <w:sz w:val="18"/>
                <w:szCs w:val="18"/>
                <w:color w:val="auto"/>
                <w:w w:val="98"/>
              </w:rPr>
              <w:t>1,773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8"/>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center"/>
              <w:ind w:left="479"/>
              <w:spacing w:after="0"/>
              <w:rPr>
                <w:sz w:val="20"/>
                <w:szCs w:val="20"/>
                <w:color w:val="auto"/>
              </w:rPr>
            </w:pPr>
            <w:r>
              <w:rPr>
                <w:rFonts w:ascii="Times New Roman" w:cs="Times New Roman" w:eastAsia="Times New Roman" w:hAnsi="Times New Roman"/>
                <w:sz w:val="18"/>
                <w:szCs w:val="18"/>
                <w:color w:val="auto"/>
                <w:w w:val="95"/>
              </w:rPr>
              <w:t>(2,415)</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Direct Offering Warrants Liabilities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 xml:space="preserve">The following table presents a summary of the changes in the fair value of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liabilities during the year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December 31,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2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October 2024 RDO</w:t>
            </w:r>
          </w:p>
        </w:tc>
        <w:tc>
          <w:tcPr>
            <w:tcW w:w="160" w:type="dxa"/>
            <w:vAlign w:val="bottom"/>
          </w:tcPr>
          <w:p>
            <w:pPr>
              <w:spacing w:after="0"/>
              <w:rPr>
                <w:sz w:val="13"/>
                <w:szCs w:val="13"/>
                <w:color w:val="auto"/>
              </w:rPr>
            </w:pPr>
          </w:p>
        </w:tc>
        <w:tc>
          <w:tcPr>
            <w:tcW w:w="154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November 2024 RDO</w:t>
            </w:r>
          </w:p>
        </w:tc>
        <w:tc>
          <w:tcPr>
            <w:tcW w:w="0" w:type="dxa"/>
            <w:vAlign w:val="bottom"/>
          </w:tcPr>
          <w:p>
            <w:pPr>
              <w:spacing w:after="0"/>
              <w:rPr>
                <w:sz w:val="1"/>
                <w:szCs w:val="1"/>
                <w:color w:val="auto"/>
              </w:rPr>
            </w:pPr>
          </w:p>
        </w:tc>
      </w:tr>
      <w:tr>
        <w:trPr>
          <w:trHeight w:val="191"/>
        </w:trPr>
        <w:tc>
          <w:tcPr>
            <w:tcW w:w="7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60" w:type="dxa"/>
            <w:vAlign w:val="bottom"/>
          </w:tcPr>
          <w:p>
            <w:pPr>
              <w:spacing w:after="0"/>
              <w:rPr>
                <w:sz w:val="16"/>
                <w:szCs w:val="16"/>
                <w:color w:val="auto"/>
              </w:rPr>
            </w:pPr>
          </w:p>
        </w:tc>
        <w:tc>
          <w:tcPr>
            <w:tcW w:w="154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24"/>
        </w:trPr>
        <w:tc>
          <w:tcPr>
            <w:tcW w:w="7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0" w:type="dxa"/>
            <w:vAlign w:val="bottom"/>
          </w:tcPr>
          <w:p>
            <w:pPr>
              <w:spacing w:after="0"/>
              <w:rPr>
                <w:sz w:val="1"/>
                <w:szCs w:val="1"/>
                <w:color w:val="auto"/>
              </w:rPr>
            </w:pPr>
          </w:p>
        </w:tc>
      </w:tr>
      <w:tr>
        <w:trPr>
          <w:trHeight w:val="225"/>
        </w:trPr>
        <w:tc>
          <w:tcPr>
            <w:tcW w:w="7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8"/>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right="140" w:firstLine="318"/>
        <w:spacing w:after="0" w:line="258" w:lineRule="auto"/>
        <w:rPr>
          <w:sz w:val="20"/>
          <w:szCs w:val="20"/>
          <w:color w:val="auto"/>
        </w:rPr>
      </w:pPr>
      <w:r>
        <w:rPr>
          <w:rFonts w:ascii="Times New Roman" w:cs="Times New Roman" w:eastAsia="Times New Roman" w:hAnsi="Times New Roman"/>
          <w:sz w:val="18"/>
          <w:szCs w:val="18"/>
          <w:color w:val="231F20"/>
        </w:rPr>
        <w:t xml:space="preserve">In determining the fair value of the </w:t>
      </w:r>
      <w:r>
        <w:rPr>
          <w:rFonts w:ascii="Times New Roman" w:cs="Times New Roman" w:eastAsia="Times New Roman" w:hAnsi="Times New Roman"/>
          <w:sz w:val="18"/>
          <w:szCs w:val="18"/>
          <w:color w:val="000000"/>
        </w:rPr>
        <w:t>Registered Direct Offering Warrants</w:t>
      </w:r>
      <w:r>
        <w:rPr>
          <w:rFonts w:ascii="Times New Roman" w:cs="Times New Roman" w:eastAsia="Times New Roman" w:hAnsi="Times New Roman"/>
          <w:sz w:val="18"/>
          <w:szCs w:val="18"/>
          <w:color w:val="231F20"/>
        </w:rPr>
        <w:t xml:space="preserve"> liabilities, the Company used the Black-Scholes valuation model to estimate the fair value utilizing assumptions including the current Company stock price, expected volatility, risk-free rate, expected term and expected dividend yield (see </w:t>
      </w:r>
      <w:r>
        <w:rPr>
          <w:rFonts w:ascii="Times New Roman" w:cs="Times New Roman" w:eastAsia="Times New Roman" w:hAnsi="Times New Roman"/>
          <w:sz w:val="18"/>
          <w:szCs w:val="18"/>
          <w:color w:val="000000"/>
        </w:rPr>
        <w:t>Note 9 — Stockholders’ Equity (Deficit) and Warrants</w:t>
      </w:r>
      <w:r>
        <w:rPr>
          <w:rFonts w:ascii="Times New Roman" w:cs="Times New Roman" w:eastAsia="Times New Roman" w:hAnsi="Times New Roman"/>
          <w:sz w:val="18"/>
          <w:szCs w:val="18"/>
          <w:color w:val="231F20"/>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 Liability</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following table presents a summary of the changes in the fair value of the Private Placement Warrants liability: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r>
      <w:tr>
        <w:trPr>
          <w:trHeight w:val="24"/>
        </w:trPr>
        <w:tc>
          <w:tcPr>
            <w:tcW w:w="7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185"/>
        </w:trPr>
        <w:tc>
          <w:tcPr>
            <w:tcW w:w="7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2"/>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00" w:type="dxa"/>
            <w:vAlign w:val="bottom"/>
          </w:tcPr>
          <w:p>
            <w:pPr>
              <w:spacing w:after="0"/>
              <w:rPr>
                <w:sz w:val="16"/>
                <w:szCs w:val="16"/>
                <w:color w:val="auto"/>
              </w:rPr>
            </w:pPr>
          </w:p>
        </w:tc>
        <w:tc>
          <w:tcPr>
            <w:tcW w:w="124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7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5"/>
        </w:trPr>
        <w:tc>
          <w:tcPr>
            <w:tcW w:w="77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right="140" w:firstLine="318"/>
        <w:spacing w:after="0" w:line="258" w:lineRule="auto"/>
        <w:rPr>
          <w:sz w:val="20"/>
          <w:szCs w:val="20"/>
          <w:color w:val="auto"/>
        </w:rPr>
      </w:pPr>
      <w:r>
        <w:rPr>
          <w:rFonts w:ascii="Times New Roman" w:cs="Times New Roman" w:eastAsia="Times New Roman" w:hAnsi="Times New Roman"/>
          <w:sz w:val="18"/>
          <w:szCs w:val="18"/>
          <w:color w:val="231F20"/>
        </w:rPr>
        <w:t xml:space="preserve">In determining the fair value of the Private Placement Warrants liability, the Company used the Monte Carlo simulation valuation model to estimate the fair value utilizing assumptions including the current Company stock price, expected volatility, risk-free rate, expected term and expected dividend yield (see </w:t>
      </w:r>
      <w:r>
        <w:rPr>
          <w:rFonts w:ascii="Times New Roman" w:cs="Times New Roman" w:eastAsia="Times New Roman" w:hAnsi="Times New Roman"/>
          <w:sz w:val="18"/>
          <w:szCs w:val="18"/>
          <w:color w:val="000000"/>
        </w:rPr>
        <w:t>Note 9 — Stockholders’ Equity (Deficit) and Warrants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5" w:name="page136"/>
    <w:bookmarkEnd w:id="13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4. Property and Equipment, Net</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Property and equipment, net consisted of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1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8"/>
        </w:trPr>
        <w:tc>
          <w:tcPr>
            <w:tcW w:w="8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Scientific and manufacturing equipment</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w:t>
            </w:r>
          </w:p>
        </w:tc>
        <w:tc>
          <w:tcPr>
            <w:tcW w:w="0" w:type="dxa"/>
            <w:vAlign w:val="bottom"/>
          </w:tcPr>
          <w:p>
            <w:pPr>
              <w:spacing w:after="0"/>
              <w:rPr>
                <w:sz w:val="1"/>
                <w:szCs w:val="1"/>
                <w:color w:val="auto"/>
              </w:rPr>
            </w:pPr>
          </w:p>
        </w:tc>
      </w:tr>
      <w:tr>
        <w:trPr>
          <w:trHeight w:val="22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5"/>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25"/>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0" w:type="dxa"/>
            <w:vAlign w:val="bottom"/>
          </w:tcPr>
          <w:p>
            <w:pPr>
              <w:spacing w:after="0"/>
              <w:rPr>
                <w:sz w:val="1"/>
                <w:szCs w:val="1"/>
                <w:color w:val="auto"/>
              </w:rPr>
            </w:pPr>
          </w:p>
        </w:tc>
      </w:tr>
      <w:tr>
        <w:trPr>
          <w:trHeight w:val="218"/>
        </w:trPr>
        <w:tc>
          <w:tcPr>
            <w:tcW w:w="8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0" w:type="dxa"/>
            <w:vAlign w:val="bottom"/>
          </w:tcPr>
          <w:p>
            <w:pPr>
              <w:spacing w:after="0"/>
              <w:rPr>
                <w:sz w:val="1"/>
                <w:szCs w:val="1"/>
                <w:color w:val="auto"/>
              </w:rPr>
            </w:pPr>
          </w:p>
        </w:tc>
      </w:tr>
      <w:tr>
        <w:trPr>
          <w:trHeight w:val="225"/>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(31,326)</w:t>
            </w:r>
          </w:p>
        </w:tc>
        <w:tc>
          <w:tcPr>
            <w:tcW w:w="0" w:type="dxa"/>
            <w:vAlign w:val="bottom"/>
          </w:tcPr>
          <w:p>
            <w:pPr>
              <w:spacing w:after="0"/>
              <w:rPr>
                <w:sz w:val="1"/>
                <w:szCs w:val="1"/>
                <w:color w:val="auto"/>
              </w:rPr>
            </w:pPr>
          </w:p>
        </w:tc>
      </w:tr>
      <w:tr>
        <w:trPr>
          <w:trHeight w:val="21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right="520" w:firstLine="318"/>
        <w:spacing w:after="0" w:line="271" w:lineRule="auto"/>
        <w:rPr>
          <w:sz w:val="20"/>
          <w:szCs w:val="20"/>
          <w:color w:val="auto"/>
        </w:rPr>
      </w:pPr>
      <w:r>
        <w:rPr>
          <w:rFonts w:ascii="Times New Roman" w:cs="Times New Roman" w:eastAsia="Times New Roman" w:hAnsi="Times New Roman"/>
          <w:sz w:val="18"/>
          <w:szCs w:val="18"/>
          <w:color w:val="231F20"/>
        </w:rPr>
        <w:t xml:space="preserve">Depreciation expense totaled $5.1 million and $5.7 million for the years ended December 31, 2024 and 2023, respectively. All </w:t>
      </w:r>
      <w:r>
        <w:rPr>
          <w:rFonts w:ascii="Times New Roman" w:cs="Times New Roman" w:eastAsia="Times New Roman" w:hAnsi="Times New Roman"/>
          <w:sz w:val="18"/>
          <w:szCs w:val="18"/>
          <w:color w:val="000000"/>
        </w:rPr>
        <w:t>long-lived assets 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maintained in the United States.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5. Accrued Expenses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Accrued expenses consisted of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1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5"/>
        </w:trPr>
        <w:tc>
          <w:tcPr>
            <w:tcW w:w="8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0" w:type="dxa"/>
            <w:vAlign w:val="bottom"/>
          </w:tcPr>
          <w:p>
            <w:pPr>
              <w:spacing w:after="0"/>
              <w:rPr>
                <w:sz w:val="1"/>
                <w:szCs w:val="1"/>
                <w:color w:val="auto"/>
              </w:rPr>
            </w:pPr>
          </w:p>
        </w:tc>
      </w:tr>
      <w:tr>
        <w:trPr>
          <w:trHeight w:val="22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25"/>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right="8180" w:firstLine="6"/>
        <w:spacing w:after="0" w:line="480" w:lineRule="auto"/>
        <w:tabs>
          <w:tab w:leader="none" w:pos="176" w:val="left"/>
        </w:tabs>
        <w:numPr>
          <w:ilvl w:val="0"/>
          <w:numId w:val="53"/>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Revenue Interest Purchase Agreement </w:t>
      </w:r>
      <w:r>
        <w:rPr>
          <w:rFonts w:ascii="Times New Roman" w:cs="Times New Roman" w:eastAsia="Times New Roman" w:hAnsi="Times New Roman"/>
          <w:sz w:val="17"/>
          <w:szCs w:val="17"/>
          <w:b w:val="1"/>
          <w:bCs w:val="1"/>
          <w:color w:val="000000"/>
        </w:rPr>
        <w:t>Revenue Interest Purchase Agreement</w:t>
      </w:r>
    </w:p>
    <w:p>
      <w:pPr>
        <w:spacing w:after="0" w:line="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On May 12, 2023, the Company and Global entered into the Purchase Agreement with the Purchasers and another affiliate of Oberland, as agent for the Purchasers, to obtain financing with respect to the further development and commercialization of the Company’s </w:t>
      </w:r>
      <w:r>
        <w:rPr>
          <w:rFonts w:ascii="Times New Roman" w:cs="Times New Roman" w:eastAsia="Times New Roman" w:hAnsi="Times New Roman"/>
          <w:sz w:val="18"/>
          <w:szCs w:val="18"/>
          <w:color w:val="231F20"/>
        </w:rPr>
        <w:t>ATEV</w:t>
      </w:r>
      <w:r>
        <w:rPr>
          <w:rFonts w:ascii="Times New Roman" w:cs="Times New Roman" w:eastAsia="Times New Roman" w:hAnsi="Times New Roman"/>
          <w:sz w:val="18"/>
          <w:szCs w:val="18"/>
          <w:color w:val="auto"/>
        </w:rPr>
        <w:t>, to repay the Company’s then-existing credit facility with SVB, and for other general corporate purposes. Pursuant to the Purchase Agreement, on May 12, 2023, the Purchasers purchased certain revenue interests (the “Revenue Interests”) from Global in exchange for an aggregate investment amount of up to $150.0 million (the “Investment Amount”) to be paid in multiple tranches. On May 12, 2023, the Company received an initial payment of $40.0 million, less certain transaction expenses, which was used to repay in full the Company’s then-existing obligations under the Loan Agreement with SVB, as defined in Note 7 — Debt.</w:t>
      </w:r>
    </w:p>
    <w:p>
      <w:pPr>
        <w:spacing w:after="0" w:line="149"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 xml:space="preserve">In February 2024, the FDA accepted the Company’s BLA for an indication in vascular trauma, and in accordance with the Purchase Agreement, on March 11, 2024, the Company received a subsequent installment of $20.0 million. In accordance with the amended Purchase Agreement, the Company was entitled to receive up to $90.0 million in subsequent installments subject to the terms and conditions set forth in the Purchase Agreement, as follows: (i) $40.0 million, at the Company’s option, upon the Company receiving FDA approval of the </w:t>
      </w:r>
      <w:r>
        <w:rPr>
          <w:rFonts w:ascii="Times New Roman" w:cs="Times New Roman" w:eastAsia="Times New Roman" w:hAnsi="Times New Roman"/>
          <w:sz w:val="17"/>
          <w:szCs w:val="17"/>
          <w:color w:val="231F20"/>
        </w:rPr>
        <w:t>ATEV</w:t>
      </w:r>
      <w:r>
        <w:rPr>
          <w:rFonts w:ascii="Times New Roman" w:cs="Times New Roman" w:eastAsia="Times New Roman" w:hAnsi="Times New Roman"/>
          <w:sz w:val="17"/>
          <w:szCs w:val="17"/>
          <w:color w:val="auto"/>
        </w:rPr>
        <w:t xml:space="preserve"> for the vascular trauma indication on or prior to December 31, 2024 and (ii) $50.0 million, at the Company’s option, upon reaching $35.0 million trailing worldwide three-month net sales any time prior to December 31, 2025. Each tranche was dependent on the satisfaction of the conditions and receipt of funds from the previous tranche. The FDA granted full approval for the Company’s BLA on December 19, 2024, and as of December 31, 2024, the Company did not elect to draw the additional $40.0 million that became available under the Purchase Agreement. As of December 31, 2024, the Company is not entitled to draw on any further installments under the Purchase Agreement.</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6" w:name="page137"/>
    <w:bookmarkEnd w:id="13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firstLine="318"/>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the Revenue Interests entitle the Purchasers to receive a royalty initially equal to 7.5% (the “Rate”) of global net sales of the Company’s products (subject to a lower rate for net sales by specified licensees outside the United States), to be paid on a calendar quarterly basis (the “Revenue Interest Payments”).</w:t>
      </w:r>
    </w:p>
    <w:p>
      <w:pPr>
        <w:spacing w:after="0" w:line="140"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7"/>
          <w:szCs w:val="17"/>
          <w:color w:val="auto"/>
        </w:rPr>
        <w:t>If the Purchasers do not receive cumulative Revenue Interest Payments equal to 100% of the amount funded to date (the “Cumulative Purchaser Payments”) by the last business day of 2028 (the “Test Date”), the Rate will increase to a rate that, had such increased rate applied during the period from May 12, 2023 through the Test Date, would have provided the Purchasers with cumulative Revenue Interest Payments equal to the Cumulative Purchaser Payments as of the Test Date. Additionally, Global will be required to pay the Purchasers an amount equal to 100% of the Cumulative Purchaser Payments as of the Test Date less the total Revenue Interest Payments made by Global to the Purchasers under the Purchase Agreement as of the Test Date. Global’s obligation to make Revenue Interest Payments terminates on the date on which the Purchasers have received Revenue Interest Payments of 150% of the Cumulative Purchaser Payments unless the Purchase Agreement is terminated earlier due to the Purchaser’s exercise of a Put Option, the Company’s exercise of a call option, or by mutual consent. However, if the Purchasers have not received such Revenue Interest Payments as of the Test Date, the Purchase Agreement will instead terminate on the date on which the Purchasers receive Revenue Interest Payments of 195% of the Cumulative Purchaser Payments.</w:t>
      </w:r>
    </w:p>
    <w:p>
      <w:pPr>
        <w:spacing w:after="0" w:line="135" w:lineRule="exact"/>
        <w:rPr>
          <w:sz w:val="20"/>
          <w:szCs w:val="20"/>
          <w:color w:val="auto"/>
        </w:rPr>
      </w:pPr>
    </w:p>
    <w:p>
      <w:pPr>
        <w:ind w:right="240" w:firstLine="318"/>
        <w:spacing w:after="0" w:line="266" w:lineRule="auto"/>
        <w:rPr>
          <w:sz w:val="20"/>
          <w:szCs w:val="20"/>
          <w:color w:val="auto"/>
        </w:rPr>
      </w:pPr>
      <w:r>
        <w:rPr>
          <w:rFonts w:ascii="Times New Roman" w:cs="Times New Roman" w:eastAsia="Times New Roman" w:hAnsi="Times New Roman"/>
          <w:sz w:val="17"/>
          <w:szCs w:val="17"/>
          <w:color w:val="auto"/>
        </w:rPr>
        <w:t>Under the Purchase Agreement, Global has an option (the “Call Option”) to repurchase the Revenue Interests and terminate the Purchase Agreement at any time upon advance written notice. Additionally, the Purchasers have an option (the “Put Option”) to terminate the Purchase Agreement and to require Global to repurchase the Revenue Interests upon enumerated events such as a bankruptcy event, an uncured material breach, a material adverse effect or a change of control. If (i) the Put Option is exercised by May 12, 2026, or (ii) the Call Option is exercised on or prior to May 12, 2026, then in each case, the required repurchase price will be 175% of the Cumulative Purchaser Payments (minus the aggregate Revenue Interest Payments Global has made to the Purchasers as of such date). If a Put Option or Call Option is exercised after May 12, 2026, the required repurchase price will be 195% of the Cumulative Purchaser Payments (minus the aggregate Revenue Interest Payments Global has made to the Purchasers as of such date).</w:t>
      </w:r>
    </w:p>
    <w:p>
      <w:pPr>
        <w:spacing w:after="0" w:line="151"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On February 18, 2024, the Company reached an agreement with the Purchasers and the Agent to waive certain breaches related to, and extend the deadline for certain post-closing obligations under, the Purchase Agreement, including the requirement for the Company to deliver a leasehold mortgage in favor of the Agent over the Company’s headquarters. On May 8, 2024, the Company agreed with the Purchasers to amend the Purchase Agreement, the effect of which was to remove requirements related to the leasehold mortgage. In exchange for the removal of these requirements, the Company funded an account in an amount of $54.0 million on August 14, 2024, over which the Agent has certain consent and other rights to $50.0 million of the funds. As of December 31, 2024, the $50.0 million was classified as restricted cash on the accompanying consolidated balance sheets.</w:t>
      </w:r>
    </w:p>
    <w:p>
      <w:pPr>
        <w:spacing w:after="0" w:line="151"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auto"/>
        </w:rPr>
        <w:t>The Company has provided a parent company guaranty to guarantee the payment in full of the obligations under the Purchase Agreement. The Company’s obligations under the parent company guaranty and Global’s obligations under the Purchase Agreement and the Revenue Interests are secured by a perfected security interest on substantially all of the Company’s and its subsidiaries’ assets.</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Purchase Agreement is considered a sale of future revenues and accounted for as long-term debt recorded at amortized cost using the interest method.</w:t>
      </w:r>
    </w:p>
    <w:p>
      <w:pPr>
        <w:spacing w:after="0" w:line="202"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The Company recorded a revenue interest liability related to the Purchase Agreement on the accompanying consolidated balance sheet on the date the Company entered into the Purchase Agreement, net of a debt discount comprised of $2.1 million issuance costs and of transaction costs, the $0.1 million fair value allocated to the Option Agreement, defined below, and the $2.4 million initial fair value of the bifurcated contingent derivative liability related to the Put Option. The revenue interest liability is based on the Company’s contractual repayment obligation to the Purchasers, based on the current estimates of future revenues, over the life of the Purchase Agreement. The Company imputes interest expense associated with this liability using the interest method. The effective interest rate is calculated based on the rate that would enable the debt to be repaid in full over the anticipated life of the arrangement. The interest rate on this liability</w:t>
      </w: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7" w:name="page138"/>
    <w:bookmarkEnd w:id="13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7"/>
          <w:szCs w:val="17"/>
          <w:color w:val="auto"/>
        </w:rPr>
        <w:t>may vary during the term of the agreement depending on a number of factors, including the level and expected timing of forecasted net sales. The Company evaluates the interest rate quarterly based on its current net sales forecasts. If the level and timing of any forecasted net sales and related payments change, the Company prospectively adjusts the effective interest and the related amortization of the liability and related issuance costs on a quarterly basis.</w:t>
      </w:r>
    </w:p>
    <w:p>
      <w:pPr>
        <w:spacing w:after="0" w:line="123" w:lineRule="exact"/>
        <w:rPr>
          <w:sz w:val="20"/>
          <w:szCs w:val="20"/>
          <w:color w:val="auto"/>
        </w:rPr>
      </w:pPr>
    </w:p>
    <w:p>
      <w:pPr>
        <w:ind w:right="100" w:firstLine="318"/>
        <w:spacing w:after="0" w:line="268" w:lineRule="auto"/>
        <w:rPr>
          <w:sz w:val="20"/>
          <w:szCs w:val="20"/>
          <w:color w:val="auto"/>
        </w:rPr>
      </w:pPr>
      <w:r>
        <w:rPr>
          <w:rFonts w:ascii="Times New Roman" w:cs="Times New Roman" w:eastAsia="Times New Roman" w:hAnsi="Times New Roman"/>
          <w:sz w:val="17"/>
          <w:szCs w:val="17"/>
          <w:color w:val="auto"/>
        </w:rPr>
        <w:t xml:space="preserve">As of </w:t>
      </w:r>
      <w:r>
        <w:rPr>
          <w:rFonts w:ascii="Times New Roman" w:cs="Times New Roman" w:eastAsia="Times New Roman" w:hAnsi="Times New Roman"/>
          <w:sz w:val="17"/>
          <w:szCs w:val="17"/>
          <w:color w:val="231F20"/>
        </w:rPr>
        <w:t>December 31, 2024 and 2023,</w:t>
      </w:r>
      <w:r>
        <w:rPr>
          <w:rFonts w:ascii="Times New Roman" w:cs="Times New Roman" w:eastAsia="Times New Roman" w:hAnsi="Times New Roman"/>
          <w:sz w:val="17"/>
          <w:szCs w:val="17"/>
          <w:color w:val="auto"/>
        </w:rPr>
        <w:t xml:space="preserve"> $64.2 million and $38.6 million, respectively, was recorded as a revenue interest liability. As of </w:t>
      </w:r>
      <w:r>
        <w:rPr>
          <w:rFonts w:ascii="Times New Roman" w:cs="Times New Roman" w:eastAsia="Times New Roman" w:hAnsi="Times New Roman"/>
          <w:sz w:val="17"/>
          <w:szCs w:val="17"/>
          <w:color w:val="231F20"/>
        </w:rPr>
        <w:t>December 31, 2024,</w:t>
      </w:r>
      <w:r>
        <w:rPr>
          <w:rFonts w:ascii="Times New Roman" w:cs="Times New Roman" w:eastAsia="Times New Roman" w:hAnsi="Times New Roman"/>
          <w:sz w:val="17"/>
          <w:szCs w:val="17"/>
          <w:color w:val="auto"/>
        </w:rPr>
        <w:t xml:space="preserve"> $0.9 million of the revenue interest liability was included in other current liabilities on the consolidated balance sheet. The estimated effective annual interest rate as of </w:t>
      </w:r>
      <w:r>
        <w:rPr>
          <w:rFonts w:ascii="Times New Roman" w:cs="Times New Roman" w:eastAsia="Times New Roman" w:hAnsi="Times New Roman"/>
          <w:sz w:val="17"/>
          <w:szCs w:val="17"/>
          <w:color w:val="231F20"/>
        </w:rPr>
        <w:t>December 31, 2024 and 2023</w:t>
      </w:r>
      <w:r>
        <w:rPr>
          <w:rFonts w:ascii="Times New Roman" w:cs="Times New Roman" w:eastAsia="Times New Roman" w:hAnsi="Times New Roman"/>
          <w:sz w:val="17"/>
          <w:szCs w:val="17"/>
          <w:color w:val="auto"/>
        </w:rPr>
        <w:t xml:space="preserve"> was 13.7% and 14.1%, respectively. The Company recorded $7.7 million and $3.1 million in interest expense related to the Purchase Agreement for the years ended </w:t>
      </w:r>
      <w:r>
        <w:rPr>
          <w:rFonts w:ascii="Times New Roman" w:cs="Times New Roman" w:eastAsia="Times New Roman" w:hAnsi="Times New Roman"/>
          <w:sz w:val="17"/>
          <w:szCs w:val="17"/>
          <w:color w:val="231F20"/>
        </w:rPr>
        <w:t>December 31, 2024 and 2023, respectively</w:t>
      </w:r>
      <w:r>
        <w:rPr>
          <w:rFonts w:ascii="Times New Roman" w:cs="Times New Roman" w:eastAsia="Times New Roman" w:hAnsi="Times New Roman"/>
          <w:sz w:val="17"/>
          <w:szCs w:val="17"/>
          <w:color w:val="auto"/>
        </w:rPr>
        <w:t xml:space="preserve">. The Company incurred and paid $0.5 million of transaction costs during the year ended </w:t>
      </w:r>
      <w:r>
        <w:rPr>
          <w:rFonts w:ascii="Times New Roman" w:cs="Times New Roman" w:eastAsia="Times New Roman" w:hAnsi="Times New Roman"/>
          <w:sz w:val="17"/>
          <w:szCs w:val="17"/>
          <w:color w:val="231F20"/>
        </w:rPr>
        <w:t>December 31, 2024 in connection with the Purchase Agreement. The transaction costs were capitalized to debt discount and are being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amortized to interest expense over the estimated term of the debt, consistent with the issuance and transaction costs incurred in 2023 discussed above.</w:t>
      </w:r>
    </w:p>
    <w:p>
      <w:pPr>
        <w:spacing w:after="0" w:line="173"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auto"/>
        </w:rPr>
        <w:t>The Put Option under the Purchase Agreement that is exercisable by the Purchasers upon certain contingent events was determined to be an embedded derivative requiring bifurcation and separately accounted for as a single compound derivative instrument. At May 12, 2023, the Company recorded the initial fair value of the derivative liability of $2.4 million as a debt discount. On March 11, 2024, upon the issuance of the second installment of the Purchase Agreement of $20.0 million, the Company estimated the fair value of the embedded derivative and recorded a $1.6 million increase in fair value as a debt discount. The debt discount is being amortized to interest expense over the expected term of the debt using the interest method. See Note 3 — Fair Value Measurements for a further discussion of the fair value of the contingent derivative liability associated with the Put Option.</w:t>
      </w:r>
    </w:p>
    <w:p>
      <w:pPr>
        <w:spacing w:after="0" w:line="149" w:lineRule="exact"/>
        <w:rPr>
          <w:sz w:val="20"/>
          <w:szCs w:val="20"/>
          <w:color w:val="auto"/>
        </w:rPr>
      </w:pPr>
    </w:p>
    <w:p>
      <w:pPr>
        <w:ind w:right="720" w:firstLine="318"/>
        <w:spacing w:after="0" w:line="271" w:lineRule="auto"/>
        <w:rPr>
          <w:sz w:val="20"/>
          <w:szCs w:val="20"/>
          <w:color w:val="auto"/>
        </w:rPr>
      </w:pPr>
      <w:r>
        <w:rPr>
          <w:rFonts w:ascii="Times New Roman" w:cs="Times New Roman" w:eastAsia="Times New Roman" w:hAnsi="Times New Roman"/>
          <w:sz w:val="18"/>
          <w:szCs w:val="18"/>
          <w:color w:val="auto"/>
        </w:rPr>
        <w:t xml:space="preserve">Revenue Interest Payments made as a result of the Company’s net product sales will reduce the revenue interest liability. During the years ended </w:t>
      </w:r>
      <w:r>
        <w:rPr>
          <w:rFonts w:ascii="Times New Roman" w:cs="Times New Roman" w:eastAsia="Times New Roman" w:hAnsi="Times New Roman"/>
          <w:sz w:val="18"/>
          <w:szCs w:val="18"/>
          <w:color w:val="231F20"/>
        </w:rPr>
        <w:t>December 31, 2024 and 2023</w:t>
      </w:r>
      <w:r>
        <w:rPr>
          <w:rFonts w:ascii="Times New Roman" w:cs="Times New Roman" w:eastAsia="Times New Roman" w:hAnsi="Times New Roman"/>
          <w:sz w:val="18"/>
          <w:szCs w:val="18"/>
          <w:color w:val="000000"/>
        </w:rPr>
        <w:t>, the Company did not record any product sales revenue.</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summarizes the revenue interest liability activity during the year ended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Revenue interest liability at </w:t>
            </w:r>
            <w:r>
              <w:rPr>
                <w:rFonts w:ascii="Times New Roman" w:cs="Times New Roman" w:eastAsia="Times New Roman" w:hAnsi="Times New Roman"/>
                <w:sz w:val="18"/>
                <w:szCs w:val="18"/>
                <w:color w:val="231F20"/>
              </w:rPr>
              <w:t>December 31, 2023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w:t>
            </w:r>
          </w:p>
        </w:tc>
      </w:tr>
      <w:tr>
        <w:trPr>
          <w:trHeight w:val="225"/>
        </w:trPr>
        <w:tc>
          <w:tcPr>
            <w:tcW w:w="9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revenue interest purchase agreement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5"/>
        </w:trPr>
        <w:tc>
          <w:tcPr>
            <w:tcW w:w="9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costs paid</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5"/>
        </w:trPr>
        <w:tc>
          <w:tcPr>
            <w:tcW w:w="9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Debt discount from embedded contingent derivative liability</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25"/>
        </w:trPr>
        <w:tc>
          <w:tcPr>
            <w:tcW w:w="9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w:t>
            </w:r>
          </w:p>
        </w:tc>
      </w:tr>
      <w:tr>
        <w:trPr>
          <w:trHeight w:val="218"/>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Revenue interest liability at </w:t>
            </w:r>
            <w:r>
              <w:rPr>
                <w:rFonts w:ascii="Times New Roman" w:cs="Times New Roman" w:eastAsia="Times New Roman" w:hAnsi="Times New Roman"/>
                <w:sz w:val="18"/>
                <w:szCs w:val="18"/>
                <w:color w:val="231F20"/>
              </w:rPr>
              <w:t>December 31, 2024</w:t>
            </w: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64,239</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179"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 xml:space="preserve">In connection with the Purchase Agreement, the Company also entered into an option agreement with TPC Investments III LP and TPC Investment Solutions LP (the “Option Agreement”), which gave TPC Investments III LP and TPC Investment Solutions LP (the “Holders”) the right to purchase, in the aggregate, up to $10.0 million worth of shares of Common Stock (the “Option”) at a purchase price per share equal to the greater of $7.50, or the 15 day volume-weighted average price as of the exercise date, exercisable in cash only at any time prior to the earlier of (i) December 31, 2026 and (ii) the closing date of a corporate reorganization. The Holders also received certain registration rights relating to the shares underlying the Option pursuant to the Option Agreement. The Holders purchased $1,950,000 shares of Common Stock in the Offering, as defined in Note 9, and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the Holders have the right to purchase up to $8,050,000 of shares of Common Stock under the Option Agreement.</w:t>
      </w:r>
    </w:p>
    <w:p>
      <w:pPr>
        <w:spacing w:after="0" w:line="164"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color w:val="auto"/>
        </w:rPr>
        <w:t xml:space="preserve">The Option granted to the Holders represents a freestanding instrument separate from the purchaser commitments outlined in the Purchase Agreement. The Option Agreement does not qualify for the equity contract scope exception under ASC 815-40 and the Company recorded the Option as a liability (“Option Agreement liability”) on the consolidated balance sheet at an initial fair value of $55 thousand, and subsequent changes in the fair value are recognized in the consolidated statements of operations and comprehensive loss at each reporting date. The fair value of the Option Agreement liability as of </w:t>
      </w:r>
      <w:r>
        <w:rPr>
          <w:rFonts w:ascii="Times New Roman" w:cs="Times New Roman" w:eastAsia="Times New Roman" w:hAnsi="Times New Roman"/>
          <w:sz w:val="18"/>
          <w:szCs w:val="18"/>
          <w:color w:val="231F20"/>
        </w:rPr>
        <w:t xml:space="preserve">December 31, 2024 and 2023 </w:t>
      </w:r>
      <w:r>
        <w:rPr>
          <w:rFonts w:ascii="Times New Roman" w:cs="Times New Roman" w:eastAsia="Times New Roman" w:hAnsi="Times New Roman"/>
          <w:sz w:val="18"/>
          <w:szCs w:val="18"/>
          <w:color w:val="000000"/>
        </w:rPr>
        <w:t>was $64 thousand and $35 thousand, respectively.</w:t>
      </w: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8" w:name="page139"/>
    <w:bookmarkEnd w:id="13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7. Debt</w:t>
      </w:r>
    </w:p>
    <w:p>
      <w:pPr>
        <w:spacing w:after="0" w:line="179" w:lineRule="exact"/>
        <w:rPr>
          <w:sz w:val="20"/>
          <w:szCs w:val="20"/>
          <w:color w:val="auto"/>
        </w:rPr>
      </w:pPr>
    </w:p>
    <w:p>
      <w:pPr>
        <w:jc w:val="both"/>
        <w:ind w:right="200" w:firstLine="318"/>
        <w:spacing w:after="0" w:line="258" w:lineRule="auto"/>
        <w:rPr>
          <w:sz w:val="20"/>
          <w:szCs w:val="20"/>
          <w:color w:val="auto"/>
        </w:rPr>
      </w:pPr>
      <w:r>
        <w:rPr>
          <w:rFonts w:ascii="Times New Roman" w:cs="Times New Roman" w:eastAsia="Times New Roman" w:hAnsi="Times New Roman"/>
          <w:sz w:val="18"/>
          <w:szCs w:val="18"/>
          <w:color w:val="auto"/>
        </w:rPr>
        <w:t xml:space="preserve">Pursuant to the Purchase Agreement, on May 12, 2023, </w:t>
      </w:r>
      <w:r>
        <w:rPr>
          <w:rFonts w:ascii="Times New Roman" w:cs="Times New Roman" w:eastAsia="Times New Roman" w:hAnsi="Times New Roman"/>
          <w:sz w:val="18"/>
          <w:szCs w:val="18"/>
          <w:color w:val="231F20"/>
        </w:rPr>
        <w:t>$40.0 million</w:t>
      </w:r>
      <w:r>
        <w:rPr>
          <w:rFonts w:ascii="Times New Roman" w:cs="Times New Roman" w:eastAsia="Times New Roman" w:hAnsi="Times New Roman"/>
          <w:sz w:val="18"/>
          <w:szCs w:val="18"/>
          <w:color w:val="auto"/>
        </w:rPr>
        <w:t xml:space="preserve">, less certain transaction expenses, was funded to the Company, which was used to repay in full the Company’s existing obligations under its </w:t>
      </w:r>
      <w:r>
        <w:rPr>
          <w:rFonts w:ascii="Times New Roman" w:cs="Times New Roman" w:eastAsia="Times New Roman" w:hAnsi="Times New Roman"/>
          <w:sz w:val="18"/>
          <w:szCs w:val="18"/>
          <w:color w:val="231F20"/>
        </w:rPr>
        <w:t>term loan agreement with SVB and SVB Innovation Credit Fund VIII, L.P., entered into on March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30, 2021, as amended in June 2021 and September 2021 (the “Loan Agreement”).</w:t>
      </w:r>
    </w:p>
    <w:p>
      <w:pPr>
        <w:spacing w:after="0" w:line="140" w:lineRule="exact"/>
        <w:rPr>
          <w:sz w:val="20"/>
          <w:szCs w:val="20"/>
          <w:color w:val="auto"/>
        </w:rPr>
      </w:pPr>
    </w:p>
    <w:p>
      <w:pPr>
        <w:ind w:right="180" w:firstLine="318"/>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termination of the Loan Agreement, the Company paid a prepayment premium of </w:t>
      </w:r>
      <w:r>
        <w:rPr>
          <w:rFonts w:ascii="Times New Roman" w:cs="Times New Roman" w:eastAsia="Times New Roman" w:hAnsi="Times New Roman"/>
          <w:sz w:val="18"/>
          <w:szCs w:val="18"/>
          <w:color w:val="231F20"/>
        </w:rPr>
        <w:t>$0.3 million</w:t>
      </w:r>
      <w:r>
        <w:rPr>
          <w:rFonts w:ascii="Times New Roman" w:cs="Times New Roman" w:eastAsia="Times New Roman" w:hAnsi="Times New Roman"/>
          <w:sz w:val="18"/>
          <w:szCs w:val="18"/>
          <w:color w:val="auto"/>
        </w:rPr>
        <w:t xml:space="preserve"> and recorded a loss on extinguishment of debt of </w:t>
      </w:r>
      <w:r>
        <w:rPr>
          <w:rFonts w:ascii="Times New Roman" w:cs="Times New Roman" w:eastAsia="Times New Roman" w:hAnsi="Times New Roman"/>
          <w:sz w:val="18"/>
          <w:szCs w:val="18"/>
          <w:color w:val="231F20"/>
        </w:rPr>
        <w:t>$2.4 million</w:t>
      </w:r>
      <w:r>
        <w:rPr>
          <w:rFonts w:ascii="Times New Roman" w:cs="Times New Roman" w:eastAsia="Times New Roman" w:hAnsi="Times New Roman"/>
          <w:sz w:val="18"/>
          <w:szCs w:val="18"/>
          <w:color w:val="auto"/>
        </w:rPr>
        <w:t xml:space="preserve"> during the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xml:space="preserve"> in other income (expense), net in the consolidated statements of operations and comprehensive loss.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8. Leases</w:t>
      </w:r>
    </w:p>
    <w:p>
      <w:pPr>
        <w:spacing w:after="0" w:line="179" w:lineRule="exact"/>
        <w:rPr>
          <w:sz w:val="20"/>
          <w:szCs w:val="20"/>
          <w:color w:val="auto"/>
        </w:rPr>
      </w:pPr>
    </w:p>
    <w:p>
      <w:pPr>
        <w:ind w:right="200" w:firstLine="318"/>
        <w:spacing w:after="0" w:line="271" w:lineRule="auto"/>
        <w:rPr>
          <w:sz w:val="20"/>
          <w:szCs w:val="20"/>
          <w:color w:val="auto"/>
        </w:rPr>
      </w:pPr>
      <w:r>
        <w:rPr>
          <w:rFonts w:ascii="Times New Roman" w:cs="Times New Roman" w:eastAsia="Times New Roman" w:hAnsi="Times New Roman"/>
          <w:sz w:val="18"/>
          <w:szCs w:val="18"/>
          <w:color w:val="231F20"/>
        </w:rPr>
        <w:t>The Company’s finance leases relate to its headquarters, which was substantially completed in June 2018 and is being leased through May 2033, and its operating lease relates to the land lease associated with its headquarters.</w:t>
      </w:r>
    </w:p>
    <w:p>
      <w:pPr>
        <w:spacing w:after="0" w:line="128"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231F20"/>
        </w:rPr>
        <w:t>As of December 31, 2024 and 2023, the Company had finance lease liabilities of $16.5 million and $18.9 million, respectively, and right-of-use assets of $15.5 million and $17.3 million, respectively. As of both December 31, 2024 and 2023, the Company had operating lease liabilities of $0.6 million and right-of-use assets of $0.6 million. As of December 31, 2024 and 2023, operating lease right-of-use assets are included in other long-term assets on the consolidated balance sheets. As of December 31, 2024 and 2023, approximately $0.5 million and $0.6 million</w:t>
      </w:r>
      <w:r>
        <w:rPr>
          <w:rFonts w:ascii="Times New Roman" w:cs="Times New Roman" w:eastAsia="Times New Roman" w:hAnsi="Times New Roman"/>
          <w:sz w:val="18"/>
          <w:szCs w:val="18"/>
          <w:color w:val="000000"/>
        </w:rPr>
        <w:t>, respectively,</w:t>
      </w:r>
      <w:r>
        <w:rPr>
          <w:rFonts w:ascii="Times New Roman" w:cs="Times New Roman" w:eastAsia="Times New Roman" w:hAnsi="Times New Roman"/>
          <w:sz w:val="18"/>
          <w:szCs w:val="18"/>
          <w:color w:val="231F20"/>
        </w:rPr>
        <w:t xml:space="preserve"> of the operating lease liabilities is included in other long-term liabilities on the consolidated balance sheets, and the remaining balance is classified in other current liabilities on the consolidated balance sheets.</w:t>
      </w:r>
    </w:p>
    <w:p>
      <w:pPr>
        <w:spacing w:after="0" w:line="162" w:lineRule="exact"/>
        <w:rPr>
          <w:sz w:val="20"/>
          <w:szCs w:val="20"/>
          <w:color w:val="auto"/>
        </w:rPr>
      </w:pPr>
    </w:p>
    <w:p>
      <w:pPr>
        <w:ind w:right="80" w:firstLine="318"/>
        <w:spacing w:after="0" w:line="254" w:lineRule="auto"/>
        <w:rPr>
          <w:sz w:val="20"/>
          <w:szCs w:val="20"/>
          <w:color w:val="auto"/>
        </w:rPr>
      </w:pPr>
      <w:r>
        <w:rPr>
          <w:rFonts w:ascii="Times New Roman" w:cs="Times New Roman" w:eastAsia="Times New Roman" w:hAnsi="Times New Roman"/>
          <w:sz w:val="18"/>
          <w:szCs w:val="18"/>
          <w:color w:val="231F20"/>
        </w:rPr>
        <w:t>The Company’s leases do not require any contingent rental payments, impose any financial restrictions, or contain any residual value guarantees. Certain of the Company’s leases include renewal options and escalation clauses; renewal options have been included in the calculation of the lease liabilities and right of use assets as the Company is reasonably certain to exercise the options due to the specialized nature of the leased building. Variable expenses generally represent the Company’s share of the landlord’s operating expenses. The Company does not act as a lessor in any lease arrangements.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following summarizes quantitative information about the Company’s leases: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6"/>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5"/>
        </w:trPr>
        <w:tc>
          <w:tcPr>
            <w:tcW w:w="4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 cost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60" w:type="dxa"/>
            <w:vAlign w:val="bottom"/>
          </w:tcPr>
          <w:p>
            <w:pPr>
              <w:spacing w:after="0"/>
              <w:rPr>
                <w:sz w:val="19"/>
                <w:szCs w:val="19"/>
                <w:color w:val="auto"/>
              </w:rPr>
            </w:pPr>
          </w:p>
        </w:tc>
        <w:tc>
          <w:tcPr>
            <w:tcW w:w="42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25"/>
        </w:trPr>
        <w:tc>
          <w:tcPr>
            <w:tcW w:w="4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18"/>
        </w:trPr>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0" w:type="dxa"/>
            <w:vAlign w:val="bottom"/>
          </w:tcPr>
          <w:p>
            <w:pPr>
              <w:spacing w:after="0"/>
              <w:rPr>
                <w:sz w:val="1"/>
                <w:szCs w:val="1"/>
                <w:color w:val="auto"/>
              </w:rPr>
            </w:pPr>
          </w:p>
        </w:tc>
      </w:tr>
      <w:tr>
        <w:trPr>
          <w:trHeight w:val="225"/>
        </w:trPr>
        <w:tc>
          <w:tcPr>
            <w:tcW w:w="4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8"/>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3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6"/>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2"/>
                <w:szCs w:val="12"/>
                <w:color w:val="auto"/>
              </w:rPr>
            </w:pPr>
          </w:p>
        </w:tc>
        <w:tc>
          <w:tcPr>
            <w:tcW w:w="134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Finance</w:t>
            </w:r>
          </w:p>
        </w:tc>
        <w:tc>
          <w:tcPr>
            <w:tcW w:w="380" w:type="dxa"/>
            <w:vAlign w:val="bottom"/>
          </w:tcPr>
          <w:p>
            <w:pPr>
              <w:spacing w:after="0"/>
              <w:rPr>
                <w:sz w:val="12"/>
                <w:szCs w:val="12"/>
                <w:color w:val="auto"/>
              </w:rPr>
            </w:pPr>
          </w:p>
        </w:tc>
        <w:tc>
          <w:tcPr>
            <w:tcW w:w="1260" w:type="dxa"/>
            <w:vAlign w:val="bottom"/>
            <w:gridSpan w:val="2"/>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Finance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ind w:right="376"/>
              <w:spacing w:after="0" w:line="146"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1"/>
        </w:trPr>
        <w:tc>
          <w:tcPr>
            <w:tcW w:w="4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80" w:type="dxa"/>
            <w:vAlign w:val="bottom"/>
          </w:tcPr>
          <w:p>
            <w:pPr>
              <w:spacing w:after="0"/>
              <w:rPr>
                <w:sz w:val="16"/>
                <w:szCs w:val="16"/>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4"/>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leases</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(1,709)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5"/>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cash flows from leases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(2,256)</w:t>
            </w:r>
          </w:p>
        </w:tc>
        <w:tc>
          <w:tcPr>
            <w:tcW w:w="60" w:type="dxa"/>
            <w:vAlign w:val="bottom"/>
          </w:tcPr>
          <w:p>
            <w:pPr>
              <w:spacing w:after="0"/>
              <w:rPr>
                <w:sz w:val="19"/>
                <w:szCs w:val="19"/>
                <w:color w:val="auto"/>
              </w:rPr>
            </w:pPr>
          </w:p>
        </w:tc>
        <w:tc>
          <w:tcPr>
            <w:tcW w:w="42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908"/>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30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9" w:name="page140"/>
    <w:bookmarkEnd w:id="13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As of December 31, 2024, the maturities of the Company’s lease liabilities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4"/>
        </w:trPr>
        <w:tc>
          <w:tcPr>
            <w:tcW w:w="8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auto"/>
              </w:rPr>
              <w:t>105</w:t>
            </w:r>
          </w:p>
        </w:tc>
      </w:tr>
      <w:tr>
        <w:trPr>
          <w:trHeight w:val="225"/>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left="834"/>
              <w:spacing w:after="0"/>
              <w:rPr>
                <w:sz w:val="20"/>
                <w:szCs w:val="20"/>
                <w:color w:val="auto"/>
              </w:rPr>
            </w:pPr>
            <w:r>
              <w:rPr>
                <w:rFonts w:ascii="Times New Roman" w:cs="Times New Roman" w:eastAsia="Times New Roman" w:hAnsi="Times New Roman"/>
                <w:sz w:val="18"/>
                <w:szCs w:val="18"/>
                <w:color w:val="auto"/>
              </w:rPr>
              <w:t>105</w:t>
            </w: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auto"/>
              </w:rPr>
              <w:t>105</w:t>
            </w:r>
          </w:p>
        </w:tc>
      </w:tr>
      <w:tr>
        <w:trPr>
          <w:trHeight w:val="225"/>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left="834"/>
              <w:spacing w:after="0"/>
              <w:rPr>
                <w:sz w:val="20"/>
                <w:szCs w:val="20"/>
                <w:color w:val="auto"/>
              </w:rPr>
            </w:pPr>
            <w:r>
              <w:rPr>
                <w:rFonts w:ascii="Times New Roman" w:cs="Times New Roman" w:eastAsia="Times New Roman" w:hAnsi="Times New Roman"/>
                <w:sz w:val="18"/>
                <w:szCs w:val="18"/>
                <w:color w:val="auto"/>
              </w:rPr>
              <w:t>105</w:t>
            </w: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auto"/>
              </w:rPr>
              <w:t>105</w:t>
            </w:r>
          </w:p>
        </w:tc>
      </w:tr>
      <w:tr>
        <w:trPr>
          <w:trHeight w:val="225"/>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834"/>
              <w:spacing w:after="0"/>
              <w:rPr>
                <w:sz w:val="20"/>
                <w:szCs w:val="20"/>
                <w:color w:val="auto"/>
              </w:rPr>
            </w:pPr>
            <w:r>
              <w:rPr>
                <w:rFonts w:ascii="Times New Roman" w:cs="Times New Roman" w:eastAsia="Times New Roman" w:hAnsi="Times New Roman"/>
                <w:sz w:val="18"/>
                <w:szCs w:val="18"/>
                <w:color w:val="auto"/>
              </w:rPr>
              <w:t>259</w:t>
            </w:r>
          </w:p>
        </w:tc>
      </w:tr>
      <w:tr>
        <w:trPr>
          <w:trHeight w:val="218"/>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auto"/>
              </w:rPr>
              <w:t>784</w:t>
            </w:r>
          </w:p>
        </w:tc>
      </w:tr>
      <w:tr>
        <w:trPr>
          <w:trHeight w:val="225"/>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814"/>
              <w:spacing w:after="0"/>
              <w:rPr>
                <w:sz w:val="20"/>
                <w:szCs w:val="20"/>
                <w:color w:val="auto"/>
              </w:rPr>
            </w:pPr>
            <w:r>
              <w:rPr>
                <w:rFonts w:ascii="Times New Roman" w:cs="Times New Roman" w:eastAsia="Times New Roman" w:hAnsi="Times New Roman"/>
                <w:sz w:val="18"/>
                <w:szCs w:val="18"/>
                <w:color w:val="auto"/>
                <w:w w:val="97"/>
              </w:rPr>
              <w:t>(205)</w:t>
            </w: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auto"/>
              </w:rPr>
              <w:t>579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7700" w:firstLine="6"/>
        <w:spacing w:after="0" w:line="453" w:lineRule="auto"/>
        <w:tabs>
          <w:tab w:leader="none" w:pos="17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(Deficit) and Warrants </w:t>
      </w:r>
      <w:r>
        <w:rPr>
          <w:rFonts w:ascii="Times New Roman" w:cs="Times New Roman" w:eastAsia="Times New Roman" w:hAnsi="Times New Roman"/>
          <w:sz w:val="18"/>
          <w:szCs w:val="18"/>
          <w:b w:val="1"/>
          <w:bCs w:val="1"/>
          <w:color w:val="231F20"/>
        </w:rPr>
        <w:t>Public Offering</w:t>
      </w:r>
    </w:p>
    <w:p>
      <w:pPr>
        <w:spacing w:after="0" w:line="1"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On February 29, 2024, the Company entered into an underwriting agreement (the “Underwriting Agreement”) with Cowen and Company, LLC and Cantor Fitzgerald &amp; Co., as representatives of the several underwriters named therein (collectively, the “Underwriters”), relating to the issuance and sale in an underwritten offering (the “Offering”) of 15,410,000 shares of Common Stock, which included a full exercise of the Underwriters’ option to purchase additional shares, at a price to the public of $3.00 per share. The net proceeds to the Company from the Offering were approximately $43.0 million after deducting underwriting discounts and commissions and Offering expenses. The Offering closed on March 5, 2024.</w:t>
      </w:r>
    </w:p>
    <w:p>
      <w:pPr>
        <w:spacing w:after="0" w:line="148" w:lineRule="exact"/>
        <w:rPr>
          <w:sz w:val="20"/>
          <w:szCs w:val="20"/>
          <w:color w:val="auto"/>
        </w:rPr>
      </w:pPr>
    </w:p>
    <w:p>
      <w:pPr>
        <w:ind w:right="180" w:firstLine="318"/>
        <w:spacing w:after="0" w:line="271" w:lineRule="auto"/>
        <w:rPr>
          <w:sz w:val="20"/>
          <w:szCs w:val="20"/>
          <w:color w:val="auto"/>
        </w:rPr>
      </w:pPr>
      <w:r>
        <w:rPr>
          <w:rFonts w:ascii="Times New Roman" w:cs="Times New Roman" w:eastAsia="Times New Roman" w:hAnsi="Times New Roman"/>
          <w:sz w:val="18"/>
          <w:szCs w:val="18"/>
          <w:color w:val="231F20"/>
        </w:rPr>
        <w:t xml:space="preserve">In March 2025, the Company completed a public offering of </w:t>
      </w:r>
      <w:r>
        <w:rPr>
          <w:rFonts w:ascii="Times New Roman" w:cs="Times New Roman" w:eastAsia="Times New Roman" w:hAnsi="Times New Roman"/>
          <w:sz w:val="18"/>
          <w:szCs w:val="18"/>
          <w:color w:val="000000"/>
        </w:rPr>
        <w:t>Common Stock that provided approximately $46.6 million in net proceeds. See Note 15 —</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Subsequent Events for further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Line Financing</w:t>
      </w:r>
    </w:p>
    <w:p>
      <w:pPr>
        <w:spacing w:after="0" w:line="192"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auto"/>
        </w:rPr>
        <w:t xml:space="preserve">On September 24, 2024, the Company entered into the Common Stock Purchase Agreement with Lincoln Park for an equity line financing, which provides that, subject to the terms and conditions set forth therein, the Company has the sole right, but not the obligation, to sell to Lincoln Park shares of Common Stock having an aggregate value of up to $50.0 million over a 24-month period. The Company controls the timing and amount of any sales of Purchase Shares to Lincoln Park pursuant to the Common Stock Purchase Agreement in its sole discretion. In consideration for entering into the Common Stock Purchase Agreement, the Company issued 115,705 shares of Common Stock (the “Commitment Shares”) to Lincoln Park. The Company did not receive any cash proceeds from the issuance of the Commitment Shares. The fair value of the Common Stock Purchase Agreement was measured on the issuance date based on the fair value of the Commitment Shares, which was the consideration given to Lincoln Park in exchange for entering into the agreement. The fair value of the Commitment Shares on the issuance date was determined to be $0.7 million based on the closing price of the Common Stock on September 24, 2024, which was $6.12 per share. The Company recognized the fair value of the Commitment Shares as a non-current asset as a component of other long-term assets on the consolidated balance sheets. The Common Stock Purchase Agreement is subsequently remeasured at each reporting date with changes in fair value recorded </w:t>
      </w:r>
      <w:r>
        <w:rPr>
          <w:rFonts w:ascii="Times New Roman" w:cs="Times New Roman" w:eastAsia="Times New Roman" w:hAnsi="Times New Roman"/>
          <w:sz w:val="18"/>
          <w:szCs w:val="18"/>
          <w:color w:val="231F20"/>
        </w:rPr>
        <w:t>within Change in fair value of derivatives in the consolidated statements of operations and comprehensive loss</w:t>
      </w:r>
      <w:r>
        <w:rPr>
          <w:rFonts w:ascii="Times New Roman" w:cs="Times New Roman" w:eastAsia="Times New Roman" w:hAnsi="Times New Roman"/>
          <w:sz w:val="18"/>
          <w:szCs w:val="18"/>
          <w:color w:val="auto"/>
        </w:rPr>
        <w:t xml:space="preserve">.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the Company has sold 500,000 shares to Lincoln Park for aggregate gross proceeds of $2.5 million, and the Company had $47.5 million in remaining availability for sales of Common Stock under the Common Stock Purchase Agreement. During the year ended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the Company incurred $0.2 million of transaction costs related to the Common Stock Purchase Agreement, consisting of legal and professional fees, which were expensed in the consolidated statements of operations and comprehensive loss. As of </w:t>
      </w:r>
      <w:r>
        <w:rPr>
          <w:rFonts w:ascii="Times New Roman" w:cs="Times New Roman" w:eastAsia="Times New Roman" w:hAnsi="Times New Roman"/>
          <w:sz w:val="18"/>
          <w:szCs w:val="18"/>
          <w:color w:val="231F20"/>
        </w:rPr>
        <w:t>December 31, 2024, t</w:t>
      </w:r>
      <w:r>
        <w:rPr>
          <w:rFonts w:ascii="Times New Roman" w:cs="Times New Roman" w:eastAsia="Times New Roman" w:hAnsi="Times New Roman"/>
          <w:sz w:val="18"/>
          <w:szCs w:val="18"/>
          <w:color w:val="auto"/>
        </w:rPr>
        <w:t>here were $0.1 million of unpaid transaction costs related to the Common Stock Purchase Agreement included in accounts payable on the consolidated balance sheets.</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0" w:name="page141"/>
    <w:bookmarkEnd w:id="140"/>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Registered Direct Offerings</w:t>
      </w:r>
    </w:p>
    <w:p>
      <w:pPr>
        <w:spacing w:after="0" w:line="179"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 xml:space="preserve">On October 4, 2024, the Company entered into a securities purchase agreement with an institutional investor pursuant to which the investor purchased 5,681,820 shares of Common Stock and warrants to purchase up to 5,681,820 shares of Common Stock in a registered direct offering (the “October 2024 Registered Direct Offering”). See below for additional information regarding the October 2024 RDO Warrants. The purchase price for one share of Common Stock and one warrant issued in the October 2024 Registered Direct Offering was $5.28. The net proceeds to the Company from the October 2024 Registered Direct Offering were approximately $28.0 million after deducting placement agent’s fees and offering expenses of approximately $2.0 million. The October 2024 Registered Direct Offering closed on October 7, 2024. During the year ended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the Company expensed $0.1 million of transaction costs related to the October 2024 Registered Direct Offering in the consolidated statements of operations and comprehensive loss.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w:t>
      </w:r>
      <w:r>
        <w:rPr>
          <w:rFonts w:ascii="Times New Roman" w:cs="Times New Roman" w:eastAsia="Times New Roman" w:hAnsi="Times New Roman"/>
          <w:sz w:val="18"/>
          <w:szCs w:val="18"/>
          <w:color w:val="000000"/>
        </w:rPr>
        <w:t>here were $0.1 million of unpaid transaction costs related to the October 2024 Registered Direct Offering included in accounts payable on the consolidated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balance sheets.</w:t>
      </w:r>
    </w:p>
    <w:p>
      <w:pPr>
        <w:spacing w:after="0" w:line="153"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On November 13, 2024, the Company entered into a securities purchase agreement with an institutional investor pursuant to which the investor purchased 2,808,988 shares of Common Stock and warrants to purchase up to 2,808,988 shares of Common Stock in a registered direct offering (the “November 2024 Registered Direct Offering”). See below for additional information regarding the November 2024 RDO Warrants. The purchase price for one share of Common Stock and one warrant issued in the November 2024 Registered Direct Offering was $5.34. The net proceeds to the Company from the November 2024 Registered Direct Offering were approximately $14.9 million after deducting offering expenses of approximately $0.1 million. The November 2024 Registered Direct Offering closed on November 15, 2024. All offering costs were expensed in the consolidated statements of operations and comprehensive loss. As of </w:t>
      </w:r>
      <w:r>
        <w:rPr>
          <w:rFonts w:ascii="Times New Roman" w:cs="Times New Roman" w:eastAsia="Times New Roman" w:hAnsi="Times New Roman"/>
          <w:sz w:val="18"/>
          <w:szCs w:val="18"/>
          <w:color w:val="231F20"/>
        </w:rPr>
        <w:t>December 31, 2024, t</w:t>
      </w:r>
      <w:r>
        <w:rPr>
          <w:rFonts w:ascii="Times New Roman" w:cs="Times New Roman" w:eastAsia="Times New Roman" w:hAnsi="Times New Roman"/>
          <w:sz w:val="18"/>
          <w:szCs w:val="18"/>
          <w:color w:val="auto"/>
        </w:rPr>
        <w:t>here were $0.1 million of unpaid transaction costs related to the November 2024 Registered Direct Offering included in accounts payable on the consolidated balance sheets.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Facility</w:t>
      </w:r>
    </w:p>
    <w:p>
      <w:pPr>
        <w:spacing w:after="0" w:line="179"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On September 1, 2022, the Company entered into the ATM Facility for the sale from time to time of up to $80.0 million of shares of Common Stock. In December 2024, the Company sold an aggregate of </w:t>
      </w:r>
      <w:r>
        <w:rPr>
          <w:rFonts w:ascii="Times New Roman" w:cs="Times New Roman" w:eastAsia="Times New Roman" w:hAnsi="Times New Roman"/>
          <w:sz w:val="18"/>
          <w:szCs w:val="18"/>
          <w:color w:val="000000"/>
        </w:rPr>
        <w:t>1,333,596</w:t>
      </w:r>
      <w:r>
        <w:rPr>
          <w:rFonts w:ascii="Times New Roman" w:cs="Times New Roman" w:eastAsia="Times New Roman" w:hAnsi="Times New Roman"/>
          <w:sz w:val="18"/>
          <w:szCs w:val="18"/>
          <w:color w:val="231F20"/>
        </w:rPr>
        <w:t xml:space="preserve"> shares of Common Stock under the ATM Facility at an average price of </w:t>
      </w:r>
      <w:r>
        <w:rPr>
          <w:rFonts w:ascii="Times New Roman" w:cs="Times New Roman" w:eastAsia="Times New Roman" w:hAnsi="Times New Roman"/>
          <w:sz w:val="18"/>
          <w:szCs w:val="18"/>
          <w:color w:val="000000"/>
        </w:rPr>
        <w:t>$5.26</w:t>
      </w:r>
      <w:r>
        <w:rPr>
          <w:rFonts w:ascii="Times New Roman" w:cs="Times New Roman" w:eastAsia="Times New Roman" w:hAnsi="Times New Roman"/>
          <w:sz w:val="18"/>
          <w:szCs w:val="18"/>
          <w:color w:val="231F20"/>
        </w:rPr>
        <w:t xml:space="preserve"> per share for net proceeds of approximately </w:t>
      </w:r>
      <w:r>
        <w:rPr>
          <w:rFonts w:ascii="Times New Roman" w:cs="Times New Roman" w:eastAsia="Times New Roman" w:hAnsi="Times New Roman"/>
          <w:sz w:val="18"/>
          <w:szCs w:val="18"/>
          <w:color w:val="000000"/>
        </w:rPr>
        <w:t>$6.8 million</w:t>
      </w:r>
      <w:r>
        <w:rPr>
          <w:rFonts w:ascii="Times New Roman" w:cs="Times New Roman" w:eastAsia="Times New Roman" w:hAnsi="Times New Roman"/>
          <w:sz w:val="18"/>
          <w:szCs w:val="18"/>
          <w:color w:val="231F20"/>
        </w:rPr>
        <w:t xml:space="preserve"> after deducting sales commissions of approximately </w:t>
      </w:r>
      <w:r>
        <w:rPr>
          <w:rFonts w:ascii="Times New Roman" w:cs="Times New Roman" w:eastAsia="Times New Roman" w:hAnsi="Times New Roman"/>
          <w:sz w:val="18"/>
          <w:szCs w:val="18"/>
          <w:color w:val="000000"/>
        </w:rPr>
        <w:t>$0.2 million</w:t>
      </w:r>
      <w:r>
        <w:rPr>
          <w:rFonts w:ascii="Times New Roman" w:cs="Times New Roman" w:eastAsia="Times New Roman" w:hAnsi="Times New Roman"/>
          <w:sz w:val="18"/>
          <w:szCs w:val="18"/>
          <w:color w:val="231F20"/>
        </w:rPr>
        <w:t xml:space="preserve">. From December 31, 2024 through March 31, 2025, the Company sold an aggregate of </w:t>
      </w:r>
      <w:r>
        <w:rPr>
          <w:rFonts w:ascii="Times New Roman" w:cs="Times New Roman" w:eastAsia="Times New Roman" w:hAnsi="Times New Roman"/>
          <w:sz w:val="18"/>
          <w:szCs w:val="18"/>
          <w:color w:val="000000"/>
        </w:rPr>
        <w:t>75,793</w:t>
      </w:r>
      <w:r>
        <w:rPr>
          <w:rFonts w:ascii="Times New Roman" w:cs="Times New Roman" w:eastAsia="Times New Roman" w:hAnsi="Times New Roman"/>
          <w:sz w:val="18"/>
          <w:szCs w:val="18"/>
          <w:color w:val="231F20"/>
        </w:rPr>
        <w:t xml:space="preserve"> shares of Common Stock under the ATM Facility at an average price of </w:t>
      </w:r>
      <w:r>
        <w:rPr>
          <w:rFonts w:ascii="Times New Roman" w:cs="Times New Roman" w:eastAsia="Times New Roman" w:hAnsi="Times New Roman"/>
          <w:sz w:val="18"/>
          <w:szCs w:val="18"/>
          <w:color w:val="000000"/>
        </w:rPr>
        <w:t>$5.04</w:t>
      </w:r>
      <w:r>
        <w:rPr>
          <w:rFonts w:ascii="Times New Roman" w:cs="Times New Roman" w:eastAsia="Times New Roman" w:hAnsi="Times New Roman"/>
          <w:sz w:val="18"/>
          <w:szCs w:val="18"/>
          <w:color w:val="231F20"/>
        </w:rPr>
        <w:t xml:space="preserve"> per share for net proceeds of approximately </w:t>
      </w:r>
      <w:r>
        <w:rPr>
          <w:rFonts w:ascii="Times New Roman" w:cs="Times New Roman" w:eastAsia="Times New Roman" w:hAnsi="Times New Roman"/>
          <w:sz w:val="18"/>
          <w:szCs w:val="18"/>
          <w:color w:val="000000"/>
        </w:rPr>
        <w:t>$0.4 million</w:t>
      </w:r>
      <w:r>
        <w:rPr>
          <w:rFonts w:ascii="Times New Roman" w:cs="Times New Roman" w:eastAsia="Times New Roman" w:hAnsi="Times New Roman"/>
          <w:sz w:val="18"/>
          <w:szCs w:val="18"/>
          <w:color w:val="231F20"/>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Common Stock</w:t>
      </w:r>
    </w:p>
    <w:p>
      <w:pPr>
        <w:spacing w:after="0" w:line="192" w:lineRule="exact"/>
        <w:rPr>
          <w:sz w:val="20"/>
          <w:szCs w:val="20"/>
          <w:color w:val="auto"/>
        </w:rPr>
      </w:pPr>
    </w:p>
    <w:p>
      <w:pPr>
        <w:ind w:right="400" w:firstLine="318"/>
        <w:spacing w:after="0" w:line="258" w:lineRule="auto"/>
        <w:rPr>
          <w:sz w:val="20"/>
          <w:szCs w:val="20"/>
          <w:color w:val="auto"/>
        </w:rPr>
      </w:pPr>
      <w:r>
        <w:rPr>
          <w:rFonts w:ascii="Times New Roman" w:cs="Times New Roman" w:eastAsia="Times New Roman" w:hAnsi="Times New Roman"/>
          <w:sz w:val="18"/>
          <w:szCs w:val="18"/>
          <w:color w:val="231F20"/>
        </w:rPr>
        <w:t>As of December 31, 2024, the Company’s Second Amended and Restated Certificate of Incorporation authorized the Company to issue 250,000,000 shares of Common Stock. The number of authorized shares of Common Stock may be increased or decreased (but not below the number of shares then outstanding or reserved for issuance) by the affirmative vote of the holders of a majority in interest of the Common Stock.</w:t>
      </w:r>
    </w:p>
    <w:p>
      <w:pPr>
        <w:spacing w:after="0" w:line="140"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8"/>
          <w:szCs w:val="18"/>
          <w:color w:val="231F20"/>
        </w:rPr>
        <w:t>The holders of Common Stock are entitled to receive dividends from time to time as may be declared by the Company’s board of directors. Through December 31, 2024, no dividends have been declared. The Purchase Agreement limits the Company’s ability to pay cash dividends to the holders of Common Stock.</w:t>
      </w:r>
    </w:p>
    <w:p>
      <w:pPr>
        <w:spacing w:after="0" w:line="140" w:lineRule="exact"/>
        <w:rPr>
          <w:sz w:val="20"/>
          <w:szCs w:val="20"/>
          <w:color w:val="auto"/>
        </w:rPr>
      </w:pPr>
    </w:p>
    <w:p>
      <w:pPr>
        <w:ind w:right="600" w:firstLine="318"/>
        <w:spacing w:after="0" w:line="271" w:lineRule="auto"/>
        <w:rPr>
          <w:sz w:val="20"/>
          <w:szCs w:val="20"/>
          <w:color w:val="auto"/>
        </w:rPr>
      </w:pPr>
      <w:r>
        <w:rPr>
          <w:rFonts w:ascii="Times New Roman" w:cs="Times New Roman" w:eastAsia="Times New Roman" w:hAnsi="Times New Roman"/>
          <w:sz w:val="18"/>
          <w:szCs w:val="18"/>
          <w:color w:val="231F20"/>
        </w:rPr>
        <w:t>The holders of Common Stock are entitled to one vote for each share held with respect to all matters voted on by the common stockholders of the Company.</w:t>
      </w:r>
    </w:p>
    <w:p>
      <w:pPr>
        <w:spacing w:after="0" w:line="141" w:lineRule="exact"/>
        <w:rPr>
          <w:sz w:val="20"/>
          <w:szCs w:val="20"/>
          <w:color w:val="auto"/>
        </w:rPr>
      </w:pPr>
    </w:p>
    <w:p>
      <w:pPr>
        <w:ind w:right="160" w:firstLine="318"/>
        <w:spacing w:after="0" w:line="271" w:lineRule="auto"/>
        <w:rPr>
          <w:sz w:val="20"/>
          <w:szCs w:val="20"/>
          <w:color w:val="auto"/>
        </w:rPr>
      </w:pPr>
      <w:r>
        <w:rPr>
          <w:rFonts w:ascii="Times New Roman" w:cs="Times New Roman" w:eastAsia="Times New Roman" w:hAnsi="Times New Roman"/>
          <w:sz w:val="18"/>
          <w:szCs w:val="18"/>
          <w:color w:val="231F20"/>
        </w:rPr>
        <w:t>In the event of a reorganization of the Company, after payment to any preferred stockholders of their liquidation preferences, holders of Common Stock are entitled to share ratably in all remaining assets of the Company.</w:t>
      </w:r>
    </w:p>
    <w:p>
      <w:pPr>
        <w:spacing w:after="0" w:line="200" w:lineRule="exact"/>
        <w:rPr>
          <w:sz w:val="20"/>
          <w:szCs w:val="20"/>
          <w:color w:val="auto"/>
        </w:rPr>
      </w:pPr>
    </w:p>
    <w:p>
      <w:pPr>
        <w:spacing w:after="0" w:line="36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93" w:right="379" w:bottom="1440" w:gutter="0" w:footer="0" w:header="0"/>
        </w:sectPr>
      </w:pPr>
    </w:p>
    <w:bookmarkStart w:id="141" w:name="page142"/>
    <w:bookmarkEnd w:id="141"/>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As of December 31, 2024 and 2023, the Company had reserved Common Stock for future issuances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6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231F20"/>
              </w:rPr>
              <w:t>December 31,</w:t>
            </w:r>
          </w:p>
        </w:tc>
        <w:tc>
          <w:tcPr>
            <w:tcW w:w="100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reserved for Contingent Earnout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reserved for Common Stock Purchase Agreement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reserved for ATM Facility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18,666,404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Common Stock reserved for Option Agreement </w:t>
            </w:r>
            <w:r>
              <w:rPr>
                <w:rFonts w:ascii="Times New Roman" w:cs="Times New Roman" w:eastAsia="Times New Roman" w:hAnsi="Times New Roman"/>
                <w:sz w:val="22"/>
                <w:szCs w:val="22"/>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1,333,334</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 outstanding under stock plans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12,274,139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11,919,421</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available for issuance under stock 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5,817,353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1,492,057</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ESPP</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1,030,033</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14,079,314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5,588,506</w:t>
            </w:r>
          </w:p>
        </w:tc>
      </w:tr>
      <w:tr>
        <w:trPr>
          <w:trHeight w:val="243"/>
        </w:trPr>
        <w:tc>
          <w:tcPr>
            <w:tcW w:w="8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79,940,576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36,363,351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8" w:lineRule="exact"/>
        <w:rPr>
          <w:sz w:val="20"/>
          <w:szCs w:val="20"/>
          <w:color w:val="auto"/>
        </w:rPr>
      </w:pPr>
    </w:p>
    <w:p>
      <w:pPr>
        <w:ind w:left="320" w:right="40" w:hanging="314"/>
        <w:spacing w:after="0" w:line="271" w:lineRule="auto"/>
        <w:tabs>
          <w:tab w:leader="none" w:pos="314"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As of December 31, 2024, assumes the exercise of the </w:t>
      </w:r>
      <w:r>
        <w:rPr>
          <w:rFonts w:ascii="Times New Roman" w:cs="Times New Roman" w:eastAsia="Times New Roman" w:hAnsi="Times New Roman"/>
          <w:sz w:val="18"/>
          <w:szCs w:val="18"/>
          <w:color w:val="000000"/>
        </w:rPr>
        <w:t>$8,050,000</w:t>
      </w:r>
      <w:r>
        <w:rPr>
          <w:rFonts w:ascii="Times New Roman" w:cs="Times New Roman" w:eastAsia="Times New Roman" w:hAnsi="Times New Roman"/>
          <w:sz w:val="18"/>
          <w:szCs w:val="18"/>
          <w:color w:val="231F20"/>
        </w:rPr>
        <w:t xml:space="preserve"> of shares of Common Stock remaining under the Option, and as of December 31, 2023, assumes the exercise of the entire Option, as provided for in the Option Agreement, both at the minimum purchase price of </w:t>
      </w:r>
      <w:r>
        <w:rPr>
          <w:rFonts w:ascii="Times New Roman" w:cs="Times New Roman" w:eastAsia="Times New Roman" w:hAnsi="Times New Roman"/>
          <w:sz w:val="18"/>
          <w:szCs w:val="18"/>
          <w:color w:val="000000"/>
        </w:rPr>
        <w:t>$7.50</w:t>
      </w:r>
      <w:r>
        <w:rPr>
          <w:rFonts w:ascii="Times New Roman" w:cs="Times New Roman" w:eastAsia="Times New Roman" w:hAnsi="Times New Roman"/>
          <w:sz w:val="18"/>
          <w:szCs w:val="18"/>
          <w:color w:val="231F20"/>
        </w:rPr>
        <w:t xml:space="preserve"> per share.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Preferred Stock</w:t>
      </w:r>
    </w:p>
    <w:p>
      <w:pPr>
        <w:spacing w:after="0" w:line="179"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231F20"/>
        </w:rPr>
        <w:t>The Company’s Second Amended and Restated Certificate of Incorporation provides the Company’s board of directors with the authority to issue preferred stock, par value $0.0001 per share, in one more series and to establish from time to time the number of shares to be included in each such series, by adopting a resolution and filing a certificate of designations. Voting powers, designations, powers, preferences and relative, participating, optional, special and other rights shall be stated and expressed in such resolutions. There were 20,000,000 shares designated as preferred stock and none were outstanding as of December 31, 2024 and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Warrants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Company had the following Common Stock warrants outstanding as of December 31, 2024 and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6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231F20"/>
              </w:rPr>
              <w:t>December 31,</w:t>
            </w:r>
          </w:p>
        </w:tc>
        <w:tc>
          <w:tcPr>
            <w:tcW w:w="100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Humacyte Common Stock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411,006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411,006</w:t>
            </w:r>
          </w:p>
        </w:tc>
      </w:tr>
      <w:tr>
        <w:trPr>
          <w:trHeight w:val="25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2024 RDO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5,681,820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2024 RDO 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2,808,988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Common Stock Warrants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14,079,314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5,588,506</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Legacy Humacyte Common Stock Warrants</w:t>
      </w:r>
    </w:p>
    <w:p>
      <w:pPr>
        <w:spacing w:after="0" w:line="194"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In connection with the Company’s Loan Agreement, </w:t>
      </w:r>
      <w:r>
        <w:rPr>
          <w:rFonts w:ascii="Times New Roman" w:cs="Times New Roman" w:eastAsia="Times New Roman" w:hAnsi="Times New Roman"/>
          <w:sz w:val="18"/>
          <w:szCs w:val="18"/>
          <w:color w:val="000000"/>
        </w:rPr>
        <w:t>in 2021 the Company granted warrants to the lenders to purchase 411,006 shares of common stock at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 exercise price of $10.28 per share (such warrants, “Legacy Humacyte Common Stock Warrants”). The Company recognized the fair value of the warrants within stockholders’ equity using a Black-Scholes valuation model, as the settlement of the warrants is indexed to the Common Stock. There were no exercises or expirations of warrants during the year ended </w:t>
      </w:r>
      <w:r>
        <w:rPr>
          <w:rFonts w:ascii="Times New Roman" w:cs="Times New Roman" w:eastAsia="Times New Roman" w:hAnsi="Times New Roman"/>
          <w:sz w:val="18"/>
          <w:szCs w:val="18"/>
          <w:color w:val="231F20"/>
        </w:rPr>
        <w:t>December 31, 2024, and t</w:t>
      </w:r>
      <w:r>
        <w:rPr>
          <w:rFonts w:ascii="Times New Roman" w:cs="Times New Roman" w:eastAsia="Times New Roman" w:hAnsi="Times New Roman"/>
          <w:sz w:val="18"/>
          <w:szCs w:val="18"/>
          <w:color w:val="000000"/>
        </w:rPr>
        <w:t xml:space="preserve">here were no issuances, exercises or expirations of warrants during the year ended </w:t>
      </w:r>
      <w:r>
        <w:rPr>
          <w:rFonts w:ascii="Times New Roman" w:cs="Times New Roman" w:eastAsia="Times New Roman" w:hAnsi="Times New Roman"/>
          <w:sz w:val="18"/>
          <w:szCs w:val="18"/>
          <w:color w:val="231F20"/>
        </w:rPr>
        <w:t>and December 31, 2023</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2" w:name="page143"/>
    <w:bookmarkEnd w:id="142"/>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Private Placement Warrants</w:t>
      </w:r>
    </w:p>
    <w:p>
      <w:pPr>
        <w:spacing w:after="0" w:line="181"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231F20"/>
        </w:rPr>
        <w:t xml:space="preserve">The Private Placement Warrants were initially recognized as a liability on the Closing Date at a fair value of $0.6 million. See </w:t>
      </w:r>
      <w:r>
        <w:rPr>
          <w:rFonts w:ascii="Times New Roman" w:cs="Times New Roman" w:eastAsia="Times New Roman" w:hAnsi="Times New Roman"/>
          <w:sz w:val="18"/>
          <w:szCs w:val="18"/>
          <w:color w:val="000000"/>
        </w:rPr>
        <w:t>Note 3 — Fair Value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Measurements </w:t>
      </w:r>
      <w:r>
        <w:rPr>
          <w:rFonts w:ascii="Times New Roman" w:cs="Times New Roman" w:eastAsia="Times New Roman" w:hAnsi="Times New Roman"/>
          <w:sz w:val="18"/>
          <w:szCs w:val="18"/>
          <w:color w:val="231F20"/>
        </w:rPr>
        <w:t>for a summary of the change in the fair value of the Private Placement Warrants during the years ended December 31, 2024 and 2023.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remeasurement of the Private Placement Warrant liability to a fair value of $0.4 million as of December 31, 2024 from $0.1 million as of December 31, 2023 resulted in a non-cash </w:t>
      </w:r>
      <w:r>
        <w:rPr>
          <w:rFonts w:ascii="Times New Roman" w:cs="Times New Roman" w:eastAsia="Times New Roman" w:hAnsi="Times New Roman"/>
          <w:sz w:val="18"/>
          <w:szCs w:val="18"/>
          <w:color w:val="000000"/>
        </w:rPr>
        <w:t>loss of</w:t>
      </w:r>
      <w:r>
        <w:rPr>
          <w:rFonts w:ascii="Times New Roman" w:cs="Times New Roman" w:eastAsia="Times New Roman" w:hAnsi="Times New Roman"/>
          <w:sz w:val="18"/>
          <w:szCs w:val="18"/>
          <w:color w:val="231F20"/>
        </w:rPr>
        <w:t xml:space="preserve"> $0.3 million for the year ended December 31, 2024, compared to an </w:t>
      </w:r>
      <w:r>
        <w:rPr>
          <w:rFonts w:ascii="Times New Roman" w:cs="Times New Roman" w:eastAsia="Times New Roman" w:hAnsi="Times New Roman"/>
          <w:sz w:val="18"/>
          <w:szCs w:val="18"/>
          <w:color w:val="000000"/>
        </w:rPr>
        <w:t>insignificant</w:t>
      </w:r>
      <w:r>
        <w:rPr>
          <w:rFonts w:ascii="Times New Roman" w:cs="Times New Roman" w:eastAsia="Times New Roman" w:hAnsi="Times New Roman"/>
          <w:sz w:val="18"/>
          <w:szCs w:val="18"/>
          <w:color w:val="231F20"/>
        </w:rPr>
        <w:t xml:space="preserve"> non-cash gain for the year ended December 31, 2023. The remeasurement of the Private Placement Warrant liability is classified within Change in fair value of derivatives in the consolidated statements of operations and comprehensive loss.</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Private Placement Warrants were valued using the following assumptions under the Monte Carlo simulation value model:</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1000" w:type="dxa"/>
            <w:vAlign w:val="bottom"/>
          </w:tcPr>
          <w:p>
            <w:pPr>
              <w:spacing w:after="0"/>
              <w:rPr>
                <w:sz w:val="16"/>
                <w:szCs w:val="16"/>
                <w:color w:val="auto"/>
              </w:rPr>
            </w:pPr>
          </w:p>
        </w:tc>
      </w:tr>
      <w:tr>
        <w:trPr>
          <w:trHeight w:val="24"/>
        </w:trPr>
        <w:tc>
          <w:tcPr>
            <w:tcW w:w="79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9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98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2.84</w:t>
            </w:r>
          </w:p>
        </w:tc>
      </w:tr>
      <w:tr>
        <w:trPr>
          <w:trHeight w:val="225"/>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98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8"/>
              </w:rPr>
              <w:t>11.50</w:t>
            </w:r>
          </w:p>
        </w:tc>
        <w:tc>
          <w:tcPr>
            <w:tcW w:w="100" w:type="dxa"/>
            <w:vAlign w:val="bottom"/>
          </w:tcPr>
          <w:p>
            <w:pPr>
              <w:spacing w:after="0"/>
              <w:rPr>
                <w:sz w:val="19"/>
                <w:szCs w:val="19"/>
                <w:color w:val="auto"/>
              </w:rPr>
            </w:pP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11.50</w:t>
            </w: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2.65</w:t>
            </w:r>
          </w:p>
        </w:tc>
      </w:tr>
      <w:tr>
        <w:trPr>
          <w:trHeight w:val="225"/>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128.0 %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Public Warrants</w:t>
      </w:r>
    </w:p>
    <w:p>
      <w:pPr>
        <w:spacing w:after="0" w:line="181" w:lineRule="exact"/>
        <w:rPr>
          <w:sz w:val="20"/>
          <w:szCs w:val="20"/>
          <w:color w:val="auto"/>
        </w:rPr>
      </w:pPr>
    </w:p>
    <w:p>
      <w:pPr>
        <w:ind w:right="580" w:firstLine="318"/>
        <w:spacing w:after="0" w:line="271" w:lineRule="auto"/>
        <w:rPr>
          <w:sz w:val="20"/>
          <w:szCs w:val="20"/>
          <w:color w:val="auto"/>
        </w:rPr>
      </w:pPr>
      <w:r>
        <w:rPr>
          <w:rFonts w:ascii="Times New Roman" w:cs="Times New Roman" w:eastAsia="Times New Roman" w:hAnsi="Times New Roman"/>
          <w:sz w:val="18"/>
          <w:szCs w:val="18"/>
          <w:color w:val="231F20"/>
        </w:rPr>
        <w:t>The Public Warrants may only be exercised for a whole number of shares and will expire five years after the completion of the Merger. The Public Warrants were initially recognized as equity on the Closing Date at a fair value of $2.80 per share.</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 Warrants</w:t>
      </w:r>
    </w:p>
    <w:p>
      <w:pPr>
        <w:spacing w:after="0" w:line="194" w:lineRule="exact"/>
        <w:rPr>
          <w:sz w:val="20"/>
          <w:szCs w:val="20"/>
          <w:color w:val="auto"/>
        </w:rPr>
      </w:pPr>
    </w:p>
    <w:p>
      <w:pPr>
        <w:ind w:right="240" w:firstLine="318"/>
        <w:spacing w:after="0" w:line="258" w:lineRule="auto"/>
        <w:rPr>
          <w:sz w:val="20"/>
          <w:szCs w:val="20"/>
          <w:color w:val="auto"/>
        </w:rPr>
      </w:pPr>
      <w:r>
        <w:rPr>
          <w:rFonts w:ascii="Times New Roman" w:cs="Times New Roman" w:eastAsia="Times New Roman" w:hAnsi="Times New Roman"/>
          <w:sz w:val="18"/>
          <w:szCs w:val="18"/>
          <w:color w:val="auto"/>
        </w:rPr>
        <w:t>The October 2024 RDO Warrants were immediately exercisable. October 2024 RDO Warrants to purchase 2,840,910 shares of Common Stock have an exercise price of $5.28 per share, and will expire 180 days from the date of issuance. The remaining October 2024 RDO Warrants to purchase 2,840,910 shares of Common Stock have an exercise price of $5.28 per share, and will expire 1,640 days from the date of issuance.</w:t>
      </w:r>
    </w:p>
    <w:p>
      <w:pPr>
        <w:spacing w:after="0" w:line="179" w:lineRule="exact"/>
        <w:rPr>
          <w:sz w:val="20"/>
          <w:szCs w:val="20"/>
          <w:color w:val="auto"/>
        </w:rPr>
      </w:pPr>
    </w:p>
    <w:p>
      <w:pPr>
        <w:ind w:right="160" w:firstLine="318"/>
        <w:spacing w:after="0" w:line="273" w:lineRule="auto"/>
        <w:rPr>
          <w:sz w:val="20"/>
          <w:szCs w:val="20"/>
          <w:color w:val="auto"/>
        </w:rPr>
      </w:pPr>
      <w:r>
        <w:rPr>
          <w:rFonts w:ascii="Times New Roman" w:cs="Times New Roman" w:eastAsia="Times New Roman" w:hAnsi="Times New Roman"/>
          <w:sz w:val="17"/>
          <w:szCs w:val="17"/>
          <w:color w:val="auto"/>
        </w:rPr>
        <w:t xml:space="preserve">The October 2024 RDO Warrants were initially recognized as a liability on the issuance date at a fair value of </w:t>
      </w:r>
      <w:r>
        <w:rPr>
          <w:rFonts w:ascii="Times New Roman" w:cs="Times New Roman" w:eastAsia="Times New Roman" w:hAnsi="Times New Roman"/>
          <w:sz w:val="17"/>
          <w:szCs w:val="17"/>
          <w:color w:val="231F20"/>
        </w:rPr>
        <w:t>$15.2 million. The remeasurement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October RDO Warrants liability to a fair value of $12.4 million </w:t>
      </w:r>
      <w:r>
        <w:rPr>
          <w:rFonts w:ascii="Times New Roman" w:cs="Times New Roman" w:eastAsia="Times New Roman" w:hAnsi="Times New Roman"/>
          <w:sz w:val="17"/>
          <w:szCs w:val="17"/>
          <w:color w:val="000000"/>
        </w:rPr>
        <w:t>as of</w:t>
      </w:r>
      <w:r>
        <w:rPr>
          <w:rFonts w:ascii="Times New Roman" w:cs="Times New Roman" w:eastAsia="Times New Roman" w:hAnsi="Times New Roman"/>
          <w:sz w:val="17"/>
          <w:szCs w:val="17"/>
          <w:color w:val="231F20"/>
        </w:rPr>
        <w:t xml:space="preserve"> December 31, 2024 </w:t>
      </w:r>
      <w:r>
        <w:rPr>
          <w:rFonts w:ascii="Times New Roman" w:cs="Times New Roman" w:eastAsia="Times New Roman" w:hAnsi="Times New Roman"/>
          <w:sz w:val="17"/>
          <w:szCs w:val="17"/>
          <w:color w:val="000000"/>
        </w:rPr>
        <w:t>resulted in a non-cash gain of</w:t>
      </w:r>
      <w:r>
        <w:rPr>
          <w:rFonts w:ascii="Times New Roman" w:cs="Times New Roman" w:eastAsia="Times New Roman" w:hAnsi="Times New Roman"/>
          <w:sz w:val="17"/>
          <w:szCs w:val="17"/>
          <w:color w:val="231F20"/>
        </w:rPr>
        <w:t xml:space="preserve"> $2.8 million </w:t>
      </w:r>
      <w:r>
        <w:rPr>
          <w:rFonts w:ascii="Times New Roman" w:cs="Times New Roman" w:eastAsia="Times New Roman" w:hAnsi="Times New Roman"/>
          <w:sz w:val="17"/>
          <w:szCs w:val="17"/>
          <w:color w:val="000000"/>
        </w:rPr>
        <w:t>for the year ended</w:t>
      </w:r>
      <w:r>
        <w:rPr>
          <w:rFonts w:ascii="Times New Roman" w:cs="Times New Roman" w:eastAsia="Times New Roman" w:hAnsi="Times New Roman"/>
          <w:sz w:val="17"/>
          <w:szCs w:val="17"/>
          <w:color w:val="231F20"/>
        </w:rPr>
        <w:t xml:space="preserve"> December 31, 2024, </w:t>
      </w:r>
      <w:r>
        <w:rPr>
          <w:rFonts w:ascii="Times New Roman" w:cs="Times New Roman" w:eastAsia="Times New Roman" w:hAnsi="Times New Roman"/>
          <w:sz w:val="17"/>
          <w:szCs w:val="17"/>
          <w:color w:val="000000"/>
        </w:rPr>
        <w:t>classified within Change in fair value of derivatives in the consolidated statements of operations and comprehensive loss.</w:t>
      </w:r>
      <w:r>
        <w:rPr>
          <w:rFonts w:ascii="Times New Roman" w:cs="Times New Roman" w:eastAsia="Times New Roman" w:hAnsi="Times New Roman"/>
          <w:sz w:val="17"/>
          <w:szCs w:val="17"/>
          <w:color w:val="231F20"/>
        </w:rPr>
        <w:t xml:space="preserve"> See </w:t>
      </w:r>
      <w:r>
        <w:rPr>
          <w:rFonts w:ascii="Times New Roman" w:cs="Times New Roman" w:eastAsia="Times New Roman" w:hAnsi="Times New Roman"/>
          <w:sz w:val="17"/>
          <w:szCs w:val="17"/>
          <w:color w:val="000000"/>
        </w:rPr>
        <w:t>Note 3 —</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Fair Value Measurements </w:t>
      </w:r>
      <w:r>
        <w:rPr>
          <w:rFonts w:ascii="Times New Roman" w:cs="Times New Roman" w:eastAsia="Times New Roman" w:hAnsi="Times New Roman"/>
          <w:sz w:val="17"/>
          <w:szCs w:val="17"/>
          <w:color w:val="231F20"/>
        </w:rPr>
        <w:t>for a summary of the change in the fair value of the October 2024 RDO Warrants during the year ended December 31, 2024.</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3" w:name="page144"/>
    <w:bookmarkEnd w:id="14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October 2024 RDO Warrants were valued using the following assumptions under the Black-Scholes valuation model: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180 Day Warrants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gridSpan w:val="3"/>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1,640 Day Warrants</w:t>
            </w:r>
          </w:p>
        </w:tc>
      </w:tr>
      <w:tr>
        <w:trPr>
          <w:trHeight w:val="24"/>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27"/>
        </w:trPr>
        <w:tc>
          <w:tcPr>
            <w:tcW w:w="43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418"/>
              <w:spacing w:after="0" w:line="12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76"/>
              <w:spacing w:after="0" w:line="128" w:lineRule="exact"/>
              <w:rPr>
                <w:sz w:val="20"/>
                <w:szCs w:val="20"/>
                <w:color w:val="auto"/>
              </w:rPr>
            </w:pPr>
            <w:r>
              <w:rPr>
                <w:rFonts w:ascii="Times New Roman" w:cs="Times New Roman" w:eastAsia="Times New Roman" w:hAnsi="Times New Roman"/>
                <w:sz w:val="14"/>
                <w:szCs w:val="14"/>
                <w:b w:val="1"/>
                <w:bCs w:val="1"/>
                <w:color w:val="auto"/>
              </w:rPr>
              <w:t>October 7,</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418"/>
              <w:spacing w:after="0" w:line="12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76"/>
              <w:spacing w:after="0" w:line="128" w:lineRule="exact"/>
              <w:rPr>
                <w:sz w:val="20"/>
                <w:szCs w:val="20"/>
                <w:color w:val="auto"/>
              </w:rPr>
            </w:pPr>
            <w:r>
              <w:rPr>
                <w:rFonts w:ascii="Times New Roman" w:cs="Times New Roman" w:eastAsia="Times New Roman" w:hAnsi="Times New Roman"/>
                <w:sz w:val="14"/>
                <w:szCs w:val="14"/>
                <w:b w:val="1"/>
                <w:bCs w:val="1"/>
                <w:color w:val="auto"/>
              </w:rPr>
              <w:t>October 7,</w:t>
            </w:r>
          </w:p>
        </w:tc>
      </w:tr>
      <w:tr>
        <w:trPr>
          <w:trHeight w:val="191"/>
        </w:trPr>
        <w:tc>
          <w:tcPr>
            <w:tcW w:w="4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4"/>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5.05</w:t>
            </w:r>
          </w:p>
        </w:tc>
        <w:tc>
          <w:tcPr>
            <w:tcW w:w="5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5.05</w:t>
            </w:r>
          </w:p>
        </w:tc>
        <w:tc>
          <w:tcPr>
            <w:tcW w:w="4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5.50</w:t>
            </w:r>
          </w:p>
        </w:tc>
      </w:tr>
      <w:tr>
        <w:trPr>
          <w:trHeight w:val="225"/>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5.28</w:t>
            </w:r>
          </w:p>
        </w:tc>
        <w:tc>
          <w:tcPr>
            <w:tcW w:w="5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5.28</w:t>
            </w: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5.28</w:t>
            </w:r>
          </w:p>
        </w:tc>
      </w:tr>
      <w:tr>
        <w:trPr>
          <w:trHeight w:val="22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0.27</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4.27</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4.50</w:t>
            </w:r>
          </w:p>
        </w:tc>
      </w:tr>
      <w:tr>
        <w:trPr>
          <w:trHeight w:val="225"/>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240" w:type="dxa"/>
            <w:vAlign w:val="bottom"/>
          </w:tcPr>
          <w:p>
            <w:pPr>
              <w:spacing w:after="0"/>
              <w:rPr>
                <w:sz w:val="19"/>
                <w:szCs w:val="19"/>
                <w:color w:val="auto"/>
              </w:rPr>
            </w:pPr>
          </w:p>
        </w:tc>
        <w:tc>
          <w:tcPr>
            <w:tcW w:w="14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106.7 %</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88.4 %</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86.7 %</w:t>
            </w:r>
          </w:p>
        </w:tc>
      </w:tr>
      <w:tr>
        <w:trPr>
          <w:trHeight w:val="22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4.27 %</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4.25 %</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3.79 %</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240" w:type="dxa"/>
            <w:vAlign w:val="bottom"/>
          </w:tcPr>
          <w:p>
            <w:pPr>
              <w:spacing w:after="0"/>
              <w:rPr>
                <w:sz w:val="19"/>
                <w:szCs w:val="19"/>
                <w:color w:val="auto"/>
              </w:rPr>
            </w:pPr>
          </w:p>
        </w:tc>
        <w:tc>
          <w:tcPr>
            <w:tcW w:w="14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0 %</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0 %</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42" w:lineRule="exact"/>
        <w:rPr>
          <w:sz w:val="20"/>
          <w:szCs w:val="20"/>
          <w:color w:val="auto"/>
        </w:rPr>
      </w:pPr>
    </w:p>
    <w:p>
      <w:pPr>
        <w:jc w:val="both"/>
        <w:ind w:right="80" w:firstLine="318"/>
        <w:spacing w:after="0" w:line="258" w:lineRule="auto"/>
        <w:rPr>
          <w:sz w:val="20"/>
          <w:szCs w:val="20"/>
          <w:color w:val="auto"/>
        </w:rPr>
      </w:pPr>
      <w:r>
        <w:rPr>
          <w:rFonts w:ascii="Times New Roman" w:cs="Times New Roman" w:eastAsia="Times New Roman" w:hAnsi="Times New Roman"/>
          <w:sz w:val="18"/>
          <w:szCs w:val="18"/>
          <w:color w:val="auto"/>
        </w:rPr>
        <w:t>The November 2024 RDO Warrants were immediately exercisable. November 2024 RDO Warrants to purchase 1,404,494 shares of Common Stock have an exercise price of $5.34 per share, and will expire 180 days from the date of issuance. The remaining November 2024 RDO Warrants to purchase 1,404,494 shares of Common Stock have an exercise price of $5.34 per share, and will expire 1,640 days from the date of issuance.</w:t>
      </w:r>
    </w:p>
    <w:p>
      <w:pPr>
        <w:spacing w:after="0" w:line="179" w:lineRule="exact"/>
        <w:rPr>
          <w:sz w:val="20"/>
          <w:szCs w:val="20"/>
          <w:color w:val="auto"/>
        </w:rPr>
      </w:pPr>
    </w:p>
    <w:p>
      <w:pPr>
        <w:jc w:val="both"/>
        <w:ind w:right="160" w:firstLine="318"/>
        <w:spacing w:after="0" w:line="273" w:lineRule="auto"/>
        <w:rPr>
          <w:sz w:val="20"/>
          <w:szCs w:val="20"/>
          <w:color w:val="auto"/>
        </w:rPr>
      </w:pPr>
      <w:r>
        <w:rPr>
          <w:rFonts w:ascii="Times New Roman" w:cs="Times New Roman" w:eastAsia="Times New Roman" w:hAnsi="Times New Roman"/>
          <w:sz w:val="17"/>
          <w:szCs w:val="17"/>
          <w:color w:val="auto"/>
        </w:rPr>
        <w:t xml:space="preserve">The November 2024 RDO Warrants were initially recognized as a liability on the issuance date at a fair value of </w:t>
      </w:r>
      <w:r>
        <w:rPr>
          <w:rFonts w:ascii="Times New Roman" w:cs="Times New Roman" w:eastAsia="Times New Roman" w:hAnsi="Times New Roman"/>
          <w:sz w:val="17"/>
          <w:szCs w:val="17"/>
          <w:color w:val="231F20"/>
        </w:rPr>
        <w:t>$6.1 million. The remeasurement of the</w:t>
      </w:r>
      <w:r>
        <w:rPr>
          <w:rFonts w:ascii="Times New Roman" w:cs="Times New Roman" w:eastAsia="Times New Roman" w:hAnsi="Times New Roman"/>
          <w:sz w:val="17"/>
          <w:szCs w:val="17"/>
          <w:color w:val="auto"/>
        </w:rPr>
        <w:t xml:space="preserve"> November 2024 RDO Warrants liability </w:t>
      </w:r>
      <w:r>
        <w:rPr>
          <w:rFonts w:ascii="Times New Roman" w:cs="Times New Roman" w:eastAsia="Times New Roman" w:hAnsi="Times New Roman"/>
          <w:sz w:val="17"/>
          <w:szCs w:val="17"/>
          <w:color w:val="231F20"/>
        </w:rPr>
        <w:t>to a fair value of $6.4 million</w:t>
      </w:r>
      <w:r>
        <w:rPr>
          <w:rFonts w:ascii="Times New Roman" w:cs="Times New Roman" w:eastAsia="Times New Roman" w:hAnsi="Times New Roman"/>
          <w:sz w:val="17"/>
          <w:szCs w:val="17"/>
          <w:color w:val="auto"/>
        </w:rPr>
        <w:t xml:space="preserve"> as of </w:t>
      </w:r>
      <w:r>
        <w:rPr>
          <w:rFonts w:ascii="Times New Roman" w:cs="Times New Roman" w:eastAsia="Times New Roman" w:hAnsi="Times New Roman"/>
          <w:sz w:val="17"/>
          <w:szCs w:val="17"/>
          <w:color w:val="231F20"/>
        </w:rPr>
        <w:t>December 31, 2024</w:t>
      </w:r>
      <w:r>
        <w:rPr>
          <w:rFonts w:ascii="Times New Roman" w:cs="Times New Roman" w:eastAsia="Times New Roman" w:hAnsi="Times New Roman"/>
          <w:sz w:val="17"/>
          <w:szCs w:val="17"/>
          <w:color w:val="auto"/>
        </w:rPr>
        <w:t xml:space="preserve"> resulted in a non-cash loss of </w:t>
      </w:r>
      <w:r>
        <w:rPr>
          <w:rFonts w:ascii="Times New Roman" w:cs="Times New Roman" w:eastAsia="Times New Roman" w:hAnsi="Times New Roman"/>
          <w:sz w:val="17"/>
          <w:szCs w:val="17"/>
          <w:color w:val="231F20"/>
        </w:rPr>
        <w:t>$0.3 million</w:t>
      </w:r>
      <w:r>
        <w:rPr>
          <w:rFonts w:ascii="Times New Roman" w:cs="Times New Roman" w:eastAsia="Times New Roman" w:hAnsi="Times New Roman"/>
          <w:sz w:val="17"/>
          <w:szCs w:val="17"/>
          <w:color w:val="auto"/>
        </w:rPr>
        <w:t xml:space="preserve"> for the year ended </w:t>
      </w:r>
      <w:r>
        <w:rPr>
          <w:rFonts w:ascii="Times New Roman" w:cs="Times New Roman" w:eastAsia="Times New Roman" w:hAnsi="Times New Roman"/>
          <w:sz w:val="17"/>
          <w:szCs w:val="17"/>
          <w:color w:val="231F20"/>
        </w:rPr>
        <w:t xml:space="preserve">December 31, 2024, </w:t>
      </w:r>
      <w:r>
        <w:rPr>
          <w:rFonts w:ascii="Times New Roman" w:cs="Times New Roman" w:eastAsia="Times New Roman" w:hAnsi="Times New Roman"/>
          <w:sz w:val="17"/>
          <w:szCs w:val="17"/>
          <w:color w:val="000000"/>
        </w:rPr>
        <w:t>classified within Change in fair value of derivatives in the consolidated statements of operations and comprehensive loss.</w:t>
      </w:r>
      <w:r>
        <w:rPr>
          <w:rFonts w:ascii="Times New Roman" w:cs="Times New Roman" w:eastAsia="Times New Roman" w:hAnsi="Times New Roman"/>
          <w:sz w:val="17"/>
          <w:szCs w:val="17"/>
          <w:color w:val="231F20"/>
        </w:rPr>
        <w:t xml:space="preserve"> See </w:t>
      </w:r>
      <w:r>
        <w:rPr>
          <w:rFonts w:ascii="Times New Roman" w:cs="Times New Roman" w:eastAsia="Times New Roman" w:hAnsi="Times New Roman"/>
          <w:sz w:val="17"/>
          <w:szCs w:val="17"/>
          <w:color w:val="000000"/>
        </w:rPr>
        <w:t>Note 3 —</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Fair Value Measurements </w:t>
      </w:r>
      <w:r>
        <w:rPr>
          <w:rFonts w:ascii="Times New Roman" w:cs="Times New Roman" w:eastAsia="Times New Roman" w:hAnsi="Times New Roman"/>
          <w:sz w:val="17"/>
          <w:szCs w:val="17"/>
          <w:color w:val="231F20"/>
        </w:rPr>
        <w:t>for a summary of the change in the fair value of the November 2024 RDO Warrants during the year ended December 31, 2024.</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November 2024 RDO Warrants were valued using the following assumptions under the Black-Scholes valuation model:</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180 Day Warrants</w:t>
            </w:r>
          </w:p>
        </w:tc>
        <w:tc>
          <w:tcPr>
            <w:tcW w:w="240" w:type="dxa"/>
            <w:vAlign w:val="bottom"/>
          </w:tcPr>
          <w:p>
            <w:pPr>
              <w:spacing w:after="0"/>
              <w:rPr>
                <w:sz w:val="16"/>
                <w:szCs w:val="16"/>
                <w:color w:val="auto"/>
              </w:rPr>
            </w:pPr>
          </w:p>
        </w:tc>
        <w:tc>
          <w:tcPr>
            <w:tcW w:w="3040" w:type="dxa"/>
            <w:vAlign w:val="bottom"/>
            <w:gridSpan w:val="3"/>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1,640 Day Warrants</w:t>
            </w:r>
          </w:p>
        </w:tc>
      </w:tr>
      <w:tr>
        <w:trPr>
          <w:trHeight w:val="24"/>
        </w:trPr>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26"/>
        </w:trPr>
        <w:tc>
          <w:tcPr>
            <w:tcW w:w="4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right"/>
              <w:ind w:right="418"/>
              <w:spacing w:after="0" w:line="12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296"/>
              <w:spacing w:after="0" w:line="126" w:lineRule="exact"/>
              <w:rPr>
                <w:sz w:val="20"/>
                <w:szCs w:val="20"/>
                <w:color w:val="auto"/>
              </w:rPr>
            </w:pPr>
            <w:r>
              <w:rPr>
                <w:rFonts w:ascii="Times New Roman" w:cs="Times New Roman" w:eastAsia="Times New Roman" w:hAnsi="Times New Roman"/>
                <w:sz w:val="14"/>
                <w:szCs w:val="14"/>
                <w:b w:val="1"/>
                <w:bCs w:val="1"/>
                <w:color w:val="auto"/>
              </w:rPr>
              <w:t>November 15,</w:t>
            </w: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right"/>
              <w:ind w:right="358"/>
              <w:spacing w:after="0" w:line="12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296"/>
              <w:spacing w:after="0" w:line="126" w:lineRule="exact"/>
              <w:rPr>
                <w:sz w:val="20"/>
                <w:szCs w:val="20"/>
                <w:color w:val="auto"/>
              </w:rPr>
            </w:pPr>
            <w:r>
              <w:rPr>
                <w:rFonts w:ascii="Times New Roman" w:cs="Times New Roman" w:eastAsia="Times New Roman" w:hAnsi="Times New Roman"/>
                <w:sz w:val="14"/>
                <w:szCs w:val="14"/>
                <w:b w:val="1"/>
                <w:bCs w:val="1"/>
                <w:color w:val="auto"/>
              </w:rPr>
              <w:t>November 15,</w:t>
            </w:r>
          </w:p>
        </w:tc>
      </w:tr>
      <w:tr>
        <w:trPr>
          <w:trHeight w:val="192"/>
        </w:trPr>
        <w:tc>
          <w:tcPr>
            <w:tcW w:w="4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5.05</w:t>
            </w:r>
          </w:p>
        </w:tc>
        <w:tc>
          <w:tcPr>
            <w:tcW w:w="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4.84</w:t>
            </w: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5.34</w:t>
            </w: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5.34</w:t>
            </w: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0.37</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4.50</w:t>
            </w: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240" w:type="dxa"/>
            <w:vAlign w:val="bottom"/>
          </w:tcPr>
          <w:p>
            <w:pPr>
              <w:spacing w:after="0"/>
              <w:rPr>
                <w:sz w:val="19"/>
                <w:szCs w:val="19"/>
                <w:color w:val="auto"/>
              </w:rPr>
            </w:pPr>
          </w:p>
        </w:tc>
        <w:tc>
          <w:tcPr>
            <w:tcW w:w="14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106.7 %</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99.2 %</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86.6 %</w:t>
            </w: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4.22 %</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240" w:type="dxa"/>
            <w:vAlign w:val="bottom"/>
          </w:tcPr>
          <w:p>
            <w:pPr>
              <w:spacing w:after="0"/>
              <w:rPr>
                <w:sz w:val="19"/>
                <w:szCs w:val="19"/>
                <w:color w:val="auto"/>
              </w:rPr>
            </w:pPr>
          </w:p>
        </w:tc>
        <w:tc>
          <w:tcPr>
            <w:tcW w:w="14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0 %</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Contingent Earnout Liability</w:t>
      </w:r>
    </w:p>
    <w:p>
      <w:pPr>
        <w:spacing w:after="0" w:line="179" w:lineRule="exact"/>
        <w:rPr>
          <w:sz w:val="20"/>
          <w:szCs w:val="20"/>
          <w:color w:val="auto"/>
        </w:rPr>
      </w:pPr>
    </w:p>
    <w:p>
      <w:pPr>
        <w:ind w:right="260" w:firstLine="318"/>
        <w:spacing w:after="0" w:line="254" w:lineRule="auto"/>
        <w:rPr>
          <w:sz w:val="20"/>
          <w:szCs w:val="20"/>
          <w:color w:val="auto"/>
        </w:rPr>
      </w:pPr>
      <w:r>
        <w:rPr>
          <w:rFonts w:ascii="Times New Roman" w:cs="Times New Roman" w:eastAsia="Times New Roman" w:hAnsi="Times New Roman"/>
          <w:sz w:val="18"/>
          <w:szCs w:val="18"/>
          <w:color w:val="231F20"/>
        </w:rPr>
        <w:t>Following the Closing, former holders of Legacy Humacyte common and preferred shares are eligible to receive up to 15,000,000 Contingent Earnout Shares in the aggregate, in two equal tranches of 7,500,000 shares of Common Stock per tranche. The first and second tranches are issuable if the closing volume weighted average price (“VWAP”) per share of Common Stock quoted on Nasdaq (or the exchange on which the shares of Common Stock are then listed), is greater or equal to $15.00 and $20.00, respectively, over any 20 trading days within any 30 consecutive trading day period.</w:t>
      </w:r>
    </w:p>
    <w:p>
      <w:pPr>
        <w:spacing w:after="0" w:line="143" w:lineRule="exact"/>
        <w:rPr>
          <w:sz w:val="20"/>
          <w:szCs w:val="20"/>
          <w:color w:val="auto"/>
        </w:rPr>
      </w:pPr>
    </w:p>
    <w:p>
      <w:pPr>
        <w:ind w:right="100" w:firstLine="318"/>
        <w:spacing w:after="0" w:line="254" w:lineRule="auto"/>
        <w:rPr>
          <w:sz w:val="20"/>
          <w:szCs w:val="20"/>
          <w:color w:val="auto"/>
        </w:rPr>
      </w:pPr>
      <w:r>
        <w:rPr>
          <w:rFonts w:ascii="Times New Roman" w:cs="Times New Roman" w:eastAsia="Times New Roman" w:hAnsi="Times New Roman"/>
          <w:sz w:val="18"/>
          <w:szCs w:val="18"/>
          <w:color w:val="231F20"/>
        </w:rPr>
        <w:t>Upon the Closing, the contingent obligation to issue Contingent Earnout Shares was accounted for as a liability because the triggering events that determine the number of Contingent Earnout Shares required to be issued include events that are not solely indexed to the Common Stock. The estimated fair value of the total Contingent Earnout Shares at the Closing on August 26, 2021 was $159.4 million based on a Monte Carlo simulation valuation model using a distribution of potential outcomes on a monthly basis over a 10-year period using the most reliable information available.</w:t>
      </w:r>
    </w:p>
    <w:p>
      <w:pPr>
        <w:spacing w:after="0" w:line="200" w:lineRule="exact"/>
        <w:rPr>
          <w:sz w:val="20"/>
          <w:szCs w:val="20"/>
          <w:color w:val="auto"/>
        </w:rPr>
      </w:pPr>
    </w:p>
    <w:p>
      <w:pPr>
        <w:spacing w:after="0" w:line="3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716026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4" w:name="page145"/>
    <w:bookmarkEnd w:id="144"/>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231F20"/>
        </w:rPr>
        <w:t xml:space="preserve">See </w:t>
      </w:r>
      <w:r>
        <w:rPr>
          <w:rFonts w:ascii="Times New Roman" w:cs="Times New Roman" w:eastAsia="Times New Roman" w:hAnsi="Times New Roman"/>
          <w:sz w:val="18"/>
          <w:szCs w:val="18"/>
          <w:color w:val="000000"/>
        </w:rPr>
        <w:t>Note 3 — Fair Value Measurements</w:t>
      </w:r>
      <w:r>
        <w:rPr>
          <w:rFonts w:ascii="Times New Roman" w:cs="Times New Roman" w:eastAsia="Times New Roman" w:hAnsi="Times New Roman"/>
          <w:sz w:val="18"/>
          <w:szCs w:val="18"/>
          <w:color w:val="231F20"/>
        </w:rPr>
        <w:t xml:space="preserve"> for a summary of the change in the fair value of the Contingent Earnout Liability during the years ended December 31, 2024 and 2023. The remeasurement of the Contingent Earnout Liability to a fair value of $71.0 million at December 31, 2024 from a fair value of $37.9 million at December 31, 2023, resulted in a non-cash loss of $33.0 million for the year ended December 31, 2024, compared to a non-cash loss of $10.0 million for the year ended December 31, 2023 related to the remeasurement of the Contingent Earnout Liability. The remeasurement of the Contingent Earnout Liability is classified within Change in fair value of Contingent Earnout Liability in the consolidated statements of operations and comprehensive loss.</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Assumptions used in the valuations are described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1000" w:type="dxa"/>
            <w:vAlign w:val="bottom"/>
          </w:tcPr>
          <w:p>
            <w:pPr>
              <w:spacing w:after="0"/>
              <w:rPr>
                <w:sz w:val="16"/>
                <w:szCs w:val="16"/>
                <w:color w:val="auto"/>
              </w:rPr>
            </w:pPr>
          </w:p>
        </w:tc>
      </w:tr>
      <w:tr>
        <w:trPr>
          <w:trHeight w:val="24"/>
        </w:trPr>
        <w:tc>
          <w:tcPr>
            <w:tcW w:w="79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9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stock price</w:t>
            </w:r>
          </w:p>
        </w:tc>
        <w:tc>
          <w:tcPr>
            <w:tcW w:w="102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2.84</w:t>
            </w:r>
          </w:p>
        </w:tc>
      </w:tr>
      <w:tr>
        <w:trPr>
          <w:trHeight w:val="225"/>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86.7 %</w:t>
            </w: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25"/>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10. Stock-based Compensation</w:t>
      </w:r>
    </w:p>
    <w:p>
      <w:pPr>
        <w:spacing w:after="0" w:line="192"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231F20"/>
        </w:rPr>
        <w:t>At Closing, the 2021 Long-Term Incentive Plan, (the “2021 Plan”), and the 2021 Employee Stock Purchase Plan, (the “ESPP”), became effective. Under the 2021 Plan, the Company can grant non-statutory stock options, incentive stock options, stock appreciation rights, restricted stock, restricted stock units, unrestricted stock, performance awards and other forms of awards. Under the ESPP, when and if implemented, eligible employees will be permitted to purchase shares of Common Stock at the lower of 85% of the closing trading price per share of Common Stock on the first day of the offering or 85% of the closing trading price per share on the exercise date, which will occur on the last day of each offering.</w:t>
      </w:r>
    </w:p>
    <w:p>
      <w:pPr>
        <w:spacing w:after="0" w:line="148"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231F20"/>
        </w:rPr>
        <w:t xml:space="preserve">The 2021 Plan and ESPP provide that on January 1 of each year, the 2021 Plan and the ESPP reserve will automatically increase in an amount equal to the lesser of (a) 5% and 1%, respectively, of the number of shares of Common Stock outstanding on December 31 of the preceding year and (b) a number of shares of Common Stock determined by the Company’s board of directors. </w:t>
      </w:r>
      <w:r>
        <w:rPr>
          <w:rFonts w:ascii="Times New Roman" w:cs="Times New Roman" w:eastAsia="Times New Roman" w:hAnsi="Times New Roman"/>
          <w:sz w:val="18"/>
          <w:szCs w:val="18"/>
          <w:color w:val="000000"/>
        </w:rPr>
        <w:t>The Company’s board of directors determined that there would be no automatic</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increase in the number of shares reserved under the 2021 Plan on January 1, 2023. The 2021 Plan share reserve automatically increased on January 1, 2024 by 5,183,686 shares, which was equivalent to 5% of the number of shares of Common Stock outstanding on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000000"/>
        </w:rPr>
        <w:t xml:space="preserve">. The 2021 Plan share reserve automatically increased on January 1, 2025 by 6,501,375 shares, which was equivalent to 5% of the number of shares of Common Stock outstanding on </w:t>
      </w:r>
      <w:r>
        <w:rPr>
          <w:rFonts w:ascii="Times New Roman" w:cs="Times New Roman" w:eastAsia="Times New Roman" w:hAnsi="Times New Roman"/>
          <w:sz w:val="18"/>
          <w:szCs w:val="18"/>
          <w:color w:val="231F20"/>
        </w:rPr>
        <w:t xml:space="preserve">December 31, 2024. </w:t>
      </w:r>
      <w:r>
        <w:rPr>
          <w:rFonts w:ascii="Times New Roman" w:cs="Times New Roman" w:eastAsia="Times New Roman" w:hAnsi="Times New Roman"/>
          <w:sz w:val="18"/>
          <w:szCs w:val="18"/>
          <w:color w:val="000000"/>
        </w:rPr>
        <w:t>Since the inception of the ESPP, the</w:t>
      </w:r>
      <w:r>
        <w:rPr>
          <w:rFonts w:ascii="Times New Roman" w:cs="Times New Roman" w:eastAsia="Times New Roman" w:hAnsi="Times New Roman"/>
          <w:sz w:val="18"/>
          <w:szCs w:val="18"/>
          <w:color w:val="231F20"/>
        </w:rPr>
        <w:t xml:space="preserve"> Company’s board of directors has determined that there would be no automatic increase in the number of shares reserved under the ESPP. As of December 31, 2024, 5,817,353 and 1,030,033 shares of Common Stock were available under the 2021 Plan and ESPP, respectively.</w:t>
      </w:r>
    </w:p>
    <w:p>
      <w:pPr>
        <w:spacing w:after="0" w:line="153" w:lineRule="exact"/>
        <w:rPr>
          <w:sz w:val="20"/>
          <w:szCs w:val="20"/>
          <w:color w:val="auto"/>
        </w:rPr>
      </w:pPr>
    </w:p>
    <w:p>
      <w:pPr>
        <w:ind w:right="140" w:firstLine="318"/>
        <w:spacing w:after="0" w:line="249" w:lineRule="auto"/>
        <w:rPr>
          <w:sz w:val="20"/>
          <w:szCs w:val="20"/>
          <w:color w:val="auto"/>
        </w:rPr>
      </w:pPr>
      <w:r>
        <w:rPr>
          <w:rFonts w:ascii="Times New Roman" w:cs="Times New Roman" w:eastAsia="Times New Roman" w:hAnsi="Times New Roman"/>
          <w:sz w:val="18"/>
          <w:szCs w:val="18"/>
          <w:color w:val="231F20"/>
        </w:rPr>
        <w:t>Prior to the Closing, Legacy Humacyte had two equity incentive plans, the 2015 Omnibus Incentive Plan, as amended, (the “2015 Plan”), and the 2005 Stock Option Plan (the “2005 Plan”). As a result of the Merger, after the Closing no further awards were granted under either the 2015 Plan or the 2005 Plan. All awards previously granted and outstanding as of the effective date of the Merger were adjusted to reflect the impact of the Merger as set forth in the Merger Agreement, but otherwise retained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December 31, 2024, 8,578,363, 3,694,124 and 1,652 shares of Common Stock remain reserved for outstanding options issued under the 2021 Plan, the 2015 Plan and the 2005 Plan, respectively. The Company has sufficient authorized and unissued shares to issue Common Stock in satisfaction of any outstanding awards and any awards available for grant under the 2021 Plan.</w:t>
      </w: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5" w:name="page146"/>
    <w:bookmarkEnd w:id="14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8"/>
          <w:szCs w:val="18"/>
          <w:color w:val="auto"/>
        </w:rPr>
        <w:t>The Company’s stock option plans allow for the grant of awards that the Company believes aid in aligning the interests of award recipients with those of its stockholders. The Company’s board of directors or compensation committee determines the specific terms of equity incentive grants, including the exercise price per share and vesting period for option awards. Option awards are granted with an exercise price equal to the fair market value of the Common Stock at the date of grant.</w:t>
      </w:r>
    </w:p>
    <w:p>
      <w:pPr>
        <w:spacing w:after="0" w:line="143"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w:t>
      </w:r>
    </w:p>
    <w:p>
      <w:pPr>
        <w:spacing w:after="0" w:line="148" w:lineRule="exact"/>
        <w:rPr>
          <w:sz w:val="20"/>
          <w:szCs w:val="20"/>
          <w:color w:val="auto"/>
        </w:rPr>
      </w:pPr>
    </w:p>
    <w:p>
      <w:pPr>
        <w:ind w:right="80" w:firstLine="318"/>
        <w:spacing w:after="0" w:line="254" w:lineRule="auto"/>
        <w:rPr>
          <w:sz w:val="20"/>
          <w:szCs w:val="20"/>
          <w:color w:val="auto"/>
        </w:rPr>
      </w:pPr>
      <w:r>
        <w:rPr>
          <w:rFonts w:ascii="Times New Roman" w:cs="Times New Roman" w:eastAsia="Times New Roman" w:hAnsi="Times New Roman"/>
          <w:sz w:val="18"/>
          <w:szCs w:val="18"/>
          <w:color w:val="231F20"/>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spacing w:after="0" w:line="156" w:lineRule="exact"/>
        <w:rPr>
          <w:sz w:val="20"/>
          <w:szCs w:val="20"/>
          <w:color w:val="auto"/>
        </w:rPr>
      </w:pPr>
    </w:p>
    <w:p>
      <w:pPr>
        <w:ind w:right="20" w:firstLine="318"/>
        <w:spacing w:after="0" w:line="254" w:lineRule="auto"/>
        <w:rPr>
          <w:sz w:val="20"/>
          <w:szCs w:val="20"/>
          <w:color w:val="auto"/>
        </w:rPr>
      </w:pPr>
      <w:r>
        <w:rPr>
          <w:rFonts w:ascii="Times New Roman" w:cs="Times New Roman" w:eastAsia="Times New Roman" w:hAnsi="Times New Roman"/>
          <w:sz w:val="18"/>
          <w:szCs w:val="18"/>
          <w:color w:val="231F20"/>
        </w:rPr>
        <w:t>Option awards under the Company’s option plans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spacing w:after="0" w:line="143" w:lineRule="exact"/>
        <w:rPr>
          <w:sz w:val="20"/>
          <w:szCs w:val="20"/>
          <w:color w:val="auto"/>
        </w:rPr>
      </w:pPr>
    </w:p>
    <w:p>
      <w:pPr>
        <w:ind w:right="480" w:firstLine="318"/>
        <w:spacing w:after="0" w:line="271" w:lineRule="auto"/>
        <w:rPr>
          <w:sz w:val="20"/>
          <w:szCs w:val="20"/>
          <w:color w:val="auto"/>
        </w:rPr>
      </w:pPr>
      <w:r>
        <w:rPr>
          <w:rFonts w:ascii="Times New Roman" w:cs="Times New Roman" w:eastAsia="Times New Roman" w:hAnsi="Times New Roman"/>
          <w:sz w:val="18"/>
          <w:szCs w:val="18"/>
          <w:color w:val="231F20"/>
        </w:rPr>
        <w:t>The Company estimated the fair value of the stock options on the date of grant using the following assumptions in the Black-Scholes option-pricing model:</w:t>
      </w:r>
    </w:p>
    <w:p>
      <w:pPr>
        <w:spacing w:after="0" w:line="162"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Borders>
              <w:bottom w:val="single" w:sz="8" w:color="CCEEFF"/>
            </w:tcBorders>
          </w:tcPr>
          <w:p>
            <w:pPr>
              <w:spacing w:after="0"/>
              <w:rPr>
                <w:sz w:val="17"/>
                <w:szCs w:val="17"/>
                <w:color w:val="auto"/>
              </w:rPr>
            </w:pPr>
          </w:p>
        </w:tc>
        <w:tc>
          <w:tcPr>
            <w:tcW w:w="2620" w:type="dxa"/>
            <w:vAlign w:val="bottom"/>
            <w:tcBorders>
              <w:top w:val="single" w:sz="8" w:color="auto"/>
              <w:bottom w:val="single" w:sz="8" w:color="auto"/>
            </w:tcBorders>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620" w:type="dxa"/>
            <w:vAlign w:val="bottom"/>
            <w:tcBorders>
              <w:top w:val="single" w:sz="8" w:color="auto"/>
              <w:bottom w:val="single" w:sz="8" w:color="auto"/>
            </w:tcBorders>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5"/>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 (weighted average and range, if applicable)</w:t>
            </w:r>
          </w:p>
        </w:tc>
        <w:tc>
          <w:tcPr>
            <w:tcW w:w="27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91.8% (90.8% to 92.8%)</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 (88.5% to 89.8%)</w:t>
            </w:r>
          </w:p>
        </w:tc>
      </w:tr>
      <w:tr>
        <w:trPr>
          <w:trHeight w:val="225"/>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(weighted average and range, if applicable)</w:t>
            </w:r>
          </w:p>
        </w:tc>
        <w:tc>
          <w:tcPr>
            <w:tcW w:w="27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4.12% (3.54% to 4.41%)</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(3.58% to 4.39%)</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of options (in years)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bl>
    <w:p>
      <w:pPr>
        <w:spacing w:after="0" w:line="240" w:lineRule="exact"/>
        <w:rPr>
          <w:sz w:val="20"/>
          <w:szCs w:val="20"/>
          <w:color w:val="auto"/>
        </w:rPr>
      </w:pPr>
    </w:p>
    <w:p>
      <w:pPr>
        <w:ind w:left="640" w:hanging="316"/>
        <w:spacing w:after="0"/>
        <w:tabs>
          <w:tab w:leader="none" w:pos="640"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Fair Value of Common Stock. </w:t>
      </w:r>
      <w:r>
        <w:rPr>
          <w:rFonts w:ascii="Times New Roman" w:cs="Times New Roman" w:eastAsia="Times New Roman" w:hAnsi="Times New Roman"/>
          <w:sz w:val="18"/>
          <w:szCs w:val="18"/>
          <w:color w:val="231F20"/>
        </w:rPr>
        <w:t>The fair value of the Common Stock has been determined based on the closing price of the shares on Nasdaq.</w:t>
      </w:r>
    </w:p>
    <w:p>
      <w:pPr>
        <w:spacing w:after="0" w:line="190" w:lineRule="exact"/>
        <w:rPr>
          <w:rFonts w:ascii="Times New Roman" w:cs="Times New Roman" w:eastAsia="Times New Roman" w:hAnsi="Times New Roman"/>
          <w:sz w:val="18"/>
          <w:szCs w:val="18"/>
          <w:color w:val="231F20"/>
        </w:rPr>
      </w:pPr>
    </w:p>
    <w:p>
      <w:pPr>
        <w:ind w:left="640" w:right="20" w:hanging="316"/>
        <w:spacing w:after="0" w:line="251" w:lineRule="auto"/>
        <w:tabs>
          <w:tab w:leader="none" w:pos="635"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Expected Term. </w:t>
      </w:r>
      <w:r>
        <w:rPr>
          <w:rFonts w:ascii="Times New Roman" w:cs="Times New Roman" w:eastAsia="Times New Roman" w:hAnsi="Times New Roman"/>
          <w:sz w:val="18"/>
          <w:szCs w:val="18"/>
          <w:color w:val="231F20"/>
        </w:rPr>
        <w:t>The expected term represents the period that stock options are expected to be outstanding. The Company calculated the expected term</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43" w:lineRule="exact"/>
        <w:rPr>
          <w:rFonts w:ascii="Times New Roman" w:cs="Times New Roman" w:eastAsia="Times New Roman" w:hAnsi="Times New Roman"/>
          <w:sz w:val="18"/>
          <w:szCs w:val="18"/>
          <w:color w:val="231F20"/>
        </w:rPr>
      </w:pPr>
    </w:p>
    <w:p>
      <w:pPr>
        <w:ind w:left="640" w:right="260" w:hanging="316"/>
        <w:spacing w:after="0" w:line="254" w:lineRule="auto"/>
        <w:tabs>
          <w:tab w:leader="none" w:pos="635"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Expected Volatility. </w:t>
      </w:r>
      <w:r>
        <w:rPr>
          <w:rFonts w:ascii="Times New Roman" w:cs="Times New Roman" w:eastAsia="Times New Roman" w:hAnsi="Times New Roman"/>
          <w:sz w:val="18"/>
          <w:szCs w:val="18"/>
          <w:color w:val="231F20"/>
        </w:rPr>
        <w:t>The expected volatility was determined based on a blended approach using the historical share volatility of the Common Stock</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and that of several publicly traded peer companies over a period of time equal to the expected term of the options, as the Company has a limited trading history. For purposes of identifying these peer companies, the Company considered the industry, stage of development, size and financial leverage of potential comparable companies.</w:t>
      </w:r>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6" w:name="page147"/>
    <w:bookmarkEnd w:id="14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40" w:right="80" w:hanging="316"/>
        <w:spacing w:after="0" w:line="273" w:lineRule="auto"/>
        <w:tabs>
          <w:tab w:leader="none" w:pos="635"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Risk-Free Interest Rate. </w:t>
      </w:r>
      <w:r>
        <w:rPr>
          <w:rFonts w:ascii="Times New Roman" w:cs="Times New Roman" w:eastAsia="Times New Roman" w:hAnsi="Times New Roman"/>
          <w:sz w:val="18"/>
          <w:szCs w:val="18"/>
          <w:color w:val="231F20"/>
        </w:rPr>
        <w:t>The risk-free interest rate was based on the yields of U.S. Treasury zero-coupon securities with maturities similar in duration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to the expected term of the options.</w:t>
      </w:r>
    </w:p>
    <w:p>
      <w:pPr>
        <w:spacing w:after="0" w:line="124" w:lineRule="exact"/>
        <w:rPr>
          <w:rFonts w:ascii="Times New Roman" w:cs="Times New Roman" w:eastAsia="Times New Roman" w:hAnsi="Times New Roman"/>
          <w:sz w:val="18"/>
          <w:szCs w:val="18"/>
          <w:color w:val="231F20"/>
        </w:rPr>
      </w:pPr>
    </w:p>
    <w:p>
      <w:pPr>
        <w:ind w:left="640" w:right="280" w:hanging="316"/>
        <w:spacing w:after="0" w:line="273" w:lineRule="auto"/>
        <w:tabs>
          <w:tab w:leader="none" w:pos="635"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Expected Dividend Yield. </w:t>
      </w:r>
      <w:r>
        <w:rPr>
          <w:rFonts w:ascii="Times New Roman" w:cs="Times New Roman" w:eastAsia="Times New Roman" w:hAnsi="Times New Roman"/>
          <w:sz w:val="18"/>
          <w:szCs w:val="18"/>
          <w:color w:val="231F20"/>
        </w:rPr>
        <w:t>The Company has not paid dividends on its Common Stock nor does it expect to pay dividends in the foreseeable future.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Accordingly, the Company has estimated the dividend yield to be zero.</w:t>
      </w:r>
    </w:p>
    <w:p>
      <w:pPr>
        <w:spacing w:after="0" w:line="127"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231F20"/>
        </w:rPr>
        <w:t>The following table shows a summary of stock-based compensation expense included in the consolidated statements of operations and comprehensive loss for the years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80" w:type="dxa"/>
            <w:vAlign w:val="bottom"/>
            <w:gridSpan w:val="6"/>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gridSpan w:val="2"/>
          </w:tcPr>
          <w:p>
            <w:pPr>
              <w:spacing w:after="0" w:line="20" w:lineRule="exact"/>
              <w:rPr>
                <w:sz w:val="1"/>
                <w:szCs w:val="1"/>
                <w:color w:val="auto"/>
              </w:rPr>
            </w:pPr>
          </w:p>
        </w:tc>
        <w:tc>
          <w:tcPr>
            <w:tcW w:w="1580" w:type="dxa"/>
            <w:vAlign w:val="bottom"/>
            <w:tcBorders>
              <w:top w:val="single" w:sz="8" w:color="CCEEFF"/>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9700" w:type="dxa"/>
            <w:vAlign w:val="bottom"/>
            <w:gridSpan w:val="12"/>
          </w:tcPr>
          <w:p>
            <w:pPr>
              <w:ind w:left="320"/>
              <w:spacing w:after="0"/>
              <w:rPr>
                <w:sz w:val="20"/>
                <w:szCs w:val="20"/>
                <w:color w:val="auto"/>
              </w:rPr>
            </w:pPr>
            <w:r>
              <w:rPr>
                <w:rFonts w:ascii="Times New Roman" w:cs="Times New Roman" w:eastAsia="Times New Roman" w:hAnsi="Times New Roman"/>
                <w:sz w:val="18"/>
                <w:szCs w:val="18"/>
                <w:color w:val="231F20"/>
                <w:w w:val="97"/>
              </w:rPr>
              <w:t>A summary of option activity under the Company’s stock option plans during the year ended December 31, 2024 is presented below:</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5"/>
            <w:vMerge w:val="restart"/>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49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1340" w:type="dxa"/>
            <w:vAlign w:val="bottom"/>
            <w:gridSpan w:val="3"/>
            <w:vMerge w:val="restart"/>
          </w:tcPr>
          <w:p>
            <w:pPr>
              <w:jc w:val="center"/>
              <w:ind w:right="320"/>
              <w:spacing w:after="0" w:line="17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9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60" w:type="dxa"/>
            <w:vAlign w:val="bottom"/>
            <w:gridSpan w:val="5"/>
            <w:vMerge w:val="restart"/>
          </w:tcPr>
          <w:p>
            <w:pPr>
              <w:jc w:val="center"/>
              <w:ind w:right="472"/>
              <w:spacing w:after="0" w:line="199"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13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49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gridSpan w:val="5"/>
            <w:vMerge w:val="continue"/>
          </w:tcPr>
          <w:p>
            <w:pPr>
              <w:spacing w:after="0"/>
              <w:rPr>
                <w:sz w:val="9"/>
                <w:szCs w:val="9"/>
                <w:color w:val="auto"/>
              </w:rPr>
            </w:pPr>
          </w:p>
        </w:tc>
        <w:tc>
          <w:tcPr>
            <w:tcW w:w="1340" w:type="dxa"/>
            <w:vAlign w:val="bottom"/>
            <w:gridSpan w:val="3"/>
            <w:vMerge w:val="restart"/>
          </w:tcPr>
          <w:p>
            <w:pPr>
              <w:jc w:val="center"/>
              <w:ind w:right="320"/>
              <w:spacing w:after="0" w:line="185"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vMerge w:val="restart"/>
          </w:tcPr>
          <w:p>
            <w:pPr>
              <w:jc w:val="center"/>
              <w:ind w:right="113"/>
              <w:spacing w:after="0" w:line="185"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73"/>
        </w:trPr>
        <w:tc>
          <w:tcPr>
            <w:tcW w:w="49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60" w:type="dxa"/>
            <w:vAlign w:val="bottom"/>
            <w:gridSpan w:val="5"/>
            <w:vMerge w:val="restart"/>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4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1340" w:type="dxa"/>
            <w:vAlign w:val="bottom"/>
            <w:gridSpan w:val="3"/>
            <w:vMerge w:val="restart"/>
          </w:tcPr>
          <w:p>
            <w:pPr>
              <w:jc w:val="center"/>
              <w:ind w:right="320"/>
              <w:spacing w:after="0" w:line="172" w:lineRule="exact"/>
              <w:rPr>
                <w:sz w:val="20"/>
                <w:szCs w:val="20"/>
                <w:color w:val="auto"/>
              </w:rPr>
            </w:pPr>
            <w:r>
              <w:rPr>
                <w:rFonts w:ascii="Times New Roman" w:cs="Times New Roman" w:eastAsia="Times New Roman" w:hAnsi="Times New Roman"/>
                <w:sz w:val="18"/>
                <w:szCs w:val="18"/>
                <w:b w:val="1"/>
                <w:bCs w:val="1"/>
                <w:color w:val="auto"/>
                <w:w w:val="96"/>
              </w:rPr>
              <w:t>Contractual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center"/>
              <w:ind w:right="93"/>
              <w:spacing w:after="0" w:line="172" w:lineRule="exact"/>
              <w:rPr>
                <w:sz w:val="20"/>
                <w:szCs w:val="20"/>
                <w:color w:val="auto"/>
              </w:rPr>
            </w:pPr>
            <w:r>
              <w:rPr>
                <w:rFonts w:ascii="Times New Roman" w:cs="Times New Roman" w:eastAsia="Times New Roman" w:hAnsi="Times New Roman"/>
                <w:sz w:val="18"/>
                <w:szCs w:val="18"/>
                <w:b w:val="1"/>
                <w:bCs w:val="1"/>
                <w:color w:val="auto"/>
                <w:w w:val="96"/>
              </w:rPr>
              <w:t>Intrinsic</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5"/>
            <w:vMerge w:val="restart"/>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4980" w:type="dxa"/>
            <w:vAlign w:val="bottom"/>
          </w:tcPr>
          <w:p>
            <w:pPr>
              <w:spacing w:after="0"/>
              <w:rPr>
                <w:sz w:val="16"/>
                <w:szCs w:val="16"/>
                <w:color w:val="auto"/>
              </w:rPr>
            </w:pPr>
          </w:p>
        </w:tc>
        <w:tc>
          <w:tcPr>
            <w:tcW w:w="1580" w:type="dxa"/>
            <w:vAlign w:val="bottom"/>
            <w:gridSpan w:val="2"/>
          </w:tcPr>
          <w:p>
            <w:pPr>
              <w:jc w:val="center"/>
              <w:ind w:right="80"/>
              <w:spacing w:after="0" w:line="185"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240" w:type="dxa"/>
            <w:vAlign w:val="bottom"/>
          </w:tcPr>
          <w:p>
            <w:pPr>
              <w:spacing w:after="0"/>
              <w:rPr>
                <w:sz w:val="16"/>
                <w:szCs w:val="16"/>
                <w:color w:val="auto"/>
              </w:rPr>
            </w:pPr>
          </w:p>
        </w:tc>
        <w:tc>
          <w:tcPr>
            <w:tcW w:w="1560" w:type="dxa"/>
            <w:vAlign w:val="bottom"/>
            <w:gridSpan w:val="5"/>
            <w:vMerge w:val="continue"/>
          </w:tcPr>
          <w:p>
            <w:pPr>
              <w:spacing w:after="0"/>
              <w:rPr>
                <w:sz w:val="16"/>
                <w:szCs w:val="16"/>
                <w:color w:val="auto"/>
              </w:rPr>
            </w:pPr>
          </w:p>
        </w:tc>
        <w:tc>
          <w:tcPr>
            <w:tcW w:w="1340" w:type="dxa"/>
            <w:vAlign w:val="bottom"/>
            <w:gridSpan w:val="3"/>
          </w:tcPr>
          <w:p>
            <w:pPr>
              <w:jc w:val="center"/>
              <w:ind w:right="300"/>
              <w:spacing w:after="0" w:line="185"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113"/>
              <w:spacing w:after="0" w:line="185"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5"/>
        </w:trPr>
        <w:tc>
          <w:tcPr>
            <w:tcW w:w="498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40" w:type="dxa"/>
            <w:vAlign w:val="bottom"/>
          </w:tcPr>
          <w:p>
            <w:pPr>
              <w:spacing w:after="0"/>
              <w:rPr>
                <w:sz w:val="19"/>
                <w:szCs w:val="19"/>
                <w:color w:val="auto"/>
              </w:rPr>
            </w:pPr>
          </w:p>
        </w:tc>
        <w:tc>
          <w:tcPr>
            <w:tcW w:w="1560" w:type="dxa"/>
            <w:vAlign w:val="bottom"/>
            <w:gridSpan w:val="5"/>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93"/>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18"/>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11,919,421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5"/>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1,640,900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12,274,139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December 31, 2024</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gridSpan w:val="2"/>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80" w:type="dxa"/>
            <w:vAlign w:val="bottom"/>
            <w:vMerge w:val="continue"/>
          </w:tcPr>
          <w:p>
            <w:pPr>
              <w:spacing w:after="0"/>
              <w:rPr>
                <w:sz w:val="17"/>
                <w:szCs w:val="17"/>
                <w:color w:val="auto"/>
              </w:rPr>
            </w:pPr>
          </w:p>
        </w:tc>
        <w:tc>
          <w:tcPr>
            <w:tcW w:w="14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5,734,589</w:t>
            </w:r>
          </w:p>
        </w:tc>
        <w:tc>
          <w:tcPr>
            <w:tcW w:w="100" w:type="dxa"/>
            <w:vAlign w:val="bottom"/>
          </w:tcPr>
          <w:p>
            <w:pPr>
              <w:spacing w:after="0"/>
              <w:rPr>
                <w:sz w:val="17"/>
                <w:szCs w:val="17"/>
                <w:color w:val="auto"/>
              </w:rPr>
            </w:pPr>
          </w:p>
        </w:tc>
        <w:tc>
          <w:tcPr>
            <w:tcW w:w="240" w:type="dxa"/>
            <w:vAlign w:val="bottom"/>
          </w:tcPr>
          <w:p>
            <w:pPr>
              <w:jc w:val="right"/>
              <w:ind w:right="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6.26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5,614</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right="280" w:firstLine="318"/>
        <w:spacing w:after="0" w:line="254" w:lineRule="auto"/>
        <w:rPr>
          <w:sz w:val="20"/>
          <w:szCs w:val="20"/>
          <w:color w:val="auto"/>
        </w:rPr>
      </w:pPr>
      <w:r>
        <w:rPr>
          <w:rFonts w:ascii="Times New Roman" w:cs="Times New Roman" w:eastAsia="Times New Roman" w:hAnsi="Times New Roman"/>
          <w:sz w:val="18"/>
          <w:szCs w:val="18"/>
          <w:color w:val="231F20"/>
        </w:rPr>
        <w:t xml:space="preserve">The weighted-average grant-date fair value per share of options granted during the years ended December 31, 2024 and 2023 was $4.82 and $2.20, respectively. The total intrinsic value of options exercised during the years ended December 31, 2024 and 2023 was $2.0 million and $0.8 million, respectively. </w:t>
      </w:r>
      <w:r>
        <w:rPr>
          <w:rFonts w:ascii="Times New Roman" w:cs="Times New Roman" w:eastAsia="Times New Roman" w:hAnsi="Times New Roman"/>
          <w:sz w:val="18"/>
          <w:szCs w:val="18"/>
          <w:color w:val="000000"/>
        </w:rPr>
        <w:t>As of</w:t>
      </w:r>
      <w:r>
        <w:rPr>
          <w:rFonts w:ascii="Times New Roman" w:cs="Times New Roman" w:eastAsia="Times New Roman" w:hAnsi="Times New Roman"/>
          <w:sz w:val="18"/>
          <w:szCs w:val="18"/>
          <w:color w:val="231F20"/>
        </w:rPr>
        <w:t xml:space="preserve"> December 31, 2024, unrecognized stock-based compensation cost for options was $18.1 million and is expected to be recognized over a weighted-average period of 2.7 years.</w:t>
      </w: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7" w:name="page148"/>
    <w:bookmarkEnd w:id="14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11. Income Taxes</w:t>
      </w:r>
    </w:p>
    <w:p>
      <w:pPr>
        <w:spacing w:after="0" w:line="179" w:lineRule="exact"/>
        <w:rPr>
          <w:sz w:val="20"/>
          <w:szCs w:val="20"/>
          <w:color w:val="auto"/>
        </w:rPr>
      </w:pPr>
    </w:p>
    <w:p>
      <w:pPr>
        <w:ind w:right="180" w:firstLine="318"/>
        <w:spacing w:after="0" w:line="258" w:lineRule="auto"/>
        <w:rPr>
          <w:sz w:val="20"/>
          <w:szCs w:val="20"/>
          <w:color w:val="auto"/>
        </w:rPr>
      </w:pPr>
      <w:r>
        <w:rPr>
          <w:rFonts w:ascii="Times New Roman" w:cs="Times New Roman" w:eastAsia="Times New Roman" w:hAnsi="Times New Roman"/>
          <w:sz w:val="18"/>
          <w:szCs w:val="18"/>
          <w:color w:val="231F20"/>
        </w:rPr>
        <w:t>The Company did not record any income tax expense or benefit during the years ended December 31, 2024 and 2023. The Company has a net operating loss and has provided a valuation allowance against net deferred tax assets due to uncertainties regarding the Company’s ability to realize these assets. The majority of losses before income taxes arose in the U.S.</w:t>
      </w:r>
    </w:p>
    <w:p>
      <w:pPr>
        <w:spacing w:after="0" w:line="140" w:lineRule="exact"/>
        <w:rPr>
          <w:sz w:val="20"/>
          <w:szCs w:val="20"/>
          <w:color w:val="auto"/>
        </w:rPr>
      </w:pPr>
    </w:p>
    <w:p>
      <w:pPr>
        <w:jc w:val="both"/>
        <w:ind w:right="240" w:firstLine="318"/>
        <w:spacing w:after="0" w:line="258" w:lineRule="auto"/>
        <w:rPr>
          <w:sz w:val="20"/>
          <w:szCs w:val="20"/>
          <w:color w:val="auto"/>
        </w:rPr>
      </w:pPr>
      <w:r>
        <w:rPr>
          <w:rFonts w:ascii="Times New Roman" w:cs="Times New Roman" w:eastAsia="Times New Roman" w:hAnsi="Times New Roman"/>
          <w:sz w:val="18"/>
          <w:szCs w:val="18"/>
          <w:color w:val="231F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deferred tax liabilities, including valuation allowances,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1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5"/>
        </w:trPr>
        <w:tc>
          <w:tcPr>
            <w:tcW w:w="8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operating loss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97,880</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80,785</w:t>
            </w:r>
          </w:p>
        </w:tc>
        <w:tc>
          <w:tcPr>
            <w:tcW w:w="0" w:type="dxa"/>
            <w:vAlign w:val="bottom"/>
          </w:tcPr>
          <w:p>
            <w:pPr>
              <w:spacing w:after="0"/>
              <w:rPr>
                <w:sz w:val="1"/>
                <w:szCs w:val="1"/>
                <w:color w:val="auto"/>
              </w:rPr>
            </w:pPr>
          </w:p>
        </w:tc>
      </w:tr>
      <w:tr>
        <w:trPr>
          <w:trHeight w:val="225"/>
        </w:trPr>
        <w:tc>
          <w:tcPr>
            <w:tcW w:w="8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50,968</w:t>
            </w:r>
          </w:p>
        </w:tc>
        <w:tc>
          <w:tcPr>
            <w:tcW w:w="0" w:type="dxa"/>
            <w:vAlign w:val="bottom"/>
          </w:tcPr>
          <w:p>
            <w:pPr>
              <w:spacing w:after="0"/>
              <w:rPr>
                <w:sz w:val="1"/>
                <w:szCs w:val="1"/>
                <w:color w:val="auto"/>
              </w:rPr>
            </w:pPr>
          </w:p>
        </w:tc>
      </w:tr>
      <w:tr>
        <w:trPr>
          <w:trHeight w:val="225"/>
        </w:trPr>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credits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20,099</w:t>
            </w:r>
          </w:p>
        </w:tc>
        <w:tc>
          <w:tcPr>
            <w:tcW w:w="0" w:type="dxa"/>
            <w:vAlign w:val="bottom"/>
          </w:tcPr>
          <w:p>
            <w:pPr>
              <w:spacing w:after="0"/>
              <w:rPr>
                <w:sz w:val="1"/>
                <w:szCs w:val="1"/>
                <w:color w:val="auto"/>
              </w:rPr>
            </w:pPr>
          </w:p>
        </w:tc>
      </w:tr>
      <w:tr>
        <w:trPr>
          <w:trHeight w:val="225"/>
        </w:trPr>
        <w:tc>
          <w:tcPr>
            <w:tcW w:w="8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25"/>
        </w:trPr>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Right of use lease liability</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5"/>
        </w:trPr>
        <w:tc>
          <w:tcPr>
            <w:tcW w:w="8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184,030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153,195</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(182,867)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(151,677)</w:t>
            </w:r>
          </w:p>
        </w:tc>
        <w:tc>
          <w:tcPr>
            <w:tcW w:w="0" w:type="dxa"/>
            <w:vAlign w:val="bottom"/>
          </w:tcPr>
          <w:p>
            <w:pPr>
              <w:spacing w:after="0"/>
              <w:rPr>
                <w:sz w:val="1"/>
                <w:szCs w:val="1"/>
                <w:color w:val="auto"/>
              </w:rPr>
            </w:pPr>
          </w:p>
        </w:tc>
      </w:tr>
      <w:tr>
        <w:trPr>
          <w:trHeight w:val="218"/>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45"/>
        </w:trPr>
        <w:tc>
          <w:tcPr>
            <w:tcW w:w="8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Basis difference in fixed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25"/>
        </w:trPr>
        <w:tc>
          <w:tcPr>
            <w:tcW w:w="8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 of use lease assets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asset/(liability)</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231F20"/>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lack of taxable income and the accumulated deficit, the Company provided a full valuation allowance against the deferred tax assets resulting from the tax loss and credits carried forward as of December 31, 2024 and December 31, 2023.</w:t>
      </w:r>
    </w:p>
    <w:p>
      <w:pPr>
        <w:spacing w:after="0" w:line="148"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7"/>
          <w:szCs w:val="17"/>
          <w:color w:val="231F20"/>
        </w:rPr>
        <w:t>On November 18, 2021, North Carolina enacted the 2021 Appropriations Act, which included a gradual corporate income tax rate decrease from the current 2.5% to 0% by 2030. The Company is in a cumulative loss position and does not have significant deferred tax liabilities that can be utilized as a source of taxable income in the future. Therefore, the Company has reduced its North Carolina deferred tax assets, including the net operating losses, to zero, as no benefit is expected to be realized from these deferred tax assets prior to 2030 when there would be no income tax in North Carolina. If the Company becomes profitable prior to 2030, the Company will recognize an income tax benefit related to the portion of its North Carolina deferred tax assets utilized.</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8" w:name="page149"/>
    <w:bookmarkEnd w:id="14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40" w:firstLine="318"/>
        <w:spacing w:after="0" w:line="271" w:lineRule="auto"/>
        <w:rPr>
          <w:sz w:val="20"/>
          <w:szCs w:val="20"/>
          <w:color w:val="auto"/>
        </w:rPr>
      </w:pPr>
      <w:r>
        <w:rPr>
          <w:rFonts w:ascii="Times New Roman" w:cs="Times New Roman" w:eastAsia="Times New Roman" w:hAnsi="Times New Roman"/>
          <w:sz w:val="18"/>
          <w:szCs w:val="18"/>
          <w:color w:val="231F20"/>
        </w:rPr>
        <w:t>The reasons for the difference between the actual income tax benefit for the years ended December 31, 2024 and 2023, and the amount computed by applying the statutory Federal income tax rate to losses before income taxes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4"/>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r>
      <w:tr>
        <w:trPr>
          <w:trHeight w:val="185"/>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338"/>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92"/>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6"/>
                <w:szCs w:val="16"/>
                <w:color w:val="auto"/>
              </w:rPr>
            </w:pPr>
          </w:p>
        </w:tc>
        <w:tc>
          <w:tcPr>
            <w:tcW w:w="1640" w:type="dxa"/>
            <w:vAlign w:val="bottom"/>
            <w:gridSpan w:val="3"/>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25"/>
        </w:trPr>
        <w:tc>
          <w:tcPr>
            <w:tcW w:w="48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benefit at statutory rate</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5"/>
        </w:trPr>
        <w:tc>
          <w:tcPr>
            <w:tcW w:w="4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5"/>
        </w:trPr>
        <w:tc>
          <w:tcPr>
            <w:tcW w:w="4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5"/>
        </w:trPr>
        <w:tc>
          <w:tcPr>
            <w:tcW w:w="4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4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rate changes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5"/>
        </w:trPr>
        <w:tc>
          <w:tcPr>
            <w:tcW w:w="4900" w:type="dxa"/>
            <w:vAlign w:val="bottom"/>
            <w:gridSpan w:val="2"/>
          </w:tcPr>
          <w:p>
            <w:pPr>
              <w:ind w:left="120"/>
              <w:spacing w:after="0" w:line="225" w:lineRule="exact"/>
              <w:rPr>
                <w:sz w:val="20"/>
                <w:szCs w:val="20"/>
                <w:color w:val="auto"/>
              </w:rPr>
            </w:pPr>
            <w:r>
              <w:rPr>
                <w:rFonts w:ascii="Times New Roman" w:cs="Times New Roman" w:eastAsia="Times New Roman" w:hAnsi="Times New Roman"/>
                <w:sz w:val="18"/>
                <w:szCs w:val="18"/>
                <w:color w:val="auto"/>
              </w:rPr>
              <w:t>Deferred tax true-up</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4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20,527</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8"/>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(1) The deferred tax true-up for 2024 and 2023 primarily relates to executive compensation subject to IRC Section 162(m) limitations</w:t>
      </w:r>
      <w:r>
        <w:rPr>
          <w:rFonts w:ascii="Times New Roman" w:cs="Times New Roman" w:eastAsia="Times New Roman" w:hAnsi="Times New Roman"/>
          <w:sz w:val="18"/>
          <w:szCs w:val="18"/>
          <w:color w:val="000000"/>
        </w:rPr>
        <w:t>.</w:t>
      </w:r>
    </w:p>
    <w:p>
      <w:pPr>
        <w:spacing w:after="0" w:line="157"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As of December 31, 2024 the Company had approximately $465.0 million and $471.7 million of gross Federal and state net operating losses, respectively. Of this amount, $303.8 million of Federal net operating losses are subject to an 80% limitation on taxable income, do not expire and will carry forward indefinitely, while the remaining amount begins to expire in 2025. Some of these state net operating losses included in these amounts follow the Federal Tax Cuts and Jobs Act and are carried over indefinitely. The Company’s state net operating losses began to expire in 2020 and will expire completely in 2044. The state operating loss carryforwards are inclusive of North Carolina net operating losses, which are recorded at a zero benefit.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As of December 31, 2024 and 2023, the Company had Federal and state research tax credit carryforwards of $27.3 million and $20.1 million, respectively.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These credit carryforwards will begin to expire in 2025 and will expire completely in 2044.</w:t>
      </w:r>
    </w:p>
    <w:p>
      <w:pPr>
        <w:spacing w:after="0" w:line="173"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231F20"/>
        </w:rPr>
        <w:t>Net operating loss carryforwards and tax credit carryforwards are subject to review and possible adjustment by the IRS, and may become subject to an annual limitation in the event of certain cumulative changes in the ownership interest of significant stockholders or groups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value immediately prior to the ownership change. Subsequent ownership changes may further affect the limitation in future years. The Company has not determined whether there have been any cumulative ownership changes or the impact on the utilization of the loss carryforwards if such changes have occurred. A section 382 study will be performed at a time when forthcoming profitability is reasonably anticipated.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12. Retirement Plan</w:t>
      </w:r>
    </w:p>
    <w:p>
      <w:pPr>
        <w:spacing w:after="0" w:line="179"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231F20"/>
        </w:rPr>
        <w:t>The Company currently maintains a defined contribution employee retirement plan, or 401(k) plan, for all employees upon their date of hire. The 401(k) plan is intended to qualify as tax-qualified plans under Section 401(k) of the Internal Revenue Code of 1986, as amended. The plan permits employees to contribute, on a pre-tax basis, a portion of their salary up to the Federally mandated limits. The Company matches an employee’s contribution up to 4% of the employee’s compensation. Contributions to the 401(k) plan by the Company totaled $1.1 million and $1.0 million for the years ended December 31, 2024 and 2023, respectively.</w:t>
      </w: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716026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9" w:name="page150"/>
    <w:bookmarkEnd w:id="14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460" w:firstLine="6"/>
        <w:spacing w:after="0" w:line="471" w:lineRule="auto"/>
        <w:tabs>
          <w:tab w:leader="none" w:pos="265" w:val="left"/>
        </w:tabs>
        <w:numPr>
          <w:ilvl w:val="0"/>
          <w:numId w:val="58"/>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Commitments and Contingencies </w:t>
      </w:r>
      <w:r>
        <w:rPr>
          <w:rFonts w:ascii="Times New Roman" w:cs="Times New Roman" w:eastAsia="Times New Roman" w:hAnsi="Times New Roman"/>
          <w:sz w:val="17"/>
          <w:szCs w:val="17"/>
          <w:b w:val="1"/>
          <w:bCs w:val="1"/>
          <w:color w:val="000000"/>
        </w:rPr>
        <w:t>Patent License Agreements</w:t>
      </w:r>
    </w:p>
    <w:p>
      <w:pPr>
        <w:spacing w:after="0"/>
        <w:rPr>
          <w:sz w:val="20"/>
          <w:szCs w:val="20"/>
          <w:color w:val="auto"/>
        </w:rPr>
      </w:pPr>
      <w:r>
        <w:rPr>
          <w:rFonts w:ascii="Times New Roman" w:cs="Times New Roman" w:eastAsia="Times New Roman" w:hAnsi="Times New Roman"/>
          <w:sz w:val="18"/>
          <w:szCs w:val="18"/>
          <w:i w:val="1"/>
          <w:iCs w:val="1"/>
          <w:color w:val="231F20"/>
        </w:rPr>
        <w:t>Duke University</w:t>
      </w:r>
    </w:p>
    <w:p>
      <w:pPr>
        <w:spacing w:after="0" w:line="192"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231F20"/>
        </w:rPr>
        <w:t>In March 2006, the Company entered into a license agreement with Duke University (“Duke”), which was subsequently amended in 2011, 2014, 2015, 2018, 2019 and 2022.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In connection with the Company’s entry into the license agreement, the Company granted equity consideration to Duke in the form of 52,693 shares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Common Stock. Under the license agreement, the Company also agreed to pay Duke:</w:t>
      </w:r>
    </w:p>
    <w:p>
      <w:pPr>
        <w:spacing w:after="0" w:line="159" w:lineRule="exact"/>
        <w:rPr>
          <w:sz w:val="20"/>
          <w:szCs w:val="20"/>
          <w:color w:val="auto"/>
        </w:rPr>
      </w:pPr>
    </w:p>
    <w:p>
      <w:pPr>
        <w:ind w:left="640" w:right="800" w:hanging="316"/>
        <w:spacing w:after="0" w:line="271" w:lineRule="auto"/>
        <w:tabs>
          <w:tab w:leader="none" w:pos="635"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low single-digit percentage royalty on eligible sales of licensed products and licensed services, plus a low double-digit percentage of any sublicensing revenue;</w:t>
      </w:r>
    </w:p>
    <w:p>
      <w:pPr>
        <w:spacing w:after="0" w:line="141" w:lineRule="exact"/>
        <w:rPr>
          <w:rFonts w:ascii="Times New Roman" w:cs="Times New Roman" w:eastAsia="Times New Roman" w:hAnsi="Times New Roman"/>
          <w:sz w:val="18"/>
          <w:szCs w:val="18"/>
          <w:color w:val="231F20"/>
        </w:rPr>
      </w:pPr>
    </w:p>
    <w:p>
      <w:pPr>
        <w:ind w:left="640" w:right="400" w:hanging="316"/>
        <w:spacing w:after="0" w:line="271" w:lineRule="auto"/>
        <w:tabs>
          <w:tab w:leader="none" w:pos="635"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annual minimum royalty beginning in 2012, which increases in the calendar year immediately following the first commercial sale of licensed products or licensed services (whichever occurs first); and</w:t>
      </w:r>
    </w:p>
    <w:p>
      <w:pPr>
        <w:spacing w:after="0" w:line="128"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additional amount in license fees, as certain milestones are met.</w:t>
      </w:r>
    </w:p>
    <w:p>
      <w:pPr>
        <w:spacing w:after="0" w:line="177"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231F20"/>
        </w:rPr>
        <w:t>The license agreement remains effective until the later of (i) the last of the patent rights expires or (ii) four years after the Company’s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w:t>
      </w:r>
    </w:p>
    <w:p>
      <w:pPr>
        <w:spacing w:after="0" w:line="164"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In December 2023, the Company filed a BLA with the FDA for urgent arterial repair following extremity vascular trauma when synthetic graft is not indicated, and autologous vein use is not feasible. Based on the achievement of this milestone under the Duke license agreement, the Company recorded license fee expense of $0.5 million during the fourth quarter of 2023 </w:t>
      </w:r>
      <w:r>
        <w:rPr>
          <w:rFonts w:ascii="Times New Roman" w:cs="Times New Roman" w:eastAsia="Times New Roman" w:hAnsi="Times New Roman"/>
          <w:sz w:val="18"/>
          <w:szCs w:val="18"/>
          <w:color w:val="000000"/>
        </w:rPr>
        <w:t>in research and development expense in its consolidated statements of operations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comprehensive loss and recorded </w:t>
      </w:r>
      <w:r>
        <w:rPr>
          <w:rFonts w:ascii="Times New Roman" w:cs="Times New Roman" w:eastAsia="Times New Roman" w:hAnsi="Times New Roman"/>
          <w:sz w:val="18"/>
          <w:szCs w:val="18"/>
          <w:color w:val="231F20"/>
        </w:rPr>
        <w:t>$0.5 million of license expense payable in accounts payable in the Company’s consolidated balance sheets as of December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31, 2023. The Company paid the license fee to Duke during the first quarter of 2024.</w:t>
      </w:r>
    </w:p>
    <w:p>
      <w:pPr>
        <w:spacing w:after="0" w:line="14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In December 2024, the FDA approved the Company’s BLA with the FDA for urgent arterial repair following extremity vascular trauma when autologous vein use is not feasible. Based on the achievement of this milestone under the Duke license agreement, the Company recorded license fee expense of $0.5 million during the fourth quarter of 2024 </w:t>
      </w:r>
      <w:r>
        <w:rPr>
          <w:rFonts w:ascii="Times New Roman" w:cs="Times New Roman" w:eastAsia="Times New Roman" w:hAnsi="Times New Roman"/>
          <w:sz w:val="18"/>
          <w:szCs w:val="18"/>
          <w:color w:val="000000"/>
        </w:rPr>
        <w:t>in research and development expense in its consolidated statements of operations and comprehensive loss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recorded </w:t>
      </w:r>
      <w:r>
        <w:rPr>
          <w:rFonts w:ascii="Times New Roman" w:cs="Times New Roman" w:eastAsia="Times New Roman" w:hAnsi="Times New Roman"/>
          <w:sz w:val="18"/>
          <w:szCs w:val="18"/>
          <w:color w:val="231F20"/>
        </w:rPr>
        <w:t>$0.5 million of license expense payable in accrued expenses in the Company’s consolidated balance sheets as of December 31, 2024. Other payments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to Duke under the license agreement were immaterial during the years ended December 31, 2024 and 2023.</w:t>
      </w:r>
    </w:p>
    <w:p>
      <w:pPr>
        <w:spacing w:after="0" w:line="200" w:lineRule="exact"/>
        <w:rPr>
          <w:sz w:val="20"/>
          <w:szCs w:val="20"/>
          <w:color w:val="auto"/>
        </w:rPr>
      </w:pPr>
    </w:p>
    <w:p>
      <w:pPr>
        <w:spacing w:after="0" w:line="3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50" w:name="page151"/>
    <w:bookmarkEnd w:id="150"/>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Yale University</w:t>
      </w:r>
    </w:p>
    <w:p>
      <w:pPr>
        <w:spacing w:after="0" w:line="179"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231F20"/>
        </w:rPr>
        <w:t xml:space="preserve">In August 2019, the Company entered into a license agreement with Yale University (“Yale”) that granted the Company a worldwide license to the patents related to the BVP (the “BVP License Agreement”). The license granted under the BVP License Agreement is exclusive in the field of engineered vascular tissues that deliver pancreatic islet cells to patients, except that it is subject to Yale’s non-exclusive right, on behalf of itself and all other non-profit academic institutions, to use the licensed products for research, teaching, and other non-commercial purposes. </w:t>
      </w:r>
      <w:r>
        <w:rPr>
          <w:rFonts w:ascii="Times New Roman" w:cs="Times New Roman" w:eastAsia="Times New Roman" w:hAnsi="Times New Roman"/>
          <w:sz w:val="18"/>
          <w:szCs w:val="18"/>
          <w:color w:val="000000"/>
        </w:rPr>
        <w:t>The Company has agreed to pay to Yale an annual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maintenance fee, increasing between the first and fourth anniversaries of the BVP License Agreement up to a maximum of less than $0.1 million per year for this license.</w:t>
      </w:r>
    </w:p>
    <w:p>
      <w:pPr>
        <w:spacing w:after="0" w:line="149" w:lineRule="exact"/>
        <w:rPr>
          <w:sz w:val="20"/>
          <w:szCs w:val="20"/>
          <w:color w:val="auto"/>
        </w:rPr>
      </w:pPr>
    </w:p>
    <w:p>
      <w:pPr>
        <w:ind w:right="180" w:firstLine="318"/>
        <w:spacing w:after="0" w:line="250" w:lineRule="auto"/>
        <w:rPr>
          <w:sz w:val="20"/>
          <w:szCs w:val="20"/>
          <w:color w:val="auto"/>
        </w:rPr>
      </w:pPr>
      <w:r>
        <w:rPr>
          <w:rFonts w:ascii="Times New Roman" w:cs="Times New Roman" w:eastAsia="Times New Roman" w:hAnsi="Times New Roman"/>
          <w:sz w:val="18"/>
          <w:szCs w:val="18"/>
          <w:color w:val="231F20"/>
        </w:rPr>
        <w:t xml:space="preserve">In August 2019, the Company entered into a license agreement with Yale that granted the Company a worldwide license to the patents related to tubular prostheses (the “Tubular Prosthesis License Agreement”). The license granted under the Tubular Prosthesis License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w:t>
      </w:r>
      <w:r>
        <w:rPr>
          <w:rFonts w:ascii="Times New Roman" w:cs="Times New Roman" w:eastAsia="Times New Roman" w:hAnsi="Times New Roman"/>
          <w:sz w:val="18"/>
          <w:szCs w:val="18"/>
          <w:color w:val="000000"/>
        </w:rPr>
        <w:t>The Company has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agreed to pay to Yale an annual maintenance fee, increasing between the first and fourth anniversaries of the Tubular Prosthesis License Agreement up to a maximum of less than $0.1 million per year for this license.</w:t>
      </w:r>
    </w:p>
    <w:p>
      <w:pPr>
        <w:spacing w:after="0" w:line="162" w:lineRule="exact"/>
        <w:rPr>
          <w:sz w:val="20"/>
          <w:szCs w:val="20"/>
          <w:color w:val="auto"/>
        </w:rPr>
      </w:pPr>
    </w:p>
    <w:p>
      <w:pPr>
        <w:ind w:right="20" w:firstLine="318"/>
        <w:spacing w:after="0" w:line="273" w:lineRule="auto"/>
        <w:rPr>
          <w:sz w:val="20"/>
          <w:szCs w:val="20"/>
          <w:color w:val="auto"/>
        </w:rPr>
      </w:pPr>
      <w:r>
        <w:rPr>
          <w:rFonts w:ascii="Times New Roman" w:cs="Times New Roman" w:eastAsia="Times New Roman" w:hAnsi="Times New Roman"/>
          <w:sz w:val="17"/>
          <w:szCs w:val="17"/>
          <w:color w:val="231F20"/>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Company’s rights without Yale’s prior written consent, but such sublicense is subject to certain conditions.</w:t>
      </w:r>
    </w:p>
    <w:p>
      <w:pPr>
        <w:spacing w:after="0" w:line="130" w:lineRule="exact"/>
        <w:rPr>
          <w:sz w:val="20"/>
          <w:szCs w:val="20"/>
          <w:color w:val="auto"/>
        </w:rPr>
      </w:pPr>
    </w:p>
    <w:p>
      <w:pPr>
        <w:ind w:right="220" w:firstLine="318"/>
        <w:spacing w:after="0" w:line="271" w:lineRule="auto"/>
        <w:rPr>
          <w:sz w:val="20"/>
          <w:szCs w:val="20"/>
          <w:color w:val="auto"/>
        </w:rPr>
      </w:pPr>
      <w:r>
        <w:rPr>
          <w:rFonts w:ascii="Times New Roman" w:cs="Times New Roman" w:eastAsia="Times New Roman" w:hAnsi="Times New Roman"/>
          <w:sz w:val="18"/>
          <w:szCs w:val="18"/>
          <w:color w:val="231F20"/>
        </w:rPr>
        <w:t>In connection with its entry into the Tubular Prosthesis License Agreement, the Company paid Yale upfront cash fees. The Company has also agreed to pay Yale:</w:t>
      </w:r>
    </w:p>
    <w:p>
      <w:pPr>
        <w:spacing w:after="0" w:line="128" w:lineRule="exact"/>
        <w:rPr>
          <w:sz w:val="20"/>
          <w:szCs w:val="20"/>
          <w:color w:val="auto"/>
        </w:rPr>
      </w:pPr>
    </w:p>
    <w:p>
      <w:pPr>
        <w:ind w:left="640" w:right="440" w:hanging="316"/>
        <w:spacing w:after="0" w:line="271" w:lineRule="auto"/>
        <w:tabs>
          <w:tab w:leader="none" w:pos="635"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annual maintenance fees, increasing annually until the fifth anniversary for the BVP License Agreement and until the fourth anniversary for the Tubular Prostheses License Agreement up to a maximum of less than </w:t>
      </w:r>
      <w:r>
        <w:rPr>
          <w:rFonts w:ascii="Times New Roman" w:cs="Times New Roman" w:eastAsia="Times New Roman" w:hAnsi="Times New Roman"/>
          <w:sz w:val="18"/>
          <w:szCs w:val="18"/>
          <w:color w:val="000000"/>
        </w:rPr>
        <w:t>$0.1 million</w:t>
      </w:r>
      <w:r>
        <w:rPr>
          <w:rFonts w:ascii="Times New Roman" w:cs="Times New Roman" w:eastAsia="Times New Roman" w:hAnsi="Times New Roman"/>
          <w:sz w:val="18"/>
          <w:szCs w:val="18"/>
          <w:color w:val="231F20"/>
        </w:rPr>
        <w:t xml:space="preserve"> per year;</w:t>
      </w:r>
    </w:p>
    <w:p>
      <w:pPr>
        <w:spacing w:after="0" w:line="141"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milestone payments upon achievement of certain regulatory and commercial milestones of </w:t>
      </w:r>
      <w:r>
        <w:rPr>
          <w:rFonts w:ascii="Times New Roman" w:cs="Times New Roman" w:eastAsia="Times New Roman" w:hAnsi="Times New Roman"/>
          <w:sz w:val="18"/>
          <w:szCs w:val="18"/>
          <w:color w:val="000000"/>
        </w:rPr>
        <w:t>$0.2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$0.6 million, respectively</w:t>
      </w:r>
      <w:r>
        <w:rPr>
          <w:rFonts w:ascii="Times New Roman" w:cs="Times New Roman" w:eastAsia="Times New Roman" w:hAnsi="Times New Roman"/>
          <w:sz w:val="18"/>
          <w:szCs w:val="18"/>
          <w:color w:val="231F20"/>
        </w:rPr>
        <w:t>;</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low single-digit percentage royalty on worldwide net sales, subject to reductions for third-party license fees; and</w:t>
      </w:r>
    </w:p>
    <w:p>
      <w:pPr>
        <w:spacing w:after="0" w:line="176" w:lineRule="exact"/>
        <w:rPr>
          <w:rFonts w:ascii="Times New Roman" w:cs="Times New Roman" w:eastAsia="Times New Roman" w:hAnsi="Times New Roman"/>
          <w:sz w:val="18"/>
          <w:szCs w:val="18"/>
          <w:color w:val="231F20"/>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low double-digit percentage of sublicensing income.</w:t>
      </w:r>
    </w:p>
    <w:p>
      <w:pPr>
        <w:spacing w:after="0" w:line="190" w:lineRule="exact"/>
        <w:rPr>
          <w:sz w:val="20"/>
          <w:szCs w:val="20"/>
          <w:color w:val="auto"/>
        </w:rPr>
      </w:pPr>
    </w:p>
    <w:p>
      <w:pPr>
        <w:ind w:right="120" w:firstLine="318"/>
        <w:spacing w:after="0" w:line="271" w:lineRule="auto"/>
        <w:rPr>
          <w:sz w:val="20"/>
          <w:szCs w:val="20"/>
          <w:color w:val="auto"/>
        </w:rPr>
      </w:pPr>
      <w:r>
        <w:rPr>
          <w:rFonts w:ascii="Times New Roman" w:cs="Times New Roman" w:eastAsia="Times New Roman" w:hAnsi="Times New Roman"/>
          <w:sz w:val="18"/>
          <w:szCs w:val="18"/>
          <w:color w:val="231F20"/>
        </w:rPr>
        <w:t>If the Company or any of its future sublicensees bring a patent challenge against Yale or assists another party in bringing a patent challenge against Yale, the license fees described above will be subject to certain increases and penalties.</w:t>
      </w:r>
    </w:p>
    <w:p>
      <w:pPr>
        <w:spacing w:after="0" w:line="128" w:lineRule="exact"/>
        <w:rPr>
          <w:sz w:val="20"/>
          <w:szCs w:val="20"/>
          <w:color w:val="auto"/>
        </w:rPr>
      </w:pPr>
    </w:p>
    <w:p>
      <w:pPr>
        <w:ind w:right="40" w:firstLine="318"/>
        <w:spacing w:after="0" w:line="247" w:lineRule="auto"/>
        <w:rPr>
          <w:sz w:val="20"/>
          <w:szCs w:val="20"/>
          <w:color w:val="auto"/>
        </w:rPr>
      </w:pPr>
      <w:r>
        <w:rPr>
          <w:rFonts w:ascii="Times New Roman" w:cs="Times New Roman" w:eastAsia="Times New Roman" w:hAnsi="Times New Roman"/>
          <w:sz w:val="18"/>
          <w:szCs w:val="18"/>
          <w:color w:val="231F20"/>
        </w:rPr>
        <w:t>The BVP License Agreement and Tubular Prosthesis License Agreement expire on a country-by-country basis on the date on which the last of the patents in such country expires, lapses or is declared invalid. Yale may terminate the BVP License Agreement and Tubular Prosthesis License Agreement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BVP License Agreement and Tubular Prosthesis License Agreement (i) on 90 days’ prior written notice to Yale, provided the Company is not in breach of the license agreements and has made all required payments to Yale thereunder and (ii) on written notice to Yale following an uncured material breach. With respect to the BVP License Agreement, the Company’s rights under the agreement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w:t>
      </w: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51" w:name="page152"/>
    <w:bookmarkEnd w:id="151"/>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231F20"/>
        </w:rPr>
        <w:t>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BVP License Agreement and Tubular Prosthesis License Agreement were immaterial during the periods presented.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JDRF Agreement</w:t>
      </w:r>
    </w:p>
    <w:p>
      <w:pPr>
        <w:spacing w:after="0" w:line="179"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 xml:space="preserve">On April 1, 2023, the Company entered into the JDRF Agreement to further develop and perform preclinical testing of the BVP, as discussed in Note 2 — Summary of Significant Accounting Policies. According to the terms of the JDRF Agreement, JDRF will provide funding up to $0.8 million based on the achievement of certain research and development milestones related to the Company’s BVP. The Company received the first milestone payment of $80 thousand in April 2023 upon execution of the agreement. In May 2024, the Company received the second milestone payment of $90 thousand and the third milestone payment of $150 thousand, based on the achievement of certain research and development milestones specified in the JDRF Agreement. As of </w:t>
      </w:r>
      <w:r>
        <w:rPr>
          <w:rFonts w:ascii="Times New Roman" w:cs="Times New Roman" w:eastAsia="Times New Roman" w:hAnsi="Times New Roman"/>
          <w:sz w:val="18"/>
          <w:szCs w:val="18"/>
          <w:color w:val="231F20"/>
        </w:rPr>
        <w:t xml:space="preserve">December 31, 2024, the Actual Award totaled </w:t>
      </w:r>
      <w:r>
        <w:rPr>
          <w:rFonts w:ascii="Times New Roman" w:cs="Times New Roman" w:eastAsia="Times New Roman" w:hAnsi="Times New Roman"/>
          <w:sz w:val="18"/>
          <w:szCs w:val="18"/>
          <w:color w:val="000000"/>
        </w:rPr>
        <w:t>$320 thousand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As of</w:t>
      </w:r>
      <w:r>
        <w:rPr>
          <w:rFonts w:ascii="Times New Roman" w:cs="Times New Roman" w:eastAsia="Times New Roman" w:hAnsi="Times New Roman"/>
          <w:sz w:val="18"/>
          <w:szCs w:val="18"/>
          <w:color w:val="231F20"/>
        </w:rPr>
        <w:t xml:space="preserve"> December 31, 2024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2023</w:t>
      </w:r>
      <w:r>
        <w:rPr>
          <w:rFonts w:ascii="Times New Roman" w:cs="Times New Roman" w:eastAsia="Times New Roman" w:hAnsi="Times New Roman"/>
          <w:sz w:val="18"/>
          <w:szCs w:val="18"/>
          <w:color w:val="000000"/>
        </w:rPr>
        <w:t>, the carrying value of the JDRF liability is $0.3 million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$0.1 million, respectively. There was $0.1 million and an insignificant amount of interest expense related to the JDRF liability recorded during the years ended </w:t>
      </w:r>
      <w:r>
        <w:rPr>
          <w:rFonts w:ascii="Times New Roman" w:cs="Times New Roman" w:eastAsia="Times New Roman" w:hAnsi="Times New Roman"/>
          <w:sz w:val="18"/>
          <w:szCs w:val="18"/>
          <w:color w:val="231F20"/>
        </w:rPr>
        <w:t xml:space="preserve">December 31, 2024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2023, respectively</w:t>
      </w:r>
      <w:r>
        <w:rPr>
          <w:rFonts w:ascii="Times New Roman" w:cs="Times New Roman" w:eastAsia="Times New Roman" w:hAnsi="Times New Roman"/>
          <w:sz w:val="18"/>
          <w:szCs w:val="18"/>
          <w:color w:val="000000"/>
        </w:rPr>
        <w:t>.</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accordance with the JDRF Agreement, the Company has agreed to pay JDRF:</w:t>
      </w:r>
    </w:p>
    <w:p>
      <w:pPr>
        <w:spacing w:after="0" w:line="177" w:lineRule="exact"/>
        <w:rPr>
          <w:sz w:val="20"/>
          <w:szCs w:val="20"/>
          <w:color w:val="auto"/>
        </w:rPr>
      </w:pPr>
    </w:p>
    <w:p>
      <w:pPr>
        <w:ind w:left="640" w:hanging="316"/>
        <w:spacing w:after="0" w:line="271" w:lineRule="auto"/>
        <w:tabs>
          <w:tab w:leader="none" w:pos="6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royalty in an amount equal to four times the Actual Award, to be paid in three equal installments following the first commercial sale of any product containing the Company’s technology identified in the JDRF Agreement;</w:t>
      </w:r>
    </w:p>
    <w:p>
      <w:pPr>
        <w:spacing w:after="0" w:line="12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royalty equal to the Actual Award at a specified payment date after net sales exceed $250 million; and</w:t>
      </w:r>
    </w:p>
    <w:p>
      <w:pPr>
        <w:spacing w:after="0" w:line="190" w:lineRule="exact"/>
        <w:rPr>
          <w:rFonts w:ascii="Times New Roman" w:cs="Times New Roman" w:eastAsia="Times New Roman" w:hAnsi="Times New Roman"/>
          <w:sz w:val="18"/>
          <w:szCs w:val="18"/>
          <w:color w:val="auto"/>
        </w:rPr>
      </w:pPr>
    </w:p>
    <w:p>
      <w:pPr>
        <w:ind w:left="640" w:right="40" w:hanging="316"/>
        <w:spacing w:after="0" w:line="258" w:lineRule="auto"/>
        <w:tabs>
          <w:tab w:leader="none" w:pos="6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license, sale or transfer of the Company’s rights to the product’s technology identified in the JDRF Agreement or a change of control transaction, a payment equal to 10% of any license or purchase price payments received by the Company up to the Royalty Cap, less any previous royalty payments paid towards the Royalty Cap.</w:t>
      </w:r>
    </w:p>
    <w:p>
      <w:pPr>
        <w:spacing w:after="0" w:line="140"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8"/>
          <w:szCs w:val="18"/>
          <w:color w:val="auto"/>
        </w:rPr>
        <w:t>The JDRF Agreement expires on the date on which the Company has paid all of the royalty payments described above. Either party may terminate the JDRF Agreement for cause by providing the other party with written notice and allowing the other party 30 days to cure such breach. JDRF may terminate the JDRF Agreement without cause by providing 90 days’ notice to the Company at any time after April 1, 2024. Royalties on previously received milestone payments would remain due after a termination by JDRF without cause.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Legal Matters</w:t>
      </w:r>
    </w:p>
    <w:p>
      <w:pPr>
        <w:spacing w:after="0" w:line="19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involved in various lawsuits, claims, assessments and proceedings, including securities, commercial, intellectual property, product liability, contractual, governmental, employment or other matters that arise in the normal course of business. The Company accrues a liability for a contingency when management believes information available prior to the issuance of the consolidated financial statements indicates it is probable a loss has been incurred as of the date of the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spacing w:after="0" w:line="200" w:lineRule="exact"/>
        <w:rPr>
          <w:sz w:val="20"/>
          <w:szCs w:val="20"/>
          <w:color w:val="auto"/>
        </w:rPr>
      </w:pPr>
    </w:p>
    <w:p>
      <w:pPr>
        <w:spacing w:after="0" w:line="3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2" w:name="page153"/>
    <w:bookmarkEnd w:id="152"/>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 xml:space="preserve">On November 18, 2024, James A. Cutshall filed a putative class action lawsuit, captioned </w:t>
      </w:r>
      <w:r>
        <w:rPr>
          <w:rFonts w:ascii="Times New Roman" w:cs="Times New Roman" w:eastAsia="Times New Roman" w:hAnsi="Times New Roman"/>
          <w:sz w:val="18"/>
          <w:szCs w:val="18"/>
          <w:i w:val="1"/>
          <w:iCs w:val="1"/>
          <w:color w:val="auto"/>
        </w:rPr>
        <w:t>Cutshall v. Humacyte, Inc., et al</w:t>
      </w:r>
      <w:r>
        <w:rPr>
          <w:rFonts w:ascii="Times New Roman" w:cs="Times New Roman" w:eastAsia="Times New Roman" w:hAnsi="Times New Roman"/>
          <w:sz w:val="18"/>
          <w:szCs w:val="18"/>
          <w:color w:val="auto"/>
        </w:rPr>
        <w:t>., No. 1:24-cv-00954 (the “Securities Litigation”), against the Company and certain of the Company’s officers in the United States District Court for the Middle District of North Carolina. The complaint in the Securities Litigation asserts claims under Sections 10(b) and 20(a) of the Exchange Act on behalf of a putative class of persons and entities that purchased or otherwise acquired securities of the Company between May 10, 2024 and October 17, 2024, based on allegations that the defendants made or were responsible for false or misleading statements and omissions related to the BLA for the vascular trauma indication and to alleged deficiencies at the Company’s Durham, North Carolina manufacturing facility. The Complaint seeks a variety of relief, including unspecified compensatory damages, attorneys fees and costs. On January 31, 2025, the court appointed co-lead plaintiffs. On February 19, 2025, the court entered a scheduling order directing the co-lead plaintiffs to file a consolidated amended complaint by April 24, 2025 and the defendants to answer or otherwise respond to the amended complaint by June 27, 2025.</w:t>
      </w:r>
    </w:p>
    <w:p>
      <w:pPr>
        <w:spacing w:after="0" w:line="147"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7"/>
          <w:szCs w:val="17"/>
          <w:color w:val="auto"/>
        </w:rPr>
        <w:t xml:space="preserve">On January 7 and 10, 2025, putative stockholders of the Company filed two verified stockholder derivative actions in the United States District Court for the Middle District of North Carolina, captioned </w:t>
      </w:r>
      <w:r>
        <w:rPr>
          <w:rFonts w:ascii="Times New Roman" w:cs="Times New Roman" w:eastAsia="Times New Roman" w:hAnsi="Times New Roman"/>
          <w:sz w:val="17"/>
          <w:szCs w:val="17"/>
          <w:i w:val="1"/>
          <w:iCs w:val="1"/>
          <w:color w:val="auto"/>
        </w:rPr>
        <w:t>Silva v. Sebelius, et al</w:t>
      </w:r>
      <w:r>
        <w:rPr>
          <w:rFonts w:ascii="Times New Roman" w:cs="Times New Roman" w:eastAsia="Times New Roman" w:hAnsi="Times New Roman"/>
          <w:sz w:val="17"/>
          <w:szCs w:val="17"/>
          <w:color w:val="auto"/>
        </w:rPr>
        <w:t>., No. 1:25-cv-00005 (the “</w:t>
      </w:r>
      <w:r>
        <w:rPr>
          <w:rFonts w:ascii="Times New Roman" w:cs="Times New Roman" w:eastAsia="Times New Roman" w:hAnsi="Times New Roman"/>
          <w:sz w:val="17"/>
          <w:szCs w:val="17"/>
          <w:i w:val="1"/>
          <w:iCs w:val="1"/>
          <w:color w:val="auto"/>
        </w:rPr>
        <w:t>Silva</w:t>
      </w:r>
      <w:r>
        <w:rPr>
          <w:rFonts w:ascii="Times New Roman" w:cs="Times New Roman" w:eastAsia="Times New Roman" w:hAnsi="Times New Roman"/>
          <w:sz w:val="17"/>
          <w:szCs w:val="17"/>
          <w:color w:val="auto"/>
        </w:rPr>
        <w:t xml:space="preserve"> Action”) and </w:t>
      </w:r>
      <w:r>
        <w:rPr>
          <w:rFonts w:ascii="Times New Roman" w:cs="Times New Roman" w:eastAsia="Times New Roman" w:hAnsi="Times New Roman"/>
          <w:sz w:val="17"/>
          <w:szCs w:val="17"/>
          <w:i w:val="1"/>
          <w:iCs w:val="1"/>
          <w:color w:val="auto"/>
        </w:rPr>
        <w:t>Misko v. Niklason, et al</w:t>
      </w:r>
      <w:r>
        <w:rPr>
          <w:rFonts w:ascii="Times New Roman" w:cs="Times New Roman" w:eastAsia="Times New Roman" w:hAnsi="Times New Roman"/>
          <w:sz w:val="17"/>
          <w:szCs w:val="17"/>
          <w:color w:val="auto"/>
        </w:rPr>
        <w:t>., No. 1:25-cv-00028 (the “</w:t>
      </w:r>
      <w:r>
        <w:rPr>
          <w:rFonts w:ascii="Times New Roman" w:cs="Times New Roman" w:eastAsia="Times New Roman" w:hAnsi="Times New Roman"/>
          <w:sz w:val="17"/>
          <w:szCs w:val="17"/>
          <w:i w:val="1"/>
          <w:iCs w:val="1"/>
          <w:color w:val="auto"/>
        </w:rPr>
        <w:t>Misko</w:t>
      </w:r>
      <w:r>
        <w:rPr>
          <w:rFonts w:ascii="Times New Roman" w:cs="Times New Roman" w:eastAsia="Times New Roman" w:hAnsi="Times New Roman"/>
          <w:sz w:val="17"/>
          <w:szCs w:val="17"/>
          <w:color w:val="auto"/>
        </w:rPr>
        <w:t xml:space="preserve"> Action”). Each of these derivative actions was brought on behalf of the Company against certain of its current or former directors and officers, as well as Ayabudge LLC. The complaints in each action assert claims for violations of Section 14(a) of the Exchange Act, breach of fiduciary duty, unjust enrichment, abuse of control, gross mismanagement, and waste of corporate assets, based on a variety of allegations including claims that the defendants are responsible for any damages sustained by the Company as a result of the Securities Litigation. The </w:t>
      </w:r>
      <w:r>
        <w:rPr>
          <w:rFonts w:ascii="Times New Roman" w:cs="Times New Roman" w:eastAsia="Times New Roman" w:hAnsi="Times New Roman"/>
          <w:sz w:val="17"/>
          <w:szCs w:val="17"/>
          <w:i w:val="1"/>
          <w:iCs w:val="1"/>
          <w:color w:val="auto"/>
        </w:rPr>
        <w:t>Misko</w:t>
      </w:r>
      <w:r>
        <w:rPr>
          <w:rFonts w:ascii="Times New Roman" w:cs="Times New Roman" w:eastAsia="Times New Roman" w:hAnsi="Times New Roman"/>
          <w:sz w:val="17"/>
          <w:szCs w:val="17"/>
          <w:color w:val="auto"/>
        </w:rPr>
        <w:t xml:space="preserve"> Action also includes a claim for contribution against certain defendants under Sections 10(b) and 21(d) of the Exchange Act for any liability the Company may sustain as a result of the Securities Litigation. On February 18, 2025, the court issued an order consolidating the </w:t>
      </w:r>
      <w:r>
        <w:rPr>
          <w:rFonts w:ascii="Times New Roman" w:cs="Times New Roman" w:eastAsia="Times New Roman" w:hAnsi="Times New Roman"/>
          <w:sz w:val="17"/>
          <w:szCs w:val="17"/>
          <w:i w:val="1"/>
          <w:iCs w:val="1"/>
          <w:color w:val="auto"/>
        </w:rPr>
        <w:t>Silva</w:t>
      </w:r>
      <w:r>
        <w:rPr>
          <w:rFonts w:ascii="Times New Roman" w:cs="Times New Roman" w:eastAsia="Times New Roman" w:hAnsi="Times New Roman"/>
          <w:sz w:val="17"/>
          <w:szCs w:val="17"/>
          <w:color w:val="auto"/>
        </w:rPr>
        <w:t xml:space="preserve"> Action and the </w:t>
      </w:r>
      <w:r>
        <w:rPr>
          <w:rFonts w:ascii="Times New Roman" w:cs="Times New Roman" w:eastAsia="Times New Roman" w:hAnsi="Times New Roman"/>
          <w:sz w:val="17"/>
          <w:szCs w:val="17"/>
          <w:i w:val="1"/>
          <w:iCs w:val="1"/>
          <w:color w:val="auto"/>
        </w:rPr>
        <w:t>Misko</w:t>
      </w:r>
      <w:r>
        <w:rPr>
          <w:rFonts w:ascii="Times New Roman" w:cs="Times New Roman" w:eastAsia="Times New Roman" w:hAnsi="Times New Roman"/>
          <w:sz w:val="17"/>
          <w:szCs w:val="17"/>
          <w:color w:val="auto"/>
        </w:rPr>
        <w:t xml:space="preserve"> Action (collectively, the “Consolidated Derivative Action”) and staying the defendants’ obligation to respond to any complaint in the Consolidated Derivative Action pending the submission of a proposed scheduling order. On March 11, 2025, the parties entered a joint motion to stay the Consolidated Derivative Action pending final resolution of the Securities Litigation. On March 24, 2025, the court granted the parties’ joint motion to stay the Consolidated Derivative Action.</w:t>
      </w:r>
    </w:p>
    <w:p>
      <w:pPr>
        <w:spacing w:after="0" w:line="13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On December 19, 2024, the Company received a demand letter (the “Demand Letter”) from a purported stockholder of the Company, demanding that the Board assert claims against certain of the Company’s current or former officers and directors for breach of fiduciary duty, gross mismanagement, corporate waste, unjust enrichment, aiding and abetting, violations of Section 14(a) of the Exchange Act, and insider trading, based on a variety of allegations including claims that the Company’s current and former officers and directors are responsible for any damages sustained by the Company as a result of the Securities Litigation. On January 24, 2025, the Board appointed a demand evaluation committee to evaluate the claims made in the Demand Letter and report back to the full Board. On February 19, 2025, the purported stockholder who sent the Demand Letter filed a stockholder derivative action in the United States District Court for the Middle District of North Carolina, captioned </w:t>
      </w:r>
      <w:r>
        <w:rPr>
          <w:rFonts w:ascii="Times New Roman" w:cs="Times New Roman" w:eastAsia="Times New Roman" w:hAnsi="Times New Roman"/>
          <w:sz w:val="18"/>
          <w:szCs w:val="18"/>
          <w:i w:val="1"/>
          <w:iCs w:val="1"/>
          <w:color w:val="auto"/>
        </w:rPr>
        <w:t>Olson v. Niklason</w:t>
      </w:r>
      <w:r>
        <w:rPr>
          <w:rFonts w:ascii="Times New Roman" w:cs="Times New Roman" w:eastAsia="Times New Roman" w:hAnsi="Times New Roman"/>
          <w:sz w:val="18"/>
          <w:szCs w:val="18"/>
          <w:color w:val="auto"/>
        </w:rPr>
        <w:t>, et al., No. 1:25-cv-00123 (the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 alleging that the Company had refused his demand. The complaint in the </w:t>
      </w:r>
      <w:r>
        <w:rPr>
          <w:rFonts w:ascii="Times New Roman" w:cs="Times New Roman" w:eastAsia="Times New Roman" w:hAnsi="Times New Roman"/>
          <w:sz w:val="18"/>
          <w:szCs w:val="18"/>
          <w:i w:val="1"/>
          <w:iCs w:val="1"/>
          <w:color w:val="auto"/>
        </w:rPr>
        <w:t>Olson</w:t>
      </w:r>
      <w:r>
        <w:rPr>
          <w:rFonts w:ascii="Times New Roman" w:cs="Times New Roman" w:eastAsia="Times New Roman" w:hAnsi="Times New Roman"/>
          <w:sz w:val="18"/>
          <w:szCs w:val="18"/>
          <w:color w:val="auto"/>
        </w:rPr>
        <w:t xml:space="preserve"> Action asserts substantive claims and allegations that are substantially similar to those asserted in the Consolidated Derivative Action.</w:t>
      </w:r>
    </w:p>
    <w:p>
      <w:pPr>
        <w:spacing w:after="0" w:line="166" w:lineRule="exact"/>
        <w:rPr>
          <w:sz w:val="20"/>
          <w:szCs w:val="20"/>
          <w:color w:val="auto"/>
        </w:rPr>
      </w:pPr>
    </w:p>
    <w:p>
      <w:pPr>
        <w:jc w:val="both"/>
        <w:ind w:right="40" w:firstLine="318"/>
        <w:spacing w:after="0" w:line="268" w:lineRule="auto"/>
        <w:rPr>
          <w:sz w:val="20"/>
          <w:szCs w:val="20"/>
          <w:color w:val="auto"/>
        </w:rPr>
      </w:pPr>
      <w:r>
        <w:rPr>
          <w:rFonts w:ascii="Times New Roman" w:cs="Times New Roman" w:eastAsia="Times New Roman" w:hAnsi="Times New Roman"/>
          <w:sz w:val="17"/>
          <w:szCs w:val="17"/>
          <w:color w:val="auto"/>
        </w:rPr>
        <w:t xml:space="preserve">The Company disputes all claims asserted against it in the Securities Litigation and disputes that the plaintiffs in the Consolidated Derivative Action and </w:t>
      </w:r>
      <w:r>
        <w:rPr>
          <w:rFonts w:ascii="Times New Roman" w:cs="Times New Roman" w:eastAsia="Times New Roman" w:hAnsi="Times New Roman"/>
          <w:sz w:val="17"/>
          <w:szCs w:val="17"/>
          <w:i w:val="1"/>
          <w:iCs w:val="1"/>
          <w:color w:val="auto"/>
        </w:rPr>
        <w:t xml:space="preserve">Olson </w:t>
      </w:r>
      <w:r>
        <w:rPr>
          <w:rFonts w:ascii="Times New Roman" w:cs="Times New Roman" w:eastAsia="Times New Roman" w:hAnsi="Times New Roman"/>
          <w:sz w:val="17"/>
          <w:szCs w:val="17"/>
          <w:color w:val="auto"/>
        </w:rPr>
        <w:t>Action have standing to assert claims derivatively on its behalf. The Company is currently unable to estimate the potential loss or range of loss, if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associated with these lawsuits, which could be material. Although there can be no assurance of the outcome of these lawsuits, based on information known by management, the Company has not accrued any material liabilities related to these lawsuits in the consolidated financial statements, as a negative outcome is deemed not probable, nor is any range of loss estimable as of December 31, 2024. Since the outcome of these matters cannot be predicted with certainty, any associated costs could have a material adverse effect on the Company’s consolidated results of operations, financial position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Indemnification</w:t>
      </w:r>
    </w:p>
    <w:p>
      <w:pPr>
        <w:spacing w:after="0" w:line="179"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w:t>
      </w:r>
      <w:r>
        <w:rPr>
          <w:rFonts w:ascii="Times New Roman" w:cs="Times New Roman" w:eastAsia="Times New Roman" w:hAnsi="Times New Roman"/>
          <w:sz w:val="18"/>
          <w:szCs w:val="18"/>
          <w:color w:val="000000"/>
        </w:rPr>
        <w:t>potential future amounts the Company could be</w:t>
      </w:r>
    </w:p>
    <w:p>
      <w:pPr>
        <w:spacing w:after="0" w:line="200" w:lineRule="exact"/>
        <w:rPr>
          <w:sz w:val="20"/>
          <w:szCs w:val="20"/>
          <w:color w:val="auto"/>
        </w:rPr>
      </w:pPr>
    </w:p>
    <w:p>
      <w:pPr>
        <w:spacing w:after="0" w:line="3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716026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93" w:right="379" w:bottom="1440" w:gutter="0" w:footer="0" w:header="0"/>
        </w:sectPr>
      </w:pPr>
    </w:p>
    <w:bookmarkStart w:id="153" w:name="page154"/>
    <w:bookmarkEnd w:id="15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required to make. To date, the Company has not incurred any costs as a result of such obligations and has not accrued any liabilities related to such obligations in the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14. Related Party Transactions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Fresenius Medical Care investments and distribution agreement</w:t>
      </w:r>
    </w:p>
    <w:p>
      <w:pPr>
        <w:spacing w:after="0" w:line="192"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In June 2018, the Company completed a $150 million financing transaction pursuant to which Fresenius Medical Care purchased shares of series D redeemable convertible preferred stock that at the Closing Date converted into 15,812,735 shares of Common Stock. In August 2021, Fresenius Medical Care invested $25 million as part of a private placement offering related to the Merger (the “PIPE Financing”) and received an additional 2.5 million shares of Common Stock.</w:t>
      </w:r>
    </w:p>
    <w:p>
      <w:pPr>
        <w:spacing w:after="0" w:line="143" w:lineRule="exact"/>
        <w:rPr>
          <w:sz w:val="20"/>
          <w:szCs w:val="20"/>
          <w:color w:val="auto"/>
        </w:rPr>
      </w:pPr>
    </w:p>
    <w:p>
      <w:pPr>
        <w:ind w:right="120" w:firstLine="318"/>
        <w:spacing w:after="0" w:line="249" w:lineRule="auto"/>
        <w:rPr>
          <w:sz w:val="20"/>
          <w:szCs w:val="20"/>
          <w:color w:val="auto"/>
        </w:rPr>
      </w:pPr>
      <w:r>
        <w:rPr>
          <w:rFonts w:ascii="Times New Roman" w:cs="Times New Roman" w:eastAsia="Times New Roman" w:hAnsi="Times New Roman"/>
          <w:sz w:val="18"/>
          <w:szCs w:val="18"/>
          <w:color w:val="231F20"/>
        </w:rPr>
        <w:t>In addition, the Company entered into a distribution agreement with Fresenius Medical Care in June 2018 which, as amended as of February 16, 2021, granted Fresenius Medical Care and its affiliates exclusive rights to develop outside the United States and EU and commercialize outside of the United States the Company’s 6 millimeter x 42 centimeter ATEV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PAD,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spacing w:after="0" w:line="148"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231F20"/>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spacing w:after="0" w:line="166" w:lineRule="exact"/>
        <w:rPr>
          <w:sz w:val="20"/>
          <w:szCs w:val="20"/>
          <w:color w:val="auto"/>
        </w:rPr>
      </w:pPr>
    </w:p>
    <w:p>
      <w:pPr>
        <w:ind w:right="120" w:firstLine="318"/>
        <w:spacing w:after="0" w:line="249" w:lineRule="auto"/>
        <w:rPr>
          <w:sz w:val="20"/>
          <w:szCs w:val="20"/>
          <w:color w:val="auto"/>
        </w:rPr>
      </w:pPr>
      <w:r>
        <w:rPr>
          <w:rFonts w:ascii="Times New Roman" w:cs="Times New Roman" w:eastAsia="Times New Roman" w:hAnsi="Times New Roman"/>
          <w:sz w:val="18"/>
          <w:szCs w:val="18"/>
          <w:color w:val="231F20"/>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48" w:lineRule="exact"/>
        <w:rPr>
          <w:sz w:val="20"/>
          <w:szCs w:val="20"/>
          <w:color w:val="auto"/>
        </w:rPr>
      </w:pPr>
    </w:p>
    <w:p>
      <w:pPr>
        <w:ind w:right="20" w:firstLine="318"/>
        <w:spacing w:after="0" w:line="254" w:lineRule="auto"/>
        <w:rPr>
          <w:sz w:val="20"/>
          <w:szCs w:val="20"/>
          <w:color w:val="auto"/>
        </w:rPr>
      </w:pPr>
      <w:r>
        <w:rPr>
          <w:rFonts w:ascii="Times New Roman" w:cs="Times New Roman" w:eastAsia="Times New Roman" w:hAnsi="Times New Roman"/>
          <w:sz w:val="18"/>
          <w:szCs w:val="18"/>
          <w:color w:val="231F20"/>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716026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4" w:name="page155"/>
    <w:bookmarkEnd w:id="154"/>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231F20"/>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spacing w:after="0" w:line="153"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231F20"/>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 (i) 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Frenova Renal Research</w:t>
      </w:r>
    </w:p>
    <w:p>
      <w:pPr>
        <w:spacing w:after="0" w:line="192"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May 2022 and June 2023, the Company entered into three services agreements with Frenova Renal Research (“Frenova”), a subsidiary of Fresenius Medical Care, to conduct a study to review the outcomes of 178,575 adult patients who received in-center dialysis at Fresenius Kidney Care dialysis centers. The Company expensed approximately $0.2 million for clinical research services performed by Frenova during the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xml:space="preserve"> related to these agreements. As of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the clinical research services contracted for under these agreements with Frenova were fully complete and no further expenses have been incurred related to these agreements.</w:t>
      </w:r>
    </w:p>
    <w:p>
      <w:pPr>
        <w:spacing w:after="0" w:line="148" w:lineRule="exact"/>
        <w:rPr>
          <w:sz w:val="20"/>
          <w:szCs w:val="20"/>
          <w:color w:val="auto"/>
        </w:rPr>
      </w:pPr>
    </w:p>
    <w:p>
      <w:pPr>
        <w:ind w:firstLine="318"/>
        <w:spacing w:after="0" w:line="273" w:lineRule="auto"/>
        <w:rPr>
          <w:sz w:val="20"/>
          <w:szCs w:val="20"/>
          <w:color w:val="auto"/>
        </w:rPr>
      </w:pPr>
      <w:r>
        <w:rPr>
          <w:rFonts w:ascii="Times New Roman" w:cs="Times New Roman" w:eastAsia="Times New Roman" w:hAnsi="Times New Roman"/>
          <w:sz w:val="17"/>
          <w:szCs w:val="17"/>
          <w:color w:val="auto"/>
        </w:rPr>
        <w:t xml:space="preserve">In June 2024, the Company entered into a master services agreement with Frenova that sets forth the terms by which the Company may engage Frenova to provide certain services for projects, with the services for each project being described in a separate statement of work. As of </w:t>
      </w:r>
      <w:r>
        <w:rPr>
          <w:rFonts w:ascii="Times New Roman" w:cs="Times New Roman" w:eastAsia="Times New Roman" w:hAnsi="Times New Roman"/>
          <w:sz w:val="17"/>
          <w:szCs w:val="17"/>
          <w:color w:val="231F20"/>
        </w:rPr>
        <w:t>December 31, 2024</w:t>
      </w:r>
      <w:r>
        <w:rPr>
          <w:rFonts w:ascii="Times New Roman" w:cs="Times New Roman" w:eastAsia="Times New Roman" w:hAnsi="Times New Roman"/>
          <w:sz w:val="17"/>
          <w:szCs w:val="17"/>
          <w:color w:val="auto"/>
        </w:rPr>
        <w:t xml:space="preserve">, Frenova was engaged to perform clinical research services related to the Company’s V012 Phase 3 clinical trial. During the year ended </w:t>
      </w:r>
      <w:r>
        <w:rPr>
          <w:rFonts w:ascii="Times New Roman" w:cs="Times New Roman" w:eastAsia="Times New Roman" w:hAnsi="Times New Roman"/>
          <w:sz w:val="17"/>
          <w:szCs w:val="17"/>
          <w:color w:val="231F20"/>
        </w:rPr>
        <w:t>December 31, 2024</w:t>
      </w:r>
      <w:r>
        <w:rPr>
          <w:rFonts w:ascii="Times New Roman" w:cs="Times New Roman" w:eastAsia="Times New Roman" w:hAnsi="Times New Roman"/>
          <w:sz w:val="17"/>
          <w:szCs w:val="17"/>
          <w:color w:val="auto"/>
        </w:rPr>
        <w:t xml:space="preserve">, amounts expensed in relation to this agreement with Frenova were insignificant and there was an insignificant amount payable to Frenova as of </w:t>
      </w:r>
      <w:r>
        <w:rPr>
          <w:rFonts w:ascii="Times New Roman" w:cs="Times New Roman" w:eastAsia="Times New Roman" w:hAnsi="Times New Roman"/>
          <w:sz w:val="17"/>
          <w:szCs w:val="17"/>
          <w:color w:val="231F20"/>
        </w:rPr>
        <w:t>December 31, 2024</w:t>
      </w:r>
      <w:r>
        <w:rPr>
          <w:rFonts w:ascii="Times New Roman" w:cs="Times New Roman" w:eastAsia="Times New Roman" w:hAnsi="Times New Roman"/>
          <w:sz w:val="17"/>
          <w:szCs w:val="17"/>
          <w:color w:val="auto"/>
        </w:rPr>
        <w:t>.</w:t>
      </w:r>
    </w:p>
    <w:p>
      <w:pPr>
        <w:spacing w:after="0" w:line="130" w:lineRule="exact"/>
        <w:rPr>
          <w:sz w:val="20"/>
          <w:szCs w:val="20"/>
          <w:color w:val="auto"/>
        </w:rPr>
      </w:pPr>
    </w:p>
    <w:p>
      <w:pPr>
        <w:ind w:right="300" w:firstLine="318"/>
        <w:spacing w:after="0" w:line="266" w:lineRule="auto"/>
        <w:rPr>
          <w:sz w:val="20"/>
          <w:szCs w:val="20"/>
          <w:color w:val="auto"/>
        </w:rPr>
      </w:pPr>
      <w:r>
        <w:rPr>
          <w:rFonts w:ascii="Times New Roman" w:cs="Times New Roman" w:eastAsia="Times New Roman" w:hAnsi="Times New Roman"/>
          <w:sz w:val="17"/>
          <w:szCs w:val="17"/>
          <w:color w:val="auto"/>
        </w:rPr>
        <w:t xml:space="preserve">In July 2024, the Company entered into a service agreement with Fresenius Medical Care Deutschland GmbH (“Fresenius GmbH”), which provides medical scientific research services through Frenova. Frenova agreed to conduct a study to review patient data of adult hemodialysis patients who received treatment in certain European countries at dialysis centers that are part of Fresenius Medical Care AG. Fresenius Medical Care AG is the German parent company of Fresenius GmbH and ultimately of Fresenius Medical Care. During the year ended </w:t>
      </w:r>
      <w:r>
        <w:rPr>
          <w:rFonts w:ascii="Times New Roman" w:cs="Times New Roman" w:eastAsia="Times New Roman" w:hAnsi="Times New Roman"/>
          <w:sz w:val="17"/>
          <w:szCs w:val="17"/>
          <w:color w:val="231F20"/>
        </w:rPr>
        <w:t>December 31, 2024</w:t>
      </w:r>
      <w:r>
        <w:rPr>
          <w:rFonts w:ascii="Times New Roman" w:cs="Times New Roman" w:eastAsia="Times New Roman" w:hAnsi="Times New Roman"/>
          <w:sz w:val="17"/>
          <w:szCs w:val="17"/>
          <w:color w:val="auto"/>
        </w:rPr>
        <w:t xml:space="preserve">, amounts expensed in relation to this agreement with Fresenius GmbH were approximately $0.1 million. As of </w:t>
      </w:r>
      <w:r>
        <w:rPr>
          <w:rFonts w:ascii="Times New Roman" w:cs="Times New Roman" w:eastAsia="Times New Roman" w:hAnsi="Times New Roman"/>
          <w:sz w:val="17"/>
          <w:szCs w:val="17"/>
          <w:color w:val="231F20"/>
        </w:rPr>
        <w:t>December 31, 2024</w:t>
      </w:r>
      <w:r>
        <w:rPr>
          <w:rFonts w:ascii="Times New Roman" w:cs="Times New Roman" w:eastAsia="Times New Roman" w:hAnsi="Times New Roman"/>
          <w:sz w:val="17"/>
          <w:szCs w:val="17"/>
          <w:color w:val="auto"/>
        </w:rPr>
        <w:t xml:space="preserve">, there was less than $0.1 million payable to Fresenius GmbH included in accounts payable and less than $0.1 million payable to Fresenius GmbH included in accrued expenses on the Company’s consolidated balance sheets. During the year ended </w:t>
      </w:r>
      <w:r>
        <w:rPr>
          <w:rFonts w:ascii="Times New Roman" w:cs="Times New Roman" w:eastAsia="Times New Roman" w:hAnsi="Times New Roman"/>
          <w:sz w:val="17"/>
          <w:szCs w:val="17"/>
          <w:color w:val="231F20"/>
        </w:rPr>
        <w:t>December 31, 2023</w:t>
      </w:r>
      <w:r>
        <w:rPr>
          <w:rFonts w:ascii="Times New Roman" w:cs="Times New Roman" w:eastAsia="Times New Roman" w:hAnsi="Times New Roman"/>
          <w:sz w:val="17"/>
          <w:szCs w:val="17"/>
          <w:color w:val="auto"/>
        </w:rPr>
        <w:t>, there was $0.1 million of expense recognized for services performed by Fresenius GmbH.</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716026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5" w:name="page156"/>
    <w:bookmarkEnd w:id="15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Arrangements with Yale University</w:t>
      </w:r>
    </w:p>
    <w:p>
      <w:pPr>
        <w:spacing w:after="0" w:line="179"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8"/>
          <w:szCs w:val="18"/>
          <w:color w:val="231F20"/>
        </w:rPr>
        <w:t xml:space="preserve">Dr. Niklason serves as an Adjunct Professor in Anesthesia at Yale University. As of December 31, 2024 and 2023, the Company was a party to license agreements with Yale University, as described in </w:t>
      </w:r>
      <w:r>
        <w:rPr>
          <w:rFonts w:ascii="Times New Roman" w:cs="Times New Roman" w:eastAsia="Times New Roman" w:hAnsi="Times New Roman"/>
          <w:sz w:val="18"/>
          <w:szCs w:val="18"/>
          <w:color w:val="000000"/>
        </w:rPr>
        <w:t>Note 13 — Commitments and Contingencies</w:t>
      </w:r>
      <w:r>
        <w:rPr>
          <w:rFonts w:ascii="Times New Roman" w:cs="Times New Roman" w:eastAsia="Times New Roman" w:hAnsi="Times New Roman"/>
          <w:sz w:val="18"/>
          <w:szCs w:val="18"/>
          <w:color w:val="231F20"/>
        </w:rPr>
        <w:t xml:space="preserve"> above.</w:t>
      </w:r>
    </w:p>
    <w:p>
      <w:pPr>
        <w:spacing w:after="0" w:line="128" w:lineRule="exact"/>
        <w:rPr>
          <w:sz w:val="20"/>
          <w:szCs w:val="20"/>
          <w:color w:val="auto"/>
        </w:rPr>
      </w:pPr>
    </w:p>
    <w:p>
      <w:pPr>
        <w:ind w:right="40" w:firstLine="318"/>
        <w:spacing w:after="0" w:line="271" w:lineRule="auto"/>
        <w:rPr>
          <w:sz w:val="20"/>
          <w:szCs w:val="20"/>
          <w:color w:val="auto"/>
        </w:rPr>
      </w:pPr>
      <w:r>
        <w:rPr>
          <w:rFonts w:ascii="Times New Roman" w:cs="Times New Roman" w:eastAsia="Times New Roman" w:hAnsi="Times New Roman"/>
          <w:sz w:val="18"/>
          <w:szCs w:val="18"/>
          <w:color w:val="231F20"/>
        </w:rPr>
        <w:t xml:space="preserve">Amounts expensed in relation to the license agreements with Yale University were </w:t>
      </w:r>
      <w:r>
        <w:rPr>
          <w:rFonts w:ascii="Times New Roman" w:cs="Times New Roman" w:eastAsia="Times New Roman" w:hAnsi="Times New Roman"/>
          <w:sz w:val="18"/>
          <w:szCs w:val="18"/>
          <w:color w:val="000000"/>
        </w:rPr>
        <w:t>$0.1 million during each of the years ended</w:t>
      </w:r>
      <w:r>
        <w:rPr>
          <w:rFonts w:ascii="Times New Roman" w:cs="Times New Roman" w:eastAsia="Times New Roman" w:hAnsi="Times New Roman"/>
          <w:sz w:val="18"/>
          <w:szCs w:val="18"/>
          <w:color w:val="231F20"/>
        </w:rPr>
        <w:t xml:space="preserve"> December 31, 2024 and 2023. There was an </w:t>
      </w:r>
      <w:r>
        <w:rPr>
          <w:rFonts w:ascii="Times New Roman" w:cs="Times New Roman" w:eastAsia="Times New Roman" w:hAnsi="Times New Roman"/>
          <w:sz w:val="18"/>
          <w:szCs w:val="18"/>
          <w:color w:val="000000"/>
        </w:rPr>
        <w:t>insignificant</w:t>
      </w:r>
      <w:r>
        <w:rPr>
          <w:rFonts w:ascii="Times New Roman" w:cs="Times New Roman" w:eastAsia="Times New Roman" w:hAnsi="Times New Roman"/>
          <w:sz w:val="18"/>
          <w:szCs w:val="18"/>
          <w:color w:val="231F20"/>
        </w:rPr>
        <w:t xml:space="preserve"> amount payable to Yale as of December 31, 2024 and 2023.</w:t>
      </w:r>
    </w:p>
    <w:p>
      <w:pPr>
        <w:spacing w:after="0" w:line="139" w:lineRule="exact"/>
        <w:rPr>
          <w:sz w:val="20"/>
          <w:szCs w:val="20"/>
          <w:color w:val="auto"/>
        </w:rPr>
      </w:pPr>
    </w:p>
    <w:p>
      <w:pPr>
        <w:ind w:right="9320" w:firstLine="6"/>
        <w:spacing w:after="0" w:line="472" w:lineRule="auto"/>
        <w:tabs>
          <w:tab w:leader="none" w:pos="265" w:val="left"/>
        </w:tabs>
        <w:numPr>
          <w:ilvl w:val="0"/>
          <w:numId w:val="6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Subsequent Events Public Offering</w:t>
      </w:r>
    </w:p>
    <w:p>
      <w:pPr>
        <w:spacing w:after="0" w:line="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On March 25, 2025, the Company entered into an underwriting agreement with TD Securities (USA) LLC, Barclays Capital Inc. and BTIG, LLC, as representatives of the several underwriters named therein, relating to the issuance and sale in an underwritten offering (the “Public Offering”) of 25,000,000 shares of Common Stock, at a price to the public of $2.00 per share (the “Firm Shares”). The Company also granted the underwriters a 30-day option to purchase up to an additional 3,750,000 shares of Common Stock at the same price as the Firm Shares. The net proceeds to the Company from the Public Offering were approximately $46.6 million after deducting underwriting discounts and commissions and estimated Public Offering expenses. The Public Offering closed on March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716026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293" w:right="559" w:bottom="1440" w:gutter="0" w:footer="0" w:header="0"/>
        </w:sectPr>
      </w:pPr>
    </w:p>
    <w:bookmarkStart w:id="156" w:name="page157"/>
    <w:bookmarkEnd w:id="15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9"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7"/>
          <w:szCs w:val="17"/>
          <w:color w:val="auto"/>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123" w:lineRule="exact"/>
        <w:rPr>
          <w:sz w:val="20"/>
          <w:szCs w:val="20"/>
          <w:color w:val="auto"/>
        </w:rPr>
      </w:pPr>
    </w:p>
    <w:p>
      <w:pPr>
        <w:ind w:right="140" w:firstLine="318"/>
        <w:spacing w:after="0" w:line="254" w:lineRule="auto"/>
        <w:rPr>
          <w:sz w:val="20"/>
          <w:szCs w:val="20"/>
          <w:color w:val="auto"/>
        </w:rPr>
      </w:pPr>
      <w:r>
        <w:rPr>
          <w:rFonts w:ascii="Times New Roman" w:cs="Times New Roman" w:eastAsia="Times New Roman" w:hAnsi="Times New Roman"/>
          <w:sz w:val="18"/>
          <w:szCs w:val="18"/>
          <w:color w:val="auto"/>
        </w:rPr>
        <w:t>As of December 31, 2024,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92"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the financial statements for external purposes in accordance with U.S. GAAP. A control system, no matter how well designed and operated, can only provide reasonable, not absolute, assurance that the objectives of the control system are met. Because of these inherent limitations, management does not expect that our internal controls over financial reporting will prevent all errors and all fraud. Also, projections of any evaluation of effectiveness to future periods are subject to the risk that controls may become inadequate because of changes in conditions, or that the degree of compliance with our policies and procedures may deteriorate. Our management, under the supervision of and with the participation of our Chief Executive Officer and Chief Financial Officer, conducted an evaluation of our internal control over financial reporting based on the framework in Internal Control—Integrated Framework issued in 2013 by the Committee of Sponsoring Organizations of the Treadway Commission. Based on the results of its evaluation, management concluded that our internal control over financial reporting was effective as of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19"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We are an “emerging growth company” as defined in the JOBS Act and we are a non-accelerated filer. For as long as we remain either an “emerging growth company” or a non-accelerated filer, we are exempt from the auditor attestation requirement in the assessment of the effectiveness of our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9"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 13a-15(f) and 15d-15(f) under the Exchange Act) during the three months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7" w:name="page158"/>
    <w:bookmarkEnd w:id="15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7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On September 12, 2024, William (B.J.) Scheessele, the Company’s Chief Commercial Officer, adopted a trading arrangement for the sale of Common Stock that is intended to satisfy the affirmative defense conditions provided by Rule 10b5-1(c) under the Exchange Act. (the “Scheessele 10b5-1 Plan”). The Scheessele 10b5-1 Plan provides for a first possible trade date of December 11, 2024 and terminates automatically on the earlier of the execution of all trades contemplated by the Scheessele 10b5-1 Plan, or September 11, 2025. The Scheessele 10b5-1 Plan provides for the exercise of options to purchase up to 89,050 shares of Common Stock and the related sale of up to 85,900 shares of Common Stock pursuant to its terms.</w:t>
      </w:r>
    </w:p>
    <w:p>
      <w:pPr>
        <w:spacing w:after="0" w:line="148" w:lineRule="exact"/>
        <w:rPr>
          <w:sz w:val="20"/>
          <w:szCs w:val="20"/>
          <w:color w:val="auto"/>
        </w:rPr>
      </w:pPr>
    </w:p>
    <w:p>
      <w:pPr>
        <w:jc w:val="both"/>
        <w:ind w:right="100" w:firstLine="318"/>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(as defined in Rule 16a-1(f) under the Exchange Act) of the Company adopted or terminated any “Rule 10b5-1 trading arrangement” or any “non Rule 10b5-1 trading arrangement,” as each term is defined in Item 408(a) of Regulation S-K.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58" w:name="page159"/>
    <w:bookmarkEnd w:id="15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10. Directors, Executive Officers and Corporate Governance.</w:t>
      </w:r>
    </w:p>
    <w:p>
      <w:pPr>
        <w:spacing w:after="0" w:line="17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231F20"/>
        </w:rPr>
        <w:t>Incorporated by reference from the information in our Proxy Statement for our 2025 Annual Meeting of Stockholders, which we will file with the SEC within 120 days of the end of the fiscal year to which this Annual Report on Form 10-K relates.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11. Executive Compensation.</w:t>
      </w:r>
    </w:p>
    <w:p>
      <w:pPr>
        <w:spacing w:after="0" w:line="17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231F20"/>
        </w:rPr>
        <w:t>Incorporated by reference from the information in our Proxy Statement for our 2025 Annual Meeting of Stockholders, which we will file with the SEC within 120 days of the end of the fiscal year to which this Annual Report on Form 10-K relates.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12. Security Ownership of Certain Beneficial Owners and Management and Related Stockholder Matters.</w:t>
      </w:r>
    </w:p>
    <w:p>
      <w:pPr>
        <w:spacing w:after="0" w:line="192"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231F20"/>
        </w:rPr>
        <w:t>Incorporated by reference from the information in our Proxy Statement for our 2025 Annual Meeting of Stockholders, which we will file with the SEC within 120 days of the end of the fiscal year to which this Annual Report on Form 10-K relates.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13. Certain Relationships and Related Transactions, and Director Independence</w:t>
      </w:r>
    </w:p>
    <w:p>
      <w:pPr>
        <w:spacing w:after="0" w:line="17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231F20"/>
        </w:rPr>
        <w:t>Incorporated by reference from the information in our Proxy Statement for our 2025 Annual Meeting of Stockholders, which we will file with the SEC within 120 days of the end of the fiscal year to which this Annual Report on Form 10-K relates.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14. Principal Accountant Fees and Services</w:t>
      </w:r>
    </w:p>
    <w:p>
      <w:pPr>
        <w:spacing w:after="0" w:line="17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231F20"/>
        </w:rPr>
        <w:t>Incorporated by reference from the information in our Proxy Statement for our 2025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33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80"/>
          </w:cols>
          <w:pgMar w:left="320" w:top="293" w:right="599" w:bottom="1440" w:gutter="0" w:footer="0" w:header="0"/>
        </w:sectPr>
      </w:pPr>
    </w:p>
    <w:bookmarkStart w:id="159" w:name="page160"/>
    <w:bookmarkEnd w:id="15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15. Exhibits and Financial Statement Schedules.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financial statements are included in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List of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by this item are listed in Item 8, “Financial Statements and Supplementary Data” herein.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List of Financial Statement Schedules:</w:t>
      </w:r>
    </w:p>
    <w:p>
      <w:pPr>
        <w:spacing w:after="0" w:line="192"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notes thereto.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List of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900" w:type="dxa"/>
            <w:vAlign w:val="bottom"/>
            <w:gridSpan w:val="23"/>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36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560" w:type="dxa"/>
            <w:vAlign w:val="bottom"/>
            <w:tcBorders>
              <w:top w:val="single" w:sz="8" w:color="auto"/>
            </w:tcBorders>
            <w:gridSpan w:val="28"/>
          </w:tcPr>
          <w:p>
            <w:pPr>
              <w:spacing w:after="0" w:line="178"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Second Amended and Restated Certificate of Incorporation of Humacyte, Inc. (incorporated by reference to Exhibit 3.1 to</w:t>
              </w:r>
            </w:hyperlink>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20" w:type="dxa"/>
            <w:vAlign w:val="bottom"/>
            <w:tcBorders>
              <w:top w:val="single" w:sz="8" w:color="0000FF"/>
            </w:tcBorders>
            <w:gridSpan w:val="12"/>
          </w:tcPr>
          <w:p>
            <w:pPr>
              <w:spacing w:after="0" w:line="165"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Humacyte, Inc.’s Current Report on Form 8–K, filed with the SEC on August 27, 2021).</w:t>
              </w:r>
            </w:hyperlink>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9"/>
          </w:tcPr>
          <w:p>
            <w:pPr>
              <w:spacing w:after="0" w:line="205"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Amended and Restated By Laws of Humacyte, Inc. (incorporated by reference to Exhibit 3.2 to Humacyte, Inc.’s Current Report on</w:t>
              </w:r>
            </w:hyperlink>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top w:val="single" w:sz="8" w:color="0000FF"/>
            </w:tcBorders>
            <w:gridSpan w:val="22"/>
          </w:tcPr>
          <w:p>
            <w:pPr>
              <w:spacing w:after="0" w:line="165"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Form 8–K, filed with the SEC on December 12, 2022).</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9"/>
          </w:tcPr>
          <w:p>
            <w:pPr>
              <w:spacing w:after="0" w:line="205"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Warrant Agreement, dated September 17, 2020, by and between Alpha Healthcare Acquisition Corp. and Continental Stock</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gridSpan w:val="29"/>
          </w:tcPr>
          <w:p>
            <w:pPr>
              <w:spacing w:after="0" w:line="165"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Transfer &amp; Trust Company, as warrant agent (incorporated by reference to Exhibit 4.1 to Alpha Healthcare Acquisition Corp.’s Annual</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Report on Form 10–K/A, filed with the SEC on May 14, 2021).</w:t>
              </w:r>
            </w:hyperlink>
          </w:p>
        </w:tc>
        <w:tc>
          <w:tcPr>
            <w:tcW w:w="5040" w:type="dxa"/>
            <w:vAlign w:val="bottom"/>
            <w:tcBorders>
              <w:top w:val="single" w:sz="8" w:color="0000FF"/>
            </w:tcBorders>
            <w:gridSpan w:val="20"/>
          </w:tcPr>
          <w:p>
            <w:pPr>
              <w:spacing w:after="0"/>
              <w:rPr>
                <w:sz w:val="13"/>
                <w:szCs w:val="13"/>
                <w:color w:val="auto"/>
              </w:rPr>
            </w:pPr>
          </w:p>
        </w:tc>
        <w:tc>
          <w:tcPr>
            <w:tcW w:w="2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9"/>
          </w:tcPr>
          <w:p>
            <w:pPr>
              <w:spacing w:after="0" w:line="205"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Form of Subscription Agreement (incorporated by reference to Exhibit 10.3 to Humacyte, Inc.’s Registration Statement on S–4/A,</w:t>
              </w:r>
            </w:hyperlink>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0" w:type="dxa"/>
            <w:vAlign w:val="bottom"/>
            <w:tcBorders>
              <w:top w:val="single" w:sz="8" w:color="0000FF"/>
            </w:tcBorders>
            <w:gridSpan w:val="19"/>
          </w:tcPr>
          <w:p>
            <w:pPr>
              <w:spacing w:after="0" w:line="165"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filed with the SEC on August 2, 2021).</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9"/>
          </w:tcPr>
          <w:p>
            <w:pPr>
              <w:spacing w:after="0" w:line="205"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Form of Investor Rights and Lock–up Agreement (incorporated by reference to Exhibit A of Annex A to the proxy</w:t>
              </w:r>
            </w:hyperlink>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00" w:type="dxa"/>
            <w:vAlign w:val="bottom"/>
            <w:tcBorders>
              <w:top w:val="single" w:sz="8" w:color="0000FF"/>
              <w:bottom w:val="single" w:sz="8" w:color="0000FF"/>
            </w:tcBorders>
            <w:gridSpan w:val="10"/>
          </w:tcPr>
          <w:p>
            <w:pPr>
              <w:spacing w:after="0" w:line="165" w:lineRule="exact"/>
              <w:rPr>
                <w:rFonts w:ascii="Times New Roman" w:cs="Times New Roman" w:eastAsia="Times New Roman" w:hAnsi="Times New Roman"/>
                <w:sz w:val="18"/>
                <w:szCs w:val="18"/>
                <w:color w:val="0000FF"/>
                <w:w w:val="97"/>
              </w:rPr>
            </w:pPr>
            <w:hyperlink r:id="rId224">
              <w:r>
                <w:rPr>
                  <w:rFonts w:ascii="Times New Roman" w:cs="Times New Roman" w:eastAsia="Times New Roman" w:hAnsi="Times New Roman"/>
                  <w:sz w:val="18"/>
                  <w:szCs w:val="18"/>
                  <w:color w:val="0000FF"/>
                  <w:w w:val="97"/>
                </w:rPr>
                <w:t>statement/prospectus contained in Humacyte, Inc.'s Registration Statement on S-4/A, filed with the SEC on August</w:t>
              </w:r>
            </w:hyperlink>
          </w:p>
        </w:tc>
        <w:tc>
          <w:tcPr>
            <w:tcW w:w="720" w:type="dxa"/>
            <w:vAlign w:val="bottom"/>
            <w:tcBorders>
              <w:bottom w:val="single" w:sz="8" w:color="0000FF"/>
            </w:tcBorders>
            <w:gridSpan w:val="5"/>
          </w:tcPr>
          <w:p>
            <w:pPr>
              <w:jc w:val="right"/>
              <w:spacing w:after="0" w:line="165"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2, 2021).</w:t>
              </w:r>
            </w:hyperlink>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3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4.4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9"/>
          </w:tcPr>
          <w:p>
            <w:pPr>
              <w:spacing w:after="0" w:line="205"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Warrant to Purchase Common Stock, dated March 30, 2021 (incorporated by reference to Exhibit 10.6.1 to Humacyte, Inc.’s</w:t>
              </w:r>
            </w:hyperlink>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80" w:type="dxa"/>
            <w:vAlign w:val="bottom"/>
            <w:tcBorders>
              <w:top w:val="single" w:sz="8" w:color="0000FF"/>
            </w:tcBorders>
            <w:gridSpan w:val="14"/>
          </w:tcPr>
          <w:p>
            <w:pPr>
              <w:spacing w:after="0" w:line="165"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Registration Statement on S–4/A, filed with the SEC on June 14, 2021).</w:t>
              </w:r>
            </w:hyperlink>
          </w:p>
        </w:tc>
        <w:tc>
          <w:tcPr>
            <w:tcW w:w="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4.5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9"/>
          </w:tcPr>
          <w:p>
            <w:pPr>
              <w:spacing w:after="0" w:line="205"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Warrant to Purchase Common Stock, dated March 30, 2021 (incorporated by reference to Exhibit 10.6.2 to Humacyte, Inc.’s</w:t>
              </w:r>
            </w:hyperlink>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80" w:type="dxa"/>
            <w:vAlign w:val="bottom"/>
            <w:tcBorders>
              <w:top w:val="single" w:sz="8" w:color="0000FF"/>
            </w:tcBorders>
            <w:gridSpan w:val="14"/>
          </w:tcPr>
          <w:p>
            <w:pPr>
              <w:spacing w:after="0" w:line="165"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Registration Statement on S–4/A, filed with the SEC on June 14, 2021).</w:t>
              </w:r>
            </w:hyperlink>
          </w:p>
        </w:tc>
        <w:tc>
          <w:tcPr>
            <w:tcW w:w="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4.6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9"/>
          </w:tcPr>
          <w:p>
            <w:pPr>
              <w:spacing w:after="0" w:line="205"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Form of Common Stock Purchase Warrant (incorporated by reference to Exhibit 4.1 to Humacyte, Inc.’s Current Report on Form 8-K,</w:t>
              </w:r>
            </w:hyperlink>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tcBorders>
              <w:top w:val="single" w:sz="8" w:color="0000FF"/>
            </w:tcBorders>
            <w:gridSpan w:val="25"/>
          </w:tcPr>
          <w:p>
            <w:pPr>
              <w:spacing w:after="0" w:line="165"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filed with the SEC on October 7, 2024).</w:t>
              </w:r>
            </w:hyperlink>
          </w:p>
        </w:tc>
        <w:tc>
          <w:tcPr>
            <w:tcW w:w="2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4.7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9"/>
          </w:tcPr>
          <w:p>
            <w:pPr>
              <w:spacing w:after="0" w:line="205"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Form of Common Stock Purchase Warrant (incorporated by reference to Exhibit 4.1 to Humacyte, Inc.’s Current Report on Form 8-K,</w:t>
              </w:r>
            </w:hyperlink>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tcBorders>
              <w:top w:val="single" w:sz="8" w:color="0000FF"/>
            </w:tcBorders>
            <w:gridSpan w:val="25"/>
          </w:tcPr>
          <w:p>
            <w:pPr>
              <w:spacing w:after="0" w:line="165"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filed with the SEC on November 14, 2024).</w:t>
              </w:r>
            </w:hyperlink>
          </w:p>
        </w:tc>
        <w:tc>
          <w:tcPr>
            <w:tcW w:w="2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4.8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tcBorders>
              <w:bottom w:val="single" w:sz="8" w:color="0000FF"/>
            </w:tcBorders>
            <w:gridSpan w:val="17"/>
          </w:tcPr>
          <w:p>
            <w:pPr>
              <w:spacing w:after="0" w:line="205" w:lineRule="exact"/>
              <w:rPr>
                <w:rFonts w:ascii="Times New Roman" w:cs="Times New Roman" w:eastAsia="Times New Roman" w:hAnsi="Times New Roman"/>
                <w:sz w:val="18"/>
                <w:szCs w:val="18"/>
                <w:color w:val="0000FF"/>
                <w:w w:val="97"/>
              </w:rPr>
            </w:pPr>
            <w:hyperlink r:id="rId229">
              <w:r>
                <w:rPr>
                  <w:rFonts w:ascii="Times New Roman" w:cs="Times New Roman" w:eastAsia="Times New Roman" w:hAnsi="Times New Roman"/>
                  <w:sz w:val="18"/>
                  <w:szCs w:val="18"/>
                  <w:color w:val="0000FF"/>
                  <w:w w:val="97"/>
                </w:rPr>
                <w:t>Description of the Company’s securities registered pursuant to Section 12 of the Securities Exchange Act of 1934, as amended,</w:t>
              </w:r>
            </w:hyperlink>
          </w:p>
        </w:tc>
        <w:tc>
          <w:tcPr>
            <w:tcW w:w="8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bottom w:val="single" w:sz="8" w:color="0000FF"/>
            </w:tcBorders>
            <w:gridSpan w:val="21"/>
          </w:tcPr>
          <w:p>
            <w:pPr>
              <w:spacing w:after="0" w:line="165" w:lineRule="exact"/>
              <w:rPr>
                <w:rFonts w:ascii="Times New Roman" w:cs="Times New Roman" w:eastAsia="Times New Roman" w:hAnsi="Times New Roman"/>
                <w:sz w:val="18"/>
                <w:szCs w:val="18"/>
                <w:color w:val="0000FF"/>
                <w:w w:val="97"/>
              </w:rPr>
            </w:pPr>
            <w:hyperlink r:id="rId229">
              <w:r>
                <w:rPr>
                  <w:rFonts w:ascii="Times New Roman" w:cs="Times New Roman" w:eastAsia="Times New Roman" w:hAnsi="Times New Roman"/>
                  <w:sz w:val="18"/>
                  <w:szCs w:val="18"/>
                  <w:color w:val="0000FF"/>
                  <w:w w:val="97"/>
                </w:rPr>
                <w:t xml:space="preserve">(incorporated by reference to Exhibit </w:t>
              </w:r>
            </w:hyperlink>
            <w:r>
              <w:rPr>
                <w:rFonts w:ascii="Times New Roman" w:cs="Times New Roman" w:eastAsia="Times New Roman" w:hAnsi="Times New Roman"/>
                <w:sz w:val="18"/>
                <w:szCs w:val="18"/>
                <w:color w:val="0000FF"/>
                <w:w w:val="97"/>
              </w:rPr>
              <w:t xml:space="preserve">4.6 </w:t>
            </w:r>
            <w:hyperlink r:id="rId229">
              <w:r>
                <w:rPr>
                  <w:rFonts w:ascii="Times New Roman" w:cs="Times New Roman" w:eastAsia="Times New Roman" w:hAnsi="Times New Roman"/>
                  <w:sz w:val="18"/>
                  <w:szCs w:val="18"/>
                  <w:color w:val="0000FF"/>
                  <w:w w:val="97"/>
                </w:rPr>
                <w:t xml:space="preserve">to Humacyte, Inc.’s Annual Report on Form 10-K filed with the SEC on March </w:t>
              </w:r>
            </w:hyperlink>
            <w:r>
              <w:rPr>
                <w:rFonts w:ascii="Times New Roman" w:cs="Times New Roman" w:eastAsia="Times New Roman" w:hAnsi="Times New Roman"/>
                <w:sz w:val="18"/>
                <w:szCs w:val="18"/>
                <w:color w:val="0000FF"/>
                <w:w w:val="97"/>
              </w:rPr>
              <w:t xml:space="preserve">28, </w:t>
            </w:r>
            <w:hyperlink r:id="rId229">
              <w:r>
                <w:rPr>
                  <w:rFonts w:ascii="Times New Roman" w:cs="Times New Roman" w:eastAsia="Times New Roman" w:hAnsi="Times New Roman"/>
                  <w:sz w:val="18"/>
                  <w:szCs w:val="18"/>
                  <w:color w:val="0000FF"/>
                  <w:w w:val="97"/>
                </w:rPr>
                <w:t>2024).</w:t>
              </w:r>
            </w:hyperlink>
          </w:p>
        </w:tc>
        <w:tc>
          <w:tcPr>
            <w:tcW w:w="4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8"/>
              </w:rPr>
            </w:pPr>
            <w:hyperlink r:id="rId230">
              <w:r>
                <w:rPr>
                  <w:rFonts w:ascii="Times New Roman" w:cs="Times New Roman" w:eastAsia="Times New Roman" w:hAnsi="Times New Roman"/>
                  <w:sz w:val="18"/>
                  <w:szCs w:val="18"/>
                  <w:color w:val="0000FF"/>
                  <w:w w:val="98"/>
                </w:rPr>
                <w:t>Revenue Interest Purchase Agreement, dated as of May 12, 2023, by and among Humacyte Global, Inc., Humacyte, Inc. and Hook SA</w:t>
              </w:r>
            </w:hyperlink>
          </w:p>
        </w:tc>
        <w:tc>
          <w:tcPr>
            <w:tcW w:w="2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29"/>
          </w:tcPr>
          <w:p>
            <w:pPr>
              <w:spacing w:after="0" w:line="192"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LLC, (incorporated by reference to Exhibit 10.1 to Humacyte, Inc.’s Quarterly Report on Form 10-Q filed with the SEC on August 14,</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top w:val="single" w:sz="8" w:color="0000FF"/>
              <w:bottom w:val="single" w:sz="8" w:color="0000FF"/>
            </w:tcBorders>
            <w:gridSpan w:val="2"/>
          </w:tcPr>
          <w:p>
            <w:pPr>
              <w:spacing w:after="0" w:line="178" w:lineRule="exact"/>
              <w:rPr>
                <w:rFonts w:ascii="Times New Roman" w:cs="Times New Roman" w:eastAsia="Times New Roman" w:hAnsi="Times New Roman"/>
                <w:sz w:val="18"/>
                <w:szCs w:val="18"/>
                <w:color w:val="0000FF"/>
                <w:w w:val="98"/>
              </w:rPr>
            </w:pPr>
            <w:hyperlink r:id="rId230">
              <w:r>
                <w:rPr>
                  <w:rFonts w:ascii="Times New Roman" w:cs="Times New Roman" w:eastAsia="Times New Roman" w:hAnsi="Times New Roman"/>
                  <w:sz w:val="18"/>
                  <w:szCs w:val="18"/>
                  <w:color w:val="0000FF"/>
                  <w:w w:val="98"/>
                </w:rPr>
                <w:t>2023).</w:t>
              </w:r>
            </w:hyperlink>
          </w:p>
        </w:tc>
        <w:tc>
          <w:tcPr>
            <w:tcW w:w="22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8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29"/>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Waiver, dated as of February 18, 2024, by and among Humacyte Global, Inc., Humacyte, Inc. and Hook SA LLC, (incorporated by</w:t>
              </w:r>
            </w:hyperlink>
          </w:p>
        </w:tc>
        <w:tc>
          <w:tcPr>
            <w:tcW w:w="0" w:type="dxa"/>
            <w:vAlign w:val="bottom"/>
          </w:tcPr>
          <w:p>
            <w:pPr>
              <w:spacing w:after="0"/>
              <w:rPr>
                <w:sz w:val="1"/>
                <w:szCs w:val="1"/>
                <w:color w:val="auto"/>
              </w:rPr>
            </w:pPr>
          </w:p>
        </w:tc>
      </w:tr>
      <w:tr>
        <w:trPr>
          <w:trHeight w:val="192"/>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Borders>
              <w:top w:val="single" w:sz="8" w:color="0000FF"/>
              <w:bottom w:val="single" w:sz="8" w:color="0000FF"/>
            </w:tcBorders>
            <w:gridSpan w:val="11"/>
          </w:tcPr>
          <w:p>
            <w:pPr>
              <w:spacing w:after="0" w:line="192" w:lineRule="exact"/>
              <w:rPr>
                <w:rFonts w:ascii="Times New Roman" w:cs="Times New Roman" w:eastAsia="Times New Roman" w:hAnsi="Times New Roman"/>
                <w:sz w:val="18"/>
                <w:szCs w:val="18"/>
                <w:color w:val="0000FF"/>
                <w:w w:val="97"/>
              </w:rPr>
            </w:pPr>
            <w:hyperlink r:id="rId231">
              <w:r>
                <w:rPr>
                  <w:rFonts w:ascii="Times New Roman" w:cs="Times New Roman" w:eastAsia="Times New Roman" w:hAnsi="Times New Roman"/>
                  <w:sz w:val="18"/>
                  <w:szCs w:val="18"/>
                  <w:color w:val="0000FF"/>
                  <w:w w:val="97"/>
                </w:rPr>
                <w:t>reference to Exhibit 10.1.2 to Humacyte, Inc.’s Annual Report on Form 10-K filed with the SEC on March 28, 2024).</w:t>
              </w:r>
            </w:hyperlink>
          </w:p>
        </w:tc>
        <w:tc>
          <w:tcPr>
            <w:tcW w:w="940" w:type="dxa"/>
            <w:vAlign w:val="bottom"/>
            <w:tcBorders>
              <w:top w:val="single" w:sz="8" w:color="0000FF"/>
            </w:tcBorders>
            <w:gridSpan w:val="9"/>
          </w:tcPr>
          <w:p>
            <w:pPr>
              <w:spacing w:after="0"/>
              <w:rPr>
                <w:sz w:val="16"/>
                <w:szCs w:val="16"/>
                <w:color w:val="auto"/>
              </w:rPr>
            </w:pPr>
          </w:p>
        </w:tc>
        <w:tc>
          <w:tcPr>
            <w:tcW w:w="54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7"/>
              </w:rPr>
            </w:pPr>
            <w:hyperlink r:id="rId232">
              <w:r>
                <w:rPr>
                  <w:rFonts w:ascii="Times New Roman" w:cs="Times New Roman" w:eastAsia="Times New Roman" w:hAnsi="Times New Roman"/>
                  <w:sz w:val="18"/>
                  <w:szCs w:val="18"/>
                  <w:color w:val="0000FF"/>
                  <w:w w:val="97"/>
                </w:rPr>
                <w:t>Waiver and Amendment, dated as of May 8, 2024, by and among Humacyte Global, Inc., Humacyte, Inc. and Hook SA LLC,</w:t>
              </w:r>
            </w:hyperlink>
          </w:p>
        </w:tc>
        <w:tc>
          <w:tcPr>
            <w:tcW w:w="92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29"/>
          </w:tcPr>
          <w:p>
            <w:pPr>
              <w:spacing w:after="0" w:line="192"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(incorporated by reference to Exhibit 10.1 to Humacyte, Inc.’s Quarterly Report on Form 10-Q filed with the SEC on August 13,</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top w:val="single" w:sz="8" w:color="0000FF"/>
              <w:bottom w:val="single" w:sz="8" w:color="0000FF"/>
            </w:tcBorders>
            <w:gridSpan w:val="2"/>
          </w:tcPr>
          <w:p>
            <w:pPr>
              <w:spacing w:after="0" w:line="178" w:lineRule="exact"/>
              <w:rPr>
                <w:rFonts w:ascii="Times New Roman" w:cs="Times New Roman" w:eastAsia="Times New Roman" w:hAnsi="Times New Roman"/>
                <w:sz w:val="18"/>
                <w:szCs w:val="18"/>
                <w:color w:val="0000FF"/>
                <w:w w:val="98"/>
              </w:rPr>
            </w:pPr>
            <w:hyperlink r:id="rId232">
              <w:r>
                <w:rPr>
                  <w:rFonts w:ascii="Times New Roman" w:cs="Times New Roman" w:eastAsia="Times New Roman" w:hAnsi="Times New Roman"/>
                  <w:sz w:val="18"/>
                  <w:szCs w:val="18"/>
                  <w:color w:val="0000FF"/>
                  <w:w w:val="98"/>
                </w:rPr>
                <w:t>2024).</w:t>
              </w:r>
            </w:hyperlink>
          </w:p>
        </w:tc>
        <w:tc>
          <w:tcPr>
            <w:tcW w:w="22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8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7"/>
              </w:rPr>
            </w:pPr>
            <w:hyperlink r:id="rId233">
              <w:r>
                <w:rPr>
                  <w:rFonts w:ascii="Times New Roman" w:cs="Times New Roman" w:eastAsia="Times New Roman" w:hAnsi="Times New Roman"/>
                  <w:sz w:val="18"/>
                  <w:szCs w:val="18"/>
                  <w:color w:val="0000FF"/>
                  <w:w w:val="97"/>
                </w:rPr>
                <w:t>Option Agreement, dated as of May 12, 2023, by and among Humacyte, Inc., TPC Investments III LP and TPC Investments Solutions</w:t>
              </w:r>
            </w:hyperlink>
          </w:p>
        </w:tc>
        <w:tc>
          <w:tcPr>
            <w:tcW w:w="30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29"/>
          </w:tcPr>
          <w:p>
            <w:pPr>
              <w:spacing w:after="0" w:line="192"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LP. (incorporated by reference to Exhibit 4.1 to Humacyte, Inc.’s Registration Statement on Form S-3, filed with the SEC on June 9,</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78" w:lineRule="exact"/>
              <w:rPr>
                <w:rFonts w:ascii="Times New Roman" w:cs="Times New Roman" w:eastAsia="Times New Roman" w:hAnsi="Times New Roman"/>
                <w:sz w:val="18"/>
                <w:szCs w:val="18"/>
                <w:color w:val="0000FF"/>
                <w:w w:val="94"/>
              </w:rPr>
            </w:pPr>
            <w:hyperlink r:id="rId233">
              <w:r>
                <w:rPr>
                  <w:rFonts w:ascii="Times New Roman" w:cs="Times New Roman" w:eastAsia="Times New Roman" w:hAnsi="Times New Roman"/>
                  <w:sz w:val="18"/>
                  <w:szCs w:val="18"/>
                  <w:color w:val="0000FF"/>
                  <w:w w:val="94"/>
                </w:rPr>
                <w:t>2023).</w:t>
              </w:r>
            </w:hyperlink>
          </w:p>
        </w:tc>
        <w:tc>
          <w:tcPr>
            <w:tcW w:w="20" w:type="dxa"/>
            <w:vAlign w:val="bottom"/>
            <w:tcBorders>
              <w:top w:val="single" w:sz="8" w:color="0000FF"/>
            </w:tcBorders>
          </w:tcPr>
          <w:p>
            <w:pPr>
              <w:spacing w:after="0"/>
              <w:rPr>
                <w:sz w:val="15"/>
                <w:szCs w:val="15"/>
                <w:color w:val="auto"/>
              </w:rPr>
            </w:pPr>
          </w:p>
        </w:tc>
        <w:tc>
          <w:tcPr>
            <w:tcW w:w="22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8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9"/>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60" w:name="page161"/>
    <w:bookmarkEnd w:id="160"/>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620" w:type="dxa"/>
            <w:vAlign w:val="bottom"/>
            <w:gridSpan w:val="31"/>
          </w:tcPr>
          <w:p>
            <w:pPr>
              <w:ind w:left="1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3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60" w:type="dxa"/>
            <w:vAlign w:val="bottom"/>
            <w:tcBorders>
              <w:bottom w:val="single" w:sz="8" w:color="0000FF"/>
            </w:tcBorders>
            <w:gridSpan w:val="15"/>
          </w:tcPr>
          <w:p>
            <w:pPr>
              <w:spacing w:after="0" w:line="192" w:lineRule="exact"/>
              <w:rPr>
                <w:rFonts w:ascii="Times New Roman" w:cs="Times New Roman" w:eastAsia="Times New Roman" w:hAnsi="Times New Roman"/>
                <w:sz w:val="18"/>
                <w:szCs w:val="18"/>
                <w:color w:val="0000FF"/>
                <w:w w:val="97"/>
              </w:rPr>
            </w:pPr>
            <w:hyperlink r:id="rId236">
              <w:r>
                <w:rPr>
                  <w:rFonts w:ascii="Times New Roman" w:cs="Times New Roman" w:eastAsia="Times New Roman" w:hAnsi="Times New Roman"/>
                  <w:sz w:val="18"/>
                  <w:szCs w:val="18"/>
                  <w:color w:val="0000FF"/>
                  <w:w w:val="97"/>
                </w:rPr>
                <w:t>Open Market Sale Agreement, dated September 1, 2022, by and between Humacyte, Inc. and Jefferies LLC, (incorporated by</w:t>
              </w:r>
            </w:hyperlink>
          </w:p>
        </w:tc>
        <w:tc>
          <w:tcPr>
            <w:tcW w:w="92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36"/>
          </w:tcPr>
          <w:p>
            <w:pPr>
              <w:spacing w:after="0" w:line="178"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reference to Exhibit 1.2 to Humacyte, Inc.’s Registration Statement on Form S-3 (File No. 333-267225), filed with the SEC on</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3"/>
          </w:tcPr>
          <w:p>
            <w:pPr>
              <w:spacing w:after="0" w:line="178" w:lineRule="exact"/>
              <w:rPr>
                <w:rFonts w:ascii="Times New Roman" w:cs="Times New Roman" w:eastAsia="Times New Roman" w:hAnsi="Times New Roman"/>
                <w:sz w:val="18"/>
                <w:szCs w:val="18"/>
                <w:color w:val="0000FF"/>
                <w:w w:val="97"/>
              </w:rPr>
            </w:pPr>
            <w:hyperlink r:id="rId236">
              <w:r>
                <w:rPr>
                  <w:rFonts w:ascii="Times New Roman" w:cs="Times New Roman" w:eastAsia="Times New Roman" w:hAnsi="Times New Roman"/>
                  <w:sz w:val="18"/>
                  <w:szCs w:val="18"/>
                  <w:color w:val="0000FF"/>
                  <w:w w:val="97"/>
                </w:rPr>
                <w:t>September 1, 2022).</w:t>
              </w:r>
            </w:hyperlink>
          </w:p>
        </w:tc>
        <w:tc>
          <w:tcPr>
            <w:tcW w:w="752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Purchase Agreement, dated as of September 24, 2024, by and between Humacyte, Inc. and Lincoln Park Capital Fund, LLC</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(incorporated by reference to Exhibit 10.1 to Humacyte Inc.’s Current Report on Form 8-K, filed with the SEC on September</w:t>
              </w:r>
            </w:hyperlink>
          </w:p>
        </w:tc>
        <w:tc>
          <w:tcPr>
            <w:tcW w:w="460" w:type="dxa"/>
            <w:vAlign w:val="bottom"/>
            <w:gridSpan w:val="11"/>
          </w:tcPr>
          <w:p>
            <w:pPr>
              <w:jc w:val="right"/>
              <w:ind w:right="100"/>
              <w:spacing w:after="0" w:line="152" w:lineRule="exact"/>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2024).</w:t>
              </w:r>
            </w:hyperlink>
          </w:p>
        </w:tc>
        <w:tc>
          <w:tcPr>
            <w:tcW w:w="7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5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Registration Rights Agreement, dated as of September 24, 2024, by and between Humacyte, Inc. and Lincoln Park Capital Fund, LLC</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32"/>
          </w:tcPr>
          <w:p>
            <w:pPr>
              <w:spacing w:after="0" w:line="152" w:lineRule="exact"/>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(incorporated by reference to Exhibit 10.2 to Humacyte Inc.’s Current Report on Form 8-K, filed with the SEC on September 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5"/>
              </w:rPr>
              <w:t>10.6</w:t>
            </w:r>
            <w:r>
              <w:rPr>
                <w:rFonts w:ascii="Arial" w:cs="Arial" w:eastAsia="Arial" w:hAnsi="Arial"/>
                <w:sz w:val="18"/>
                <w:szCs w:val="18"/>
                <w:color w:val="auto"/>
                <w:w w:val="95"/>
              </w:rPr>
              <w:t>˄</w:t>
            </w: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2024).</w:t>
              </w:r>
            </w:hyperlink>
          </w:p>
        </w:tc>
        <w:tc>
          <w:tcPr>
            <w:tcW w:w="7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5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Distribution Agreement, dated June 25, 2018, by and between Fresenius Medical Care Holdings, Inc. and Humacyte Global, Inc.</w:t>
              </w:r>
            </w:hyperlink>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3"/>
              </w:rPr>
              <w:t>10.6.1</w:t>
            </w:r>
            <w:r>
              <w:rPr>
                <w:rFonts w:ascii="Arial" w:cs="Arial" w:eastAsia="Arial" w:hAnsi="Arial"/>
                <w:sz w:val="18"/>
                <w:szCs w:val="18"/>
                <w:color w:val="auto"/>
                <w:w w:val="93"/>
              </w:rPr>
              <w:t>˄</w:t>
            </w:r>
          </w:p>
        </w:tc>
        <w:tc>
          <w:tcPr>
            <w:tcW w:w="20" w:type="dxa"/>
            <w:vAlign w:val="bottom"/>
          </w:tcPr>
          <w:p>
            <w:pPr>
              <w:spacing w:after="0"/>
              <w:rPr>
                <w:sz w:val="13"/>
                <w:szCs w:val="13"/>
                <w:color w:val="auto"/>
              </w:rPr>
            </w:pPr>
          </w:p>
        </w:tc>
        <w:tc>
          <w:tcPr>
            <w:tcW w:w="9100" w:type="dxa"/>
            <w:vAlign w:val="bottom"/>
            <w:tcBorders>
              <w:top w:val="single" w:sz="8" w:color="0000FF"/>
              <w:bottom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239">
              <w:r>
                <w:rPr>
                  <w:rFonts w:ascii="Times New Roman" w:cs="Times New Roman" w:eastAsia="Times New Roman" w:hAnsi="Times New Roman"/>
                  <w:sz w:val="17"/>
                  <w:szCs w:val="17"/>
                  <w:color w:val="0000FF"/>
                </w:rPr>
                <w:t>(incorporated by reference to Exhibit 10.6 to Humacyte, Inc.’s Registration Statement on S–4, filed with the SEC on March 23,</w:t>
              </w:r>
            </w:hyperlink>
          </w:p>
        </w:tc>
        <w:tc>
          <w:tcPr>
            <w:tcW w:w="420" w:type="dxa"/>
            <w:vAlign w:val="bottom"/>
            <w:tcBorders>
              <w:bottom w:val="single" w:sz="8" w:color="0000FF"/>
            </w:tcBorders>
            <w:gridSpan w:val="14"/>
          </w:tcPr>
          <w:p>
            <w:pPr>
              <w:jc w:val="center"/>
              <w:ind w:right="20"/>
              <w:spacing w:after="0" w:line="152" w:lineRule="exact"/>
              <w:rPr>
                <w:rFonts w:ascii="Times New Roman" w:cs="Times New Roman" w:eastAsia="Times New Roman" w:hAnsi="Times New Roman"/>
                <w:sz w:val="17"/>
                <w:szCs w:val="17"/>
                <w:color w:val="0000FF"/>
                <w:w w:val="81"/>
              </w:rPr>
            </w:pPr>
            <w:hyperlink r:id="rId239">
              <w:r>
                <w:rPr>
                  <w:rFonts w:ascii="Times New Roman" w:cs="Times New Roman" w:eastAsia="Times New Roman" w:hAnsi="Times New Roman"/>
                  <w:sz w:val="17"/>
                  <w:szCs w:val="17"/>
                  <w:color w:val="0000FF"/>
                  <w:w w:val="81"/>
                </w:rPr>
                <w:t>2021).</w:t>
              </w:r>
            </w:hyperlink>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First Amendment to Distribution Agreement, dated October 2, 2019, by and between Fresenius Medical Care Holdings, Inc. and</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9"/>
          </w:tcPr>
          <w:p>
            <w:pPr>
              <w:spacing w:after="0" w:line="152" w:lineRule="exact"/>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Humacyte Global, Inc. (incorporated by reference to Exhibit 10.6.1 to Humacyte, Inc.’s Registration Statement on S–4, filed with</w:t>
              </w:r>
            </w:hyperlink>
          </w:p>
        </w:tc>
        <w:tc>
          <w:tcPr>
            <w:tcW w:w="720" w:type="dxa"/>
            <w:vAlign w:val="bottom"/>
            <w:gridSpan w:val="17"/>
          </w:tcPr>
          <w:p>
            <w:pPr>
              <w:jc w:val="center"/>
              <w:ind w:right="240"/>
              <w:spacing w:after="0" w:line="152" w:lineRule="exact"/>
              <w:rPr>
                <w:rFonts w:ascii="Times New Roman" w:cs="Times New Roman" w:eastAsia="Times New Roman" w:hAnsi="Times New Roman"/>
                <w:sz w:val="17"/>
                <w:szCs w:val="17"/>
                <w:color w:val="0000FF"/>
                <w:w w:val="96"/>
              </w:rPr>
            </w:pPr>
            <w:hyperlink r:id="rId240">
              <w:r>
                <w:rPr>
                  <w:rFonts w:ascii="Times New Roman" w:cs="Times New Roman" w:eastAsia="Times New Roman" w:hAnsi="Times New Roman"/>
                  <w:sz w:val="17"/>
                  <w:szCs w:val="17"/>
                  <w:color w:val="0000FF"/>
                  <w:w w:val="96"/>
                </w:rPr>
                <w:t>the</w:t>
              </w:r>
            </w:hyperlink>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3"/>
              </w:rPr>
              <w:t>10.6.2</w:t>
            </w:r>
            <w:r>
              <w:rPr>
                <w:rFonts w:ascii="Arial" w:cs="Arial" w:eastAsia="Arial" w:hAnsi="Arial"/>
                <w:sz w:val="18"/>
                <w:szCs w:val="18"/>
                <w:color w:val="auto"/>
                <w:w w:val="93"/>
              </w:rPr>
              <w:t>˄</w:t>
            </w:r>
          </w:p>
        </w:tc>
        <w:tc>
          <w:tcPr>
            <w:tcW w:w="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SEC on March 23, 2021).</w:t>
              </w:r>
            </w:hyperlink>
          </w:p>
        </w:tc>
        <w:tc>
          <w:tcPr>
            <w:tcW w:w="7600" w:type="dxa"/>
            <w:vAlign w:val="bottom"/>
            <w:tcBorders>
              <w:top w:val="single" w:sz="8" w:color="0000FF"/>
            </w:tcBorders>
            <w:gridSpan w:val="27"/>
          </w:tcPr>
          <w:p>
            <w:pPr>
              <w:spacing w:after="0"/>
              <w:rPr>
                <w:sz w:val="13"/>
                <w:szCs w:val="13"/>
                <w:color w:val="auto"/>
              </w:rPr>
            </w:pPr>
          </w:p>
        </w:tc>
        <w:tc>
          <w:tcPr>
            <w:tcW w:w="80" w:type="dxa"/>
            <w:vAlign w:val="bottom"/>
            <w:gridSpan w:val="2"/>
          </w:tcPr>
          <w:p>
            <w:pPr>
              <w:spacing w:after="0"/>
              <w:rPr>
                <w:sz w:val="13"/>
                <w:szCs w:val="13"/>
                <w:color w:val="auto"/>
              </w:rPr>
            </w:pPr>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Second Amendment to Distribution Agreement, effective as of February 16, 2021, by and between Fresenius Medical Care</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36"/>
          </w:tcPr>
          <w:p>
            <w:pPr>
              <w:spacing w:after="0" w:line="152" w:lineRule="exact"/>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Holdings, Inc. and Humacyte Global, Inc. (incorporated by reference to Exhibit 10.6.2 to Humacyte, Inc.’s Registration Statement on</w:t>
              </w:r>
            </w:hyperlink>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5"/>
              </w:rPr>
              <w:t>10.7</w:t>
            </w:r>
            <w:r>
              <w:rPr>
                <w:rFonts w:ascii="Arial" w:cs="Arial" w:eastAsia="Arial" w:hAnsi="Arial"/>
                <w:sz w:val="18"/>
                <w:szCs w:val="18"/>
                <w:color w:val="auto"/>
                <w:w w:val="95"/>
              </w:rPr>
              <w:t>˄</w:t>
            </w:r>
          </w:p>
        </w:tc>
        <w:tc>
          <w:tcPr>
            <w:tcW w:w="20" w:type="dxa"/>
            <w:vAlign w:val="bottom"/>
          </w:tcPr>
          <w:p>
            <w:pPr>
              <w:spacing w:after="0"/>
              <w:rPr>
                <w:sz w:val="13"/>
                <w:szCs w:val="13"/>
                <w:color w:val="auto"/>
              </w:rPr>
            </w:pPr>
          </w:p>
        </w:tc>
        <w:tc>
          <w:tcPr>
            <w:tcW w:w="9400" w:type="dxa"/>
            <w:vAlign w:val="bottom"/>
            <w:tcBorders>
              <w:top w:val="single" w:sz="8" w:color="0000FF"/>
            </w:tcBorders>
            <w:gridSpan w:val="30"/>
          </w:tcPr>
          <w:p>
            <w:pPr>
              <w:spacing w:after="0" w:line="152" w:lineRule="exact"/>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S–4, filed with the SEC on March 23, 2021).</w:t>
              </w:r>
            </w:hyperlink>
          </w:p>
        </w:tc>
        <w:tc>
          <w:tcPr>
            <w:tcW w:w="100" w:type="dxa"/>
            <w:vAlign w:val="bottom"/>
            <w:gridSpan w:val="3"/>
          </w:tcPr>
          <w:p>
            <w:pPr>
              <w:spacing w:after="0"/>
              <w:rPr>
                <w:sz w:val="13"/>
                <w:szCs w:val="13"/>
                <w:color w:val="auto"/>
              </w:rPr>
            </w:pPr>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Exclusive License Agreement, dated August 13, 2019, by and between Yale University and Humacyte Global, Inc. (incorporated by</w:t>
              </w:r>
            </w:hyperlink>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5"/>
              </w:rPr>
              <w:t>10.8</w:t>
            </w:r>
            <w:r>
              <w:rPr>
                <w:rFonts w:ascii="Arial" w:cs="Arial" w:eastAsia="Arial" w:hAnsi="Arial"/>
                <w:sz w:val="18"/>
                <w:szCs w:val="18"/>
                <w:color w:val="auto"/>
                <w:w w:val="95"/>
              </w:rPr>
              <w:t>˄</w:t>
            </w:r>
          </w:p>
        </w:tc>
        <w:tc>
          <w:tcPr>
            <w:tcW w:w="20" w:type="dxa"/>
            <w:vAlign w:val="bottom"/>
          </w:tcPr>
          <w:p>
            <w:pPr>
              <w:spacing w:after="0"/>
              <w:rPr>
                <w:sz w:val="13"/>
                <w:szCs w:val="13"/>
                <w:color w:val="auto"/>
              </w:rPr>
            </w:pPr>
          </w:p>
        </w:tc>
        <w:tc>
          <w:tcPr>
            <w:tcW w:w="9360" w:type="dxa"/>
            <w:vAlign w:val="bottom"/>
            <w:tcBorders>
              <w:top w:val="single" w:sz="8" w:color="0000FF"/>
            </w:tcBorders>
            <w:gridSpan w:val="28"/>
          </w:tcPr>
          <w:p>
            <w:pPr>
              <w:spacing w:after="0" w:line="152" w:lineRule="exact"/>
              <w:rPr>
                <w:rFonts w:ascii="Times New Roman" w:cs="Times New Roman" w:eastAsia="Times New Roman" w:hAnsi="Times New Roman"/>
                <w:sz w:val="17"/>
                <w:szCs w:val="17"/>
                <w:color w:val="0000FF"/>
              </w:rPr>
            </w:pPr>
            <w:hyperlink r:id="rId242">
              <w:r>
                <w:rPr>
                  <w:rFonts w:ascii="Times New Roman" w:cs="Times New Roman" w:eastAsia="Times New Roman" w:hAnsi="Times New Roman"/>
                  <w:sz w:val="17"/>
                  <w:szCs w:val="17"/>
                  <w:color w:val="0000FF"/>
                </w:rPr>
                <w:t>reference to Exhibit 10.9 to Humacyte, Inc.’s Registration Statement on S–4/A, filed with the SEC on June 14, 2021).</w:t>
              </w:r>
            </w:hyperlink>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70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Exclusive License Agreement, dated August 25, 2019, by and between Yale University and Humacyte Global, Inc. (incorporated by</w:t>
              </w:r>
            </w:hyperlink>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5"/>
              </w:rPr>
              <w:t>10.9</w:t>
            </w:r>
            <w:r>
              <w:rPr>
                <w:rFonts w:ascii="Arial" w:cs="Arial" w:eastAsia="Arial" w:hAnsi="Arial"/>
                <w:sz w:val="18"/>
                <w:szCs w:val="18"/>
                <w:color w:val="auto"/>
                <w:w w:val="95"/>
              </w:rPr>
              <w:t>˄</w:t>
            </w:r>
          </w:p>
        </w:tc>
        <w:tc>
          <w:tcPr>
            <w:tcW w:w="20" w:type="dxa"/>
            <w:vAlign w:val="bottom"/>
          </w:tcPr>
          <w:p>
            <w:pPr>
              <w:spacing w:after="0"/>
              <w:rPr>
                <w:sz w:val="13"/>
                <w:szCs w:val="13"/>
                <w:color w:val="auto"/>
              </w:rPr>
            </w:pPr>
          </w:p>
        </w:tc>
        <w:tc>
          <w:tcPr>
            <w:tcW w:w="840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243">
              <w:r>
                <w:rPr>
                  <w:rFonts w:ascii="Times New Roman" w:cs="Times New Roman" w:eastAsia="Times New Roman" w:hAnsi="Times New Roman"/>
                  <w:sz w:val="17"/>
                  <w:szCs w:val="17"/>
                  <w:color w:val="0000FF"/>
                </w:rPr>
                <w:t>reference to Exhibit 10.10 to Humacyte, Inc.’s Registration Statement on S–4/A, filed with the SEC on June 14, 2021).</w:t>
              </w:r>
            </w:hyperlink>
          </w:p>
        </w:tc>
        <w:tc>
          <w:tcPr>
            <w:tcW w:w="9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Exclusive Patent License Agreement, dated March 14, 2006, between Duke University and Humacyte Global, Inc. (incorporated by</w:t>
              </w:r>
            </w:hyperlink>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3"/>
              </w:rPr>
              <w:t>10.9.1</w:t>
            </w:r>
            <w:r>
              <w:rPr>
                <w:rFonts w:ascii="Arial" w:cs="Arial" w:eastAsia="Arial" w:hAnsi="Arial"/>
                <w:sz w:val="18"/>
                <w:szCs w:val="18"/>
                <w:color w:val="auto"/>
                <w:w w:val="93"/>
              </w:rPr>
              <w:t>˄</w:t>
            </w:r>
          </w:p>
        </w:tc>
        <w:tc>
          <w:tcPr>
            <w:tcW w:w="20" w:type="dxa"/>
            <w:vAlign w:val="bottom"/>
          </w:tcPr>
          <w:p>
            <w:pPr>
              <w:spacing w:after="0"/>
              <w:rPr>
                <w:sz w:val="13"/>
                <w:szCs w:val="13"/>
                <w:color w:val="auto"/>
              </w:rPr>
            </w:pPr>
          </w:p>
        </w:tc>
        <w:tc>
          <w:tcPr>
            <w:tcW w:w="836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244">
              <w:r>
                <w:rPr>
                  <w:rFonts w:ascii="Times New Roman" w:cs="Times New Roman" w:eastAsia="Times New Roman" w:hAnsi="Times New Roman"/>
                  <w:sz w:val="17"/>
                  <w:szCs w:val="17"/>
                  <w:color w:val="0000FF"/>
                </w:rPr>
                <w:t>reference to Exhibit 10.10 to Humacyte, Inc.’s Registration Statement on S–4, filed with the SEC on March 23, 2021).</w:t>
              </w:r>
            </w:hyperlink>
          </w:p>
        </w:tc>
        <w:tc>
          <w:tcPr>
            <w:tcW w:w="9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First Amendment to Exclusive Patent License Agreement, dated February 25, 2011, between Duke University and Humacyte</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4"/>
          </w:tcPr>
          <w:p>
            <w:pPr>
              <w:spacing w:after="0" w:line="152" w:lineRule="exact"/>
              <w:rPr>
                <w:rFonts w:ascii="Times New Roman" w:cs="Times New Roman" w:eastAsia="Times New Roman" w:hAnsi="Times New Roman"/>
                <w:sz w:val="17"/>
                <w:szCs w:val="17"/>
                <w:color w:val="0000FF"/>
              </w:rPr>
            </w:pPr>
            <w:hyperlink r:id="rId245">
              <w:r>
                <w:rPr>
                  <w:rFonts w:ascii="Times New Roman" w:cs="Times New Roman" w:eastAsia="Times New Roman" w:hAnsi="Times New Roman"/>
                  <w:sz w:val="17"/>
                  <w:szCs w:val="17"/>
                  <w:color w:val="0000FF"/>
                </w:rPr>
                <w:t>Global, Inc. (incorporated by reference to Exhibit 10.10.1 to Humacyte, Inc.’s Registration Statement on S–4, filed with the</w:t>
              </w:r>
            </w:hyperlink>
          </w:p>
        </w:tc>
        <w:tc>
          <w:tcPr>
            <w:tcW w:w="940" w:type="dxa"/>
            <w:vAlign w:val="bottom"/>
            <w:gridSpan w:val="22"/>
          </w:tcPr>
          <w:p>
            <w:pPr>
              <w:jc w:val="right"/>
              <w:ind w:right="460"/>
              <w:spacing w:after="0" w:line="152" w:lineRule="exact"/>
              <w:rPr>
                <w:rFonts w:ascii="Times New Roman" w:cs="Times New Roman" w:eastAsia="Times New Roman" w:hAnsi="Times New Roman"/>
                <w:sz w:val="17"/>
                <w:szCs w:val="17"/>
                <w:color w:val="0000FF"/>
                <w:w w:val="87"/>
              </w:rPr>
            </w:pPr>
            <w:hyperlink r:id="rId245">
              <w:r>
                <w:rPr>
                  <w:rFonts w:ascii="Times New Roman" w:cs="Times New Roman" w:eastAsia="Times New Roman" w:hAnsi="Times New Roman"/>
                  <w:sz w:val="17"/>
                  <w:szCs w:val="17"/>
                  <w:color w:val="0000FF"/>
                  <w:w w:val="87"/>
                </w:rPr>
                <w:t>SEC on</w:t>
              </w:r>
            </w:hyperlink>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3"/>
              </w:rPr>
              <w:t>10.9.2</w:t>
            </w:r>
            <w:r>
              <w:rPr>
                <w:rFonts w:ascii="Arial" w:cs="Arial" w:eastAsia="Arial" w:hAnsi="Arial"/>
                <w:sz w:val="18"/>
                <w:szCs w:val="18"/>
                <w:color w:val="auto"/>
                <w:w w:val="93"/>
              </w:rPr>
              <w:t>˄</w:t>
            </w: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245">
              <w:r>
                <w:rPr>
                  <w:rFonts w:ascii="Times New Roman" w:cs="Times New Roman" w:eastAsia="Times New Roman" w:hAnsi="Times New Roman"/>
                  <w:sz w:val="17"/>
                  <w:szCs w:val="17"/>
                  <w:color w:val="0000FF"/>
                </w:rPr>
                <w:t>March 23, 2021).</w:t>
              </w:r>
            </w:hyperlink>
          </w:p>
        </w:tc>
        <w:tc>
          <w:tcPr>
            <w:tcW w:w="810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Second Amendment to Exclusive Patent License Agreement, dated April 24, 2014, between Duke University and Humacyte</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12"/>
          </w:tcPr>
          <w:p>
            <w:pPr>
              <w:spacing w:after="0" w:line="152" w:lineRule="exact"/>
              <w:rPr>
                <w:rFonts w:ascii="Times New Roman" w:cs="Times New Roman" w:eastAsia="Times New Roman" w:hAnsi="Times New Roman"/>
                <w:sz w:val="17"/>
                <w:szCs w:val="17"/>
                <w:color w:val="0000FF"/>
              </w:rPr>
            </w:pPr>
            <w:hyperlink r:id="rId246">
              <w:r>
                <w:rPr>
                  <w:rFonts w:ascii="Times New Roman" w:cs="Times New Roman" w:eastAsia="Times New Roman" w:hAnsi="Times New Roman"/>
                  <w:sz w:val="17"/>
                  <w:szCs w:val="17"/>
                  <w:color w:val="0000FF"/>
                </w:rPr>
                <w:t>Global, Inc. (incorporated by reference to Exhibit 10.10.2 to Humacyte, Inc.’s Registration Statement on S–4, filed with the</w:t>
              </w:r>
            </w:hyperlink>
          </w:p>
        </w:tc>
        <w:tc>
          <w:tcPr>
            <w:tcW w:w="1000" w:type="dxa"/>
            <w:vAlign w:val="bottom"/>
            <w:gridSpan w:val="24"/>
          </w:tcPr>
          <w:p>
            <w:pPr>
              <w:jc w:val="right"/>
              <w:ind w:right="460"/>
              <w:spacing w:after="0" w:line="152" w:lineRule="exact"/>
              <w:rPr>
                <w:rFonts w:ascii="Times New Roman" w:cs="Times New Roman" w:eastAsia="Times New Roman" w:hAnsi="Times New Roman"/>
                <w:sz w:val="17"/>
                <w:szCs w:val="17"/>
                <w:color w:val="0000FF"/>
                <w:w w:val="99"/>
              </w:rPr>
            </w:pPr>
            <w:hyperlink r:id="rId246">
              <w:r>
                <w:rPr>
                  <w:rFonts w:ascii="Times New Roman" w:cs="Times New Roman" w:eastAsia="Times New Roman" w:hAnsi="Times New Roman"/>
                  <w:sz w:val="17"/>
                  <w:szCs w:val="17"/>
                  <w:color w:val="0000FF"/>
                  <w:w w:val="99"/>
                </w:rPr>
                <w:t>SEC on</w:t>
              </w:r>
            </w:hyperlink>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3"/>
              </w:rPr>
              <w:t>10.9.3</w:t>
            </w:r>
            <w:r>
              <w:rPr>
                <w:rFonts w:ascii="Arial" w:cs="Arial" w:eastAsia="Arial" w:hAnsi="Arial"/>
                <w:sz w:val="18"/>
                <w:szCs w:val="18"/>
                <w:color w:val="auto"/>
                <w:w w:val="93"/>
              </w:rPr>
              <w:t>˄</w:t>
            </w: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246">
              <w:r>
                <w:rPr>
                  <w:rFonts w:ascii="Times New Roman" w:cs="Times New Roman" w:eastAsia="Times New Roman" w:hAnsi="Times New Roman"/>
                  <w:sz w:val="17"/>
                  <w:szCs w:val="17"/>
                  <w:color w:val="0000FF"/>
                </w:rPr>
                <w:t>March 23, 2021).</w:t>
              </w:r>
            </w:hyperlink>
          </w:p>
        </w:tc>
        <w:tc>
          <w:tcPr>
            <w:tcW w:w="810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Third Amendment to Exclusive Patent License Agreement, dated June 26, 2015, between Duke University and Humacyte Global, Inc.</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33"/>
          </w:tcPr>
          <w:p>
            <w:pPr>
              <w:spacing w:after="0" w:line="152" w:lineRule="exact"/>
              <w:rPr>
                <w:rFonts w:ascii="Times New Roman" w:cs="Times New Roman" w:eastAsia="Times New Roman" w:hAnsi="Times New Roman"/>
                <w:sz w:val="17"/>
                <w:szCs w:val="17"/>
                <w:color w:val="0000FF"/>
              </w:rPr>
            </w:pPr>
            <w:hyperlink r:id="rId247">
              <w:r>
                <w:rPr>
                  <w:rFonts w:ascii="Times New Roman" w:cs="Times New Roman" w:eastAsia="Times New Roman" w:hAnsi="Times New Roman"/>
                  <w:sz w:val="17"/>
                  <w:szCs w:val="17"/>
                  <w:color w:val="0000FF"/>
                </w:rPr>
                <w:t>(incorporated by reference to Exhibit 10.10.3 to Humacyte, Inc.’s Registration Statement on S–4, filed with the SEC on March 23,</w:t>
              </w:r>
            </w:hyperlink>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3"/>
              </w:rPr>
              <w:t>10.9.4</w:t>
            </w:r>
            <w:r>
              <w:rPr>
                <w:rFonts w:ascii="Arial" w:cs="Arial" w:eastAsia="Arial" w:hAnsi="Arial"/>
                <w:sz w:val="18"/>
                <w:szCs w:val="18"/>
                <w:color w:val="auto"/>
                <w:w w:val="93"/>
              </w:rPr>
              <w:t>˄</w:t>
            </w: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247">
              <w:r>
                <w:rPr>
                  <w:rFonts w:ascii="Times New Roman" w:cs="Times New Roman" w:eastAsia="Times New Roman" w:hAnsi="Times New Roman"/>
                  <w:sz w:val="17"/>
                  <w:szCs w:val="17"/>
                  <w:color w:val="0000FF"/>
                </w:rPr>
                <w:t>2021).</w:t>
              </w:r>
            </w:hyperlink>
          </w:p>
        </w:tc>
        <w:tc>
          <w:tcPr>
            <w:tcW w:w="7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5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Fourth Amendment to Exclusive Patent License Agreement, dated January 2, 2018, between Duke University and Humacyte</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color w:val="0000FF"/>
                </w:rPr>
                <w:t>Global, Inc. (incorporated by reference to Exhibit 10.10.4 to Humacyte, Inc.’s Registration Statement on S–4, filed with the</w:t>
              </w:r>
            </w:hyperlink>
          </w:p>
        </w:tc>
        <w:tc>
          <w:tcPr>
            <w:tcW w:w="960" w:type="dxa"/>
            <w:vAlign w:val="bottom"/>
            <w:gridSpan w:val="23"/>
          </w:tcPr>
          <w:p>
            <w:pPr>
              <w:jc w:val="right"/>
              <w:ind w:right="460"/>
              <w:spacing w:after="0" w:line="152" w:lineRule="exact"/>
              <w:rPr>
                <w:rFonts w:ascii="Times New Roman" w:cs="Times New Roman" w:eastAsia="Times New Roman" w:hAnsi="Times New Roman"/>
                <w:sz w:val="17"/>
                <w:szCs w:val="17"/>
                <w:color w:val="0000FF"/>
                <w:w w:val="91"/>
              </w:rPr>
            </w:pPr>
            <w:hyperlink r:id="rId248">
              <w:r>
                <w:rPr>
                  <w:rFonts w:ascii="Times New Roman" w:cs="Times New Roman" w:eastAsia="Times New Roman" w:hAnsi="Times New Roman"/>
                  <w:sz w:val="17"/>
                  <w:szCs w:val="17"/>
                  <w:color w:val="0000FF"/>
                  <w:w w:val="91"/>
                </w:rPr>
                <w:t>SEC on</w:t>
              </w:r>
            </w:hyperlink>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3"/>
              </w:rPr>
              <w:t>10.9.5</w:t>
            </w:r>
            <w:r>
              <w:rPr>
                <w:rFonts w:ascii="Arial" w:cs="Arial" w:eastAsia="Arial" w:hAnsi="Arial"/>
                <w:sz w:val="18"/>
                <w:szCs w:val="18"/>
                <w:color w:val="auto"/>
                <w:w w:val="93"/>
              </w:rPr>
              <w:t>˄</w:t>
            </w: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color w:val="0000FF"/>
                </w:rPr>
                <w:t>March 23, 2021).</w:t>
              </w:r>
            </w:hyperlink>
          </w:p>
        </w:tc>
        <w:tc>
          <w:tcPr>
            <w:tcW w:w="810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4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9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8"/>
              </w:rPr>
            </w:pPr>
            <w:hyperlink r:id="rId249">
              <w:r>
                <w:rPr>
                  <w:rFonts w:ascii="Times New Roman" w:cs="Times New Roman" w:eastAsia="Times New Roman" w:hAnsi="Times New Roman"/>
                  <w:sz w:val="18"/>
                  <w:szCs w:val="18"/>
                  <w:color w:val="0000FF"/>
                  <w:w w:val="98"/>
                </w:rPr>
                <w:t>Fifth Amendment to Exclusive Patent License Agreement, dated December 31, 2019, between Duke University and Humacyte</w:t>
              </w:r>
            </w:hyperlink>
          </w:p>
        </w:tc>
        <w:tc>
          <w:tcPr>
            <w:tcW w:w="80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36"/>
          </w:tcPr>
          <w:p>
            <w:pPr>
              <w:spacing w:after="0" w:line="152" w:lineRule="exact"/>
              <w:rPr>
                <w:rFonts w:ascii="Times New Roman" w:cs="Times New Roman" w:eastAsia="Times New Roman" w:hAnsi="Times New Roman"/>
                <w:sz w:val="17"/>
                <w:szCs w:val="17"/>
                <w:color w:val="0000FF"/>
              </w:rPr>
            </w:pPr>
            <w:hyperlink r:id="rId249">
              <w:r>
                <w:rPr>
                  <w:rFonts w:ascii="Times New Roman" w:cs="Times New Roman" w:eastAsia="Times New Roman" w:hAnsi="Times New Roman"/>
                  <w:sz w:val="17"/>
                  <w:szCs w:val="17"/>
                  <w:color w:val="0000FF"/>
                </w:rPr>
                <w:t>Global, Inc. (incorporated by reference to Exhibit 10.10.5 to Humacyte, Inc.’s Registration Statement on S–4, filed with the SEC on</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249">
              <w:r>
                <w:rPr>
                  <w:rFonts w:ascii="Times New Roman" w:cs="Times New Roman" w:eastAsia="Times New Roman" w:hAnsi="Times New Roman"/>
                  <w:sz w:val="17"/>
                  <w:szCs w:val="17"/>
                  <w:color w:val="0000FF"/>
                </w:rPr>
                <w:t>March 23, 2021).</w:t>
              </w:r>
            </w:hyperlink>
          </w:p>
        </w:tc>
        <w:tc>
          <w:tcPr>
            <w:tcW w:w="810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4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Sixth Amendment to Exclusive Patent License Agreement, dated January 10, 2022, between Duke University and Humacyte Global,</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250">
              <w:r>
                <w:rPr>
                  <w:rFonts w:ascii="Times New Roman" w:cs="Times New Roman" w:eastAsia="Times New Roman" w:hAnsi="Times New Roman"/>
                  <w:sz w:val="17"/>
                  <w:szCs w:val="17"/>
                  <w:color w:val="0000FF"/>
                </w:rPr>
                <w:t>Inc. (incorporated by reference to Exhibit 10.7.6 to Humacyte, Inc.’s Annual Report on Form 10-K filed with the SEC on March 29,</w:t>
              </w:r>
            </w:hyperlink>
          </w:p>
        </w:tc>
        <w:tc>
          <w:tcPr>
            <w:tcW w:w="4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3"/>
              </w:rPr>
              <w:t>10.10</w:t>
            </w:r>
            <w:r>
              <w:rPr>
                <w:rFonts w:ascii="Arial" w:cs="Arial" w:eastAsia="Arial" w:hAnsi="Arial"/>
                <w:sz w:val="18"/>
                <w:szCs w:val="18"/>
                <w:color w:val="auto"/>
                <w:w w:val="93"/>
              </w:rPr>
              <w:t>˄</w:t>
            </w:r>
          </w:p>
        </w:tc>
        <w:tc>
          <w:tcPr>
            <w:tcW w:w="20" w:type="dxa"/>
            <w:vAlign w:val="bottom"/>
          </w:tcPr>
          <w:p>
            <w:pPr>
              <w:spacing w:after="0"/>
              <w:rPr>
                <w:sz w:val="13"/>
                <w:szCs w:val="13"/>
                <w:color w:val="auto"/>
              </w:rPr>
            </w:pPr>
          </w:p>
        </w:tc>
        <w:tc>
          <w:tcPr>
            <w:tcW w:w="460" w:type="dxa"/>
            <w:vAlign w:val="bottom"/>
            <w:tcBorders>
              <w:bottom w:val="single" w:sz="8" w:color="0000FF"/>
            </w:tcBorders>
          </w:tcPr>
          <w:p>
            <w:pPr>
              <w:spacing w:after="0" w:line="152" w:lineRule="exact"/>
              <w:rPr>
                <w:rFonts w:ascii="Times New Roman" w:cs="Times New Roman" w:eastAsia="Times New Roman" w:hAnsi="Times New Roman"/>
                <w:sz w:val="17"/>
                <w:szCs w:val="17"/>
                <w:color w:val="0000FF"/>
              </w:rPr>
            </w:pPr>
            <w:hyperlink r:id="rId250">
              <w:r>
                <w:rPr>
                  <w:rFonts w:ascii="Times New Roman" w:cs="Times New Roman" w:eastAsia="Times New Roman" w:hAnsi="Times New Roman"/>
                  <w:sz w:val="17"/>
                  <w:szCs w:val="17"/>
                  <w:color w:val="0000FF"/>
                </w:rPr>
                <w:t>2022).</w:t>
              </w:r>
            </w:hyperlink>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Supply Agreement, dated January 9, 2014, between SeraCare Life Sciences, Inc. and Humacyte Global, Inc. (incorporated by</w:t>
              </w:r>
            </w:hyperlink>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6"/>
              </w:rPr>
              <w:t>10.10.1</w:t>
            </w:r>
            <w:r>
              <w:rPr>
                <w:rFonts w:ascii="Arial" w:cs="Arial" w:eastAsia="Arial" w:hAnsi="Arial"/>
                <w:sz w:val="18"/>
                <w:szCs w:val="18"/>
                <w:color w:val="auto"/>
                <w:w w:val="96"/>
              </w:rPr>
              <w:t>˄</w:t>
            </w:r>
          </w:p>
        </w:tc>
        <w:tc>
          <w:tcPr>
            <w:tcW w:w="20" w:type="dxa"/>
            <w:vAlign w:val="bottom"/>
          </w:tcPr>
          <w:p>
            <w:pPr>
              <w:spacing w:after="0"/>
              <w:rPr>
                <w:sz w:val="13"/>
                <w:szCs w:val="13"/>
                <w:color w:val="auto"/>
              </w:rPr>
            </w:pPr>
          </w:p>
        </w:tc>
        <w:tc>
          <w:tcPr>
            <w:tcW w:w="886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251">
              <w:r>
                <w:rPr>
                  <w:rFonts w:ascii="Times New Roman" w:cs="Times New Roman" w:eastAsia="Times New Roman" w:hAnsi="Times New Roman"/>
                  <w:sz w:val="17"/>
                  <w:szCs w:val="17"/>
                  <w:color w:val="0000FF"/>
                </w:rPr>
                <w:t>reference to Exhibit 10.11 to Humacyte, Inc.’s Registration Statement on S–4, filed with the SEC on March 23, 2021).</w:t>
              </w:r>
            </w:hyperlink>
          </w:p>
        </w:tc>
        <w:tc>
          <w:tcPr>
            <w:tcW w:w="80" w:type="dxa"/>
            <w:vAlign w:val="bottom"/>
          </w:tcPr>
          <w:p>
            <w:pPr>
              <w:spacing w:after="0"/>
              <w:rPr>
                <w:sz w:val="13"/>
                <w:szCs w:val="13"/>
                <w:color w:val="auto"/>
              </w:rPr>
            </w:pPr>
          </w:p>
        </w:tc>
        <w:tc>
          <w:tcPr>
            <w:tcW w:w="2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40" w:type="dxa"/>
            <w:vAlign w:val="bottom"/>
            <w:gridSpan w:val="7"/>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First Amendment to Supply Agreement, dated October 12, 2018, between SeraCare Life Sciences, Inc. and Humacyte Global, Inc.</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3"/>
          </w:tcPr>
          <w:p>
            <w:pPr>
              <w:spacing w:after="0" w:line="152" w:lineRule="exact"/>
              <w:rPr>
                <w:rFonts w:ascii="Times New Roman" w:cs="Times New Roman" w:eastAsia="Times New Roman" w:hAnsi="Times New Roman"/>
                <w:sz w:val="17"/>
                <w:szCs w:val="17"/>
                <w:color w:val="0000FF"/>
              </w:rPr>
            </w:pPr>
            <w:hyperlink r:id="rId252">
              <w:r>
                <w:rPr>
                  <w:rFonts w:ascii="Times New Roman" w:cs="Times New Roman" w:eastAsia="Times New Roman" w:hAnsi="Times New Roman"/>
                  <w:sz w:val="17"/>
                  <w:szCs w:val="17"/>
                  <w:color w:val="0000FF"/>
                </w:rPr>
                <w:t>(incorporated by reference to Exhibit 10.11.1 to Humacyte, Inc.’s Registration Statement on S–4, filed with the SEC on March 23,</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10.10.2</w:t>
            </w:r>
            <w:r>
              <w:rPr>
                <w:rFonts w:ascii="Arial" w:cs="Arial" w:eastAsia="Arial" w:hAnsi="Arial"/>
                <w:sz w:val="18"/>
                <w:szCs w:val="18"/>
                <w:color w:val="auto"/>
                <w:w w:val="97"/>
              </w:rPr>
              <w:t>˄</w:t>
            </w:r>
            <w:r>
              <w:rPr>
                <w:rFonts w:ascii="Times New Roman" w:cs="Times New Roman" w:eastAsia="Times New Roman" w:hAnsi="Times New Roman"/>
                <w:sz w:val="18"/>
                <w:szCs w:val="18"/>
                <w:color w:val="auto"/>
                <w:w w:val="97"/>
              </w:rPr>
              <w:t xml:space="preserve"> *</w:t>
            </w: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252">
              <w:r>
                <w:rPr>
                  <w:rFonts w:ascii="Times New Roman" w:cs="Times New Roman" w:eastAsia="Times New Roman" w:hAnsi="Times New Roman"/>
                  <w:sz w:val="17"/>
                  <w:szCs w:val="17"/>
                  <w:color w:val="0000FF"/>
                </w:rPr>
                <w:t>2021).</w:t>
              </w:r>
            </w:hyperlink>
          </w:p>
        </w:tc>
        <w:tc>
          <w:tcPr>
            <w:tcW w:w="7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5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Second Amendment to Supply Agreement, dated March 24, 2021, between SeraCare Life Sciences, Inc. and Humacyte Global, Inc.</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26"/>
          </w:tcPr>
          <w:p>
            <w:pPr>
              <w:spacing w:after="0" w:line="152" w:lineRule="exact"/>
              <w:rPr>
                <w:rFonts w:ascii="Times New Roman" w:cs="Times New Roman" w:eastAsia="Times New Roman" w:hAnsi="Times New Roman"/>
                <w:sz w:val="17"/>
                <w:szCs w:val="17"/>
                <w:color w:val="0000FF"/>
              </w:rPr>
            </w:pPr>
            <w:hyperlink r:id="rId253">
              <w:r>
                <w:rPr>
                  <w:rFonts w:ascii="Times New Roman" w:cs="Times New Roman" w:eastAsia="Times New Roman" w:hAnsi="Times New Roman"/>
                  <w:sz w:val="17"/>
                  <w:szCs w:val="17"/>
                  <w:color w:val="0000FF"/>
                </w:rPr>
                <w:t>(incorporated by reference to Exhibit 10.12.2 to Humacyte, Inc.’s Registration Statement on S–4/A, filed with the SEC on June 14,</w:t>
              </w:r>
            </w:hyperlink>
          </w:p>
        </w:tc>
        <w:tc>
          <w:tcPr>
            <w:tcW w:w="4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2"/>
              </w:rPr>
              <w:t>10.11</w:t>
            </w:r>
            <w:r>
              <w:rPr>
                <w:rFonts w:ascii="Arial" w:cs="Arial" w:eastAsia="Arial" w:hAnsi="Arial"/>
                <w:sz w:val="18"/>
                <w:szCs w:val="18"/>
                <w:color w:val="auto"/>
                <w:w w:val="92"/>
              </w:rPr>
              <w:t>˄</w:t>
            </w:r>
            <w:r>
              <w:rPr>
                <w:rFonts w:ascii="Times New Roman" w:cs="Times New Roman" w:eastAsia="Times New Roman" w:hAnsi="Times New Roman"/>
                <w:sz w:val="18"/>
                <w:szCs w:val="18"/>
                <w:color w:val="auto"/>
                <w:w w:val="92"/>
              </w:rPr>
              <w:t xml:space="preserve"> *</w:t>
            </w: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253">
              <w:r>
                <w:rPr>
                  <w:rFonts w:ascii="Times New Roman" w:cs="Times New Roman" w:eastAsia="Times New Roman" w:hAnsi="Times New Roman"/>
                  <w:sz w:val="17"/>
                  <w:szCs w:val="17"/>
                  <w:color w:val="0000FF"/>
                </w:rPr>
                <w:t>2021).</w:t>
              </w:r>
            </w:hyperlink>
          </w:p>
        </w:tc>
        <w:tc>
          <w:tcPr>
            <w:tcW w:w="7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5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Supply Agreement, dated June 1, 2020, between Confluent Medical Technologies and Humacyte Global, Inc. (incorporated by</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254">
              <w:r>
                <w:rPr>
                  <w:rFonts w:ascii="Times New Roman" w:cs="Times New Roman" w:eastAsia="Times New Roman" w:hAnsi="Times New Roman"/>
                  <w:sz w:val="17"/>
                  <w:szCs w:val="17"/>
                  <w:color w:val="0000FF"/>
                </w:rPr>
                <w:t>reference to Exhibit 10.13 to Humacyte, Inc.’s Registration Statement on S–4/A, filed with the SEC on June 14, 2021).</w:t>
              </w:r>
            </w:hyperlink>
          </w:p>
        </w:tc>
        <w:tc>
          <w:tcPr>
            <w:tcW w:w="540" w:type="dxa"/>
            <w:vAlign w:val="bottom"/>
            <w:tcBorders>
              <w:top w:val="single" w:sz="8" w:color="0000FF"/>
            </w:tcBorders>
            <w:gridSpan w:val="7"/>
          </w:tcPr>
          <w:p>
            <w:pPr>
              <w:spacing w:after="0"/>
              <w:rPr>
                <w:sz w:val="13"/>
                <w:szCs w:val="13"/>
                <w:color w:val="auto"/>
              </w:rPr>
            </w:pPr>
          </w:p>
        </w:tc>
        <w:tc>
          <w:tcPr>
            <w:tcW w:w="84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90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20" w:type="dxa"/>
            <w:vAlign w:val="bottom"/>
            <w:gridSpan w:val="7"/>
          </w:tcPr>
          <w:p>
            <w:pPr>
              <w:jc w:val="right"/>
              <w:ind w:right="3769"/>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5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0680"/>
          </w:cols>
          <w:pgMar w:left="640" w:top="293"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19685</wp:posOffset>
            </wp:positionV>
            <wp:extent cx="8572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132080</wp:posOffset>
            </wp:positionV>
            <wp:extent cx="60763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8">
                      <a:extLst>
                        <a:ext uri="{28A0092B-C50C-407E-A947-70E740481C1C}"/>
                      </a:extLst>
                    </a:blip>
                    <a:srcRect/>
                    <a:stretch>
                      <a:fillRect/>
                    </a:stretch>
                  </pic:blipFill>
                  <pic:spPr bwMode="auto">
                    <a:xfrm>
                      <a:off x="0" y="0"/>
                      <a:ext cx="6076315"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840" w:space="720"/>
            <w:col w:w="5120"/>
          </w:cols>
          <w:pgMar w:left="640" w:top="293" w:right="579" w:bottom="1440" w:gutter="0" w:footer="0" w:header="0"/>
          <w:type w:val="continuous"/>
        </w:sectPr>
      </w:pPr>
    </w:p>
    <w:p>
      <w:pPr>
        <w:ind w:left="1140" w:right="480" w:hanging="1076"/>
        <w:spacing w:after="0" w:line="221"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259">
        <w:r>
          <w:rPr>
            <w:rFonts w:ascii="Times New Roman" w:cs="Times New Roman" w:eastAsia="Times New Roman" w:hAnsi="Times New Roman"/>
            <w:sz w:val="18"/>
            <w:szCs w:val="18"/>
            <w:u w:val="single" w:color="auto"/>
            <w:color w:val="0000FF"/>
          </w:rPr>
          <w:t>Executive Employment Agreement, dated February 3, 2021, between Laura Niklason, M.D., Ph.D. and Humacyte Global, Inc.</w:t>
        </w:r>
      </w:hyperlink>
      <w:r>
        <w:rPr>
          <w:rFonts w:ascii="Times New Roman" w:cs="Times New Roman" w:eastAsia="Times New Roman" w:hAnsi="Times New Roman"/>
          <w:sz w:val="18"/>
          <w:szCs w:val="18"/>
          <w:u w:val="single" w:color="auto"/>
          <w:color w:val="0000FF"/>
        </w:rPr>
        <w:t xml:space="preserve"> </w:t>
      </w:r>
      <w:hyperlink r:id="rId259">
        <w:r>
          <w:rPr>
            <w:rFonts w:ascii="Times New Roman" w:cs="Times New Roman" w:eastAsia="Times New Roman" w:hAnsi="Times New Roman"/>
            <w:sz w:val="18"/>
            <w:szCs w:val="18"/>
            <w:u w:val="single" w:color="auto"/>
            <w:color w:val="0000FF"/>
          </w:rPr>
          <w:t>(incorporated by reference to Exhibit 10.13 to Humacyte, Inc.’s Registration Statement on S–4, filed with the SEC on March 23,</w:t>
        </w:r>
      </w:hyperlink>
      <w:r>
        <w:rPr>
          <w:rFonts w:ascii="Times New Roman" w:cs="Times New Roman" w:eastAsia="Times New Roman" w:hAnsi="Times New Roman"/>
          <w:sz w:val="18"/>
          <w:szCs w:val="18"/>
          <w:u w:val="single" w:color="auto"/>
          <w:color w:val="0000FF"/>
        </w:rPr>
        <w:t xml:space="preserve"> </w:t>
      </w:r>
      <w:hyperlink r:id="rId259">
        <w:r>
          <w:rPr>
            <w:rFonts w:ascii="Times New Roman" w:cs="Times New Roman" w:eastAsia="Times New Roman" w:hAnsi="Times New Roman"/>
            <w:sz w:val="18"/>
            <w:szCs w:val="18"/>
            <w:u w:val="single" w:color="auto"/>
            <w:color w:val="0000FF"/>
          </w:rPr>
          <w:t>2021).</w:t>
        </w:r>
      </w:hyperlink>
    </w:p>
    <w:p>
      <w:pPr>
        <w:spacing w:after="0" w:line="11" w:lineRule="exact"/>
        <w:rPr>
          <w:rFonts w:ascii="Times New Roman" w:cs="Times New Roman" w:eastAsia="Times New Roman" w:hAnsi="Times New Roman"/>
          <w:sz w:val="18"/>
          <w:szCs w:val="18"/>
          <w:u w:val="single" w:color="auto"/>
          <w:color w:val="0000FF"/>
        </w:rPr>
      </w:pPr>
    </w:p>
    <w:p>
      <w:pPr>
        <w:ind w:left="1140" w:right="440" w:hanging="1032"/>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260">
        <w:r>
          <w:rPr>
            <w:rFonts w:ascii="Times New Roman" w:cs="Times New Roman" w:eastAsia="Times New Roman" w:hAnsi="Times New Roman"/>
            <w:sz w:val="18"/>
            <w:szCs w:val="18"/>
            <w:u w:val="single" w:color="auto"/>
            <w:color w:val="0000FF"/>
          </w:rPr>
          <w:t>Executive Employment Agreement, dated May 18, 2021, between Dale Sander and Humacyte, Inc. (incorporated by reference to</w:t>
        </w:r>
      </w:hyperlink>
      <w:r>
        <w:rPr>
          <w:rFonts w:ascii="Times New Roman" w:cs="Times New Roman" w:eastAsia="Times New Roman" w:hAnsi="Times New Roman"/>
          <w:sz w:val="18"/>
          <w:szCs w:val="18"/>
          <w:u w:val="single" w:color="auto"/>
          <w:color w:val="0000FF"/>
        </w:rPr>
        <w:t xml:space="preserve"> </w:t>
      </w:r>
      <w:hyperlink r:id="rId260">
        <w:r>
          <w:rPr>
            <w:rFonts w:ascii="Times New Roman" w:cs="Times New Roman" w:eastAsia="Times New Roman" w:hAnsi="Times New Roman"/>
            <w:sz w:val="18"/>
            <w:szCs w:val="18"/>
            <w:u w:val="single" w:color="auto"/>
            <w:color w:val="0000FF"/>
          </w:rPr>
          <w:t>Exhibit 10.11 to Humacyte, Inc.’s Annual Report on Form 10-K, filed with the SEC on March 24, 2023).</w:t>
        </w:r>
      </w:hyperlink>
    </w:p>
    <w:p>
      <w:pPr>
        <w:ind w:left="120"/>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261">
        <w:r>
          <w:rPr>
            <w:rFonts w:ascii="Times New Roman" w:cs="Times New Roman" w:eastAsia="Times New Roman" w:hAnsi="Times New Roman"/>
            <w:sz w:val="17"/>
            <w:szCs w:val="17"/>
            <w:u w:val="single" w:color="auto"/>
            <w:color w:val="0000FF"/>
          </w:rPr>
          <w:t>Executive Employment Agreement, dated September 13, 2019 between Heather Prichard, Ph.D. and Humacyte Global, Inc.</w:t>
        </w:r>
      </w:hyperlink>
    </w:p>
    <w:p>
      <w:pPr>
        <w:ind w:left="1140"/>
        <w:spacing w:after="0"/>
        <w:rPr>
          <w:rFonts w:ascii="Times New Roman" w:cs="Times New Roman" w:eastAsia="Times New Roman" w:hAnsi="Times New Roman"/>
          <w:sz w:val="17"/>
          <w:szCs w:val="17"/>
          <w:u w:val="single" w:color="auto"/>
          <w:color w:val="0000FF"/>
        </w:rPr>
      </w:pPr>
      <w:hyperlink r:id="rId261">
        <w:r>
          <w:rPr>
            <w:rFonts w:ascii="Times New Roman" w:cs="Times New Roman" w:eastAsia="Times New Roman" w:hAnsi="Times New Roman"/>
            <w:sz w:val="17"/>
            <w:szCs w:val="17"/>
            <w:u w:val="single" w:color="auto"/>
            <w:color w:val="0000FF"/>
          </w:rPr>
          <w:t>(incorporated by reference to Exhibit 10.16 to Humacyte, Inc.'s Registration Statement on S-4, filed with the SEC on March 23, 2021).</w:t>
        </w:r>
      </w:hyperlink>
    </w:p>
    <w:p>
      <w:pPr>
        <w:spacing w:after="0" w:line="23" w:lineRule="exact"/>
        <w:rPr>
          <w:sz w:val="20"/>
          <w:szCs w:val="20"/>
          <w:color w:val="auto"/>
        </w:rPr>
      </w:pPr>
    </w:p>
    <w:p>
      <w:pPr>
        <w:ind w:left="1140" w:right="360" w:hanging="1032"/>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262">
        <w:r>
          <w:rPr>
            <w:rFonts w:ascii="Times New Roman" w:cs="Times New Roman" w:eastAsia="Times New Roman" w:hAnsi="Times New Roman"/>
            <w:sz w:val="18"/>
            <w:szCs w:val="18"/>
            <w:u w:val="single" w:color="auto"/>
            <w:color w:val="0000FF"/>
          </w:rPr>
          <w:t>Humacyte, Inc. 2021 Long–Term Incentive Plan (incorporated by reference to Exhibit 10.4 to Humacyte, Inc.’s Current Report on</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Form 8–K, filed with the SEC on August 27, 2021).</w:t>
        </w:r>
      </w:hyperlink>
    </w:p>
    <w:p>
      <w:pPr>
        <w:spacing w:after="0" w:line="10" w:lineRule="exact"/>
        <w:rPr>
          <w:sz w:val="20"/>
          <w:szCs w:val="20"/>
          <w:color w:val="auto"/>
        </w:rPr>
      </w:pPr>
    </w:p>
    <w:p>
      <w:pPr>
        <w:ind w:left="1140" w:right="100" w:hanging="1098"/>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10.15.1+</w:t>
      </w:r>
      <w:r>
        <w:rPr>
          <w:sz w:val="20"/>
          <w:szCs w:val="20"/>
          <w:color w:val="auto"/>
        </w:rPr>
        <w:tab/>
      </w:r>
      <w:hyperlink r:id="rId263">
        <w:r>
          <w:rPr>
            <w:rFonts w:ascii="Times New Roman" w:cs="Times New Roman" w:eastAsia="Times New Roman" w:hAnsi="Times New Roman"/>
            <w:sz w:val="18"/>
            <w:szCs w:val="18"/>
            <w:u w:val="single" w:color="auto"/>
            <w:color w:val="0000FF"/>
          </w:rPr>
          <w:t>Form of Stock Option Agreement under Humacyte, Inc. 2021 Long–Term Incentive Plan (incorporated by reference to Exhibit 10.4.1</w:t>
        </w:r>
      </w:hyperlink>
      <w:r>
        <w:rPr>
          <w:rFonts w:ascii="Times New Roman" w:cs="Times New Roman" w:eastAsia="Times New Roman" w:hAnsi="Times New Roman"/>
          <w:sz w:val="18"/>
          <w:szCs w:val="18"/>
          <w:u w:val="single" w:color="auto"/>
          <w:color w:val="0000FF"/>
        </w:rPr>
        <w:t xml:space="preserve"> </w:t>
      </w:r>
      <w:hyperlink r:id="rId263">
        <w:r>
          <w:rPr>
            <w:rFonts w:ascii="Times New Roman" w:cs="Times New Roman" w:eastAsia="Times New Roman" w:hAnsi="Times New Roman"/>
            <w:sz w:val="18"/>
            <w:szCs w:val="18"/>
            <w:u w:val="single" w:color="auto"/>
            <w:color w:val="0000FF"/>
          </w:rPr>
          <w:t>to Humacyte, Inc.’s Current Report on Form 8–K, filed with the SEC on August 27, 2021).</w:t>
        </w:r>
      </w:hyperlink>
    </w:p>
    <w:p>
      <w:pPr>
        <w:spacing w:after="0" w:line="10" w:lineRule="exact"/>
        <w:rPr>
          <w:sz w:val="20"/>
          <w:szCs w:val="20"/>
          <w:color w:val="auto"/>
        </w:rPr>
      </w:pPr>
    </w:p>
    <w:p>
      <w:pPr>
        <w:ind w:left="1140" w:right="40" w:hanging="1032"/>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264">
        <w:r>
          <w:rPr>
            <w:rFonts w:ascii="Times New Roman" w:cs="Times New Roman" w:eastAsia="Times New Roman" w:hAnsi="Times New Roman"/>
            <w:sz w:val="18"/>
            <w:szCs w:val="18"/>
            <w:u w:val="single" w:color="auto"/>
            <w:color w:val="0000FF"/>
          </w:rPr>
          <w:t>Humacyte, Inc. 2021 Employee Stock Purchase Plan (incorporated by reference to Exhibit 10.5 to Humacyte, Inc.’s Current Report on</w:t>
        </w:r>
      </w:hyperlink>
      <w:r>
        <w:rPr>
          <w:rFonts w:ascii="Times New Roman" w:cs="Times New Roman" w:eastAsia="Times New Roman" w:hAnsi="Times New Roman"/>
          <w:sz w:val="18"/>
          <w:szCs w:val="18"/>
          <w:u w:val="single" w:color="auto"/>
          <w:color w:val="0000FF"/>
        </w:rPr>
        <w:t xml:space="preserve"> </w:t>
      </w:r>
      <w:hyperlink r:id="rId264">
        <w:r>
          <w:rPr>
            <w:rFonts w:ascii="Times New Roman" w:cs="Times New Roman" w:eastAsia="Times New Roman" w:hAnsi="Times New Roman"/>
            <w:sz w:val="18"/>
            <w:szCs w:val="18"/>
            <w:u w:val="single" w:color="auto"/>
            <w:color w:val="0000FF"/>
          </w:rPr>
          <w:t>Form 8–K, filed with the SEC on August 27, 2021).</w:t>
        </w:r>
      </w:hyperlink>
    </w:p>
    <w:p>
      <w:pPr>
        <w:spacing w:after="0" w:line="10" w:lineRule="exact"/>
        <w:rPr>
          <w:sz w:val="20"/>
          <w:szCs w:val="20"/>
          <w:color w:val="auto"/>
        </w:rPr>
      </w:pPr>
    </w:p>
    <w:p>
      <w:pPr>
        <w:ind w:left="1140" w:right="80" w:hanging="1032"/>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265">
        <w:r>
          <w:rPr>
            <w:rFonts w:ascii="Times New Roman" w:cs="Times New Roman" w:eastAsia="Times New Roman" w:hAnsi="Times New Roman"/>
            <w:sz w:val="18"/>
            <w:szCs w:val="18"/>
            <w:u w:val="single" w:color="auto"/>
            <w:color w:val="0000FF"/>
          </w:rPr>
          <w:t>Humacyte, Inc. Annual Bonus Plan (incorporated by reference to Exhibit 10.8 to Humacyte, Inc.’s Current Report on Form 8–K, filed</w:t>
        </w:r>
      </w:hyperlink>
      <w:r>
        <w:rPr>
          <w:rFonts w:ascii="Times New Roman" w:cs="Times New Roman" w:eastAsia="Times New Roman" w:hAnsi="Times New Roman"/>
          <w:sz w:val="18"/>
          <w:szCs w:val="18"/>
          <w:u w:val="single" w:color="auto"/>
          <w:color w:val="0000FF"/>
        </w:rPr>
        <w:t xml:space="preserve"> </w:t>
      </w:r>
      <w:hyperlink r:id="rId265">
        <w:r>
          <w:rPr>
            <w:rFonts w:ascii="Times New Roman" w:cs="Times New Roman" w:eastAsia="Times New Roman" w:hAnsi="Times New Roman"/>
            <w:sz w:val="18"/>
            <w:szCs w:val="18"/>
            <w:u w:val="single" w:color="auto"/>
            <w:color w:val="0000FF"/>
          </w:rPr>
          <w:t>with the SEC on August 27, 2021).</w:t>
        </w:r>
      </w:hyperlink>
    </w:p>
    <w:p>
      <w:pPr>
        <w:ind w:left="120"/>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266">
        <w:r>
          <w:rPr>
            <w:rFonts w:ascii="Times New Roman" w:cs="Times New Roman" w:eastAsia="Times New Roman" w:hAnsi="Times New Roman"/>
            <w:sz w:val="17"/>
            <w:szCs w:val="17"/>
            <w:u w:val="single" w:color="auto"/>
            <w:color w:val="0000FF"/>
          </w:rPr>
          <w:t>Humacyte, Inc. 2005 Stock Option Plan (incorporated by reference to Exhibit 10.18 to Humacyte, Inc.’s Registration Statement on S–</w:t>
        </w:r>
      </w:hyperlink>
    </w:p>
    <w:p>
      <w:pPr>
        <w:ind w:left="1140"/>
        <w:spacing w:after="0"/>
        <w:rPr>
          <w:rFonts w:ascii="Times New Roman" w:cs="Times New Roman" w:eastAsia="Times New Roman" w:hAnsi="Times New Roman"/>
          <w:sz w:val="18"/>
          <w:szCs w:val="18"/>
          <w:u w:val="single" w:color="auto"/>
          <w:color w:val="0000FF"/>
        </w:rPr>
      </w:pPr>
      <w:hyperlink r:id="rId266">
        <w:r>
          <w:rPr>
            <w:rFonts w:ascii="Times New Roman" w:cs="Times New Roman" w:eastAsia="Times New Roman" w:hAnsi="Times New Roman"/>
            <w:sz w:val="18"/>
            <w:szCs w:val="18"/>
            <w:u w:val="single" w:color="auto"/>
            <w:color w:val="0000FF"/>
          </w:rPr>
          <w:t>4, filed with the SEC on March 23, 2021).</w:t>
        </w:r>
      </w:hyperlink>
    </w:p>
    <w:p>
      <w:pPr>
        <w:spacing w:after="0" w:line="11" w:lineRule="exact"/>
        <w:rPr>
          <w:sz w:val="20"/>
          <w:szCs w:val="20"/>
          <w:color w:val="auto"/>
        </w:rPr>
      </w:pPr>
    </w:p>
    <w:p>
      <w:pPr>
        <w:ind w:left="1140" w:right="200" w:hanging="1098"/>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10.18.1+</w:t>
      </w:r>
      <w:r>
        <w:rPr>
          <w:sz w:val="20"/>
          <w:szCs w:val="20"/>
          <w:color w:val="auto"/>
        </w:rPr>
        <w:tab/>
      </w:r>
      <w:hyperlink r:id="rId267">
        <w:r>
          <w:rPr>
            <w:rFonts w:ascii="Times New Roman" w:cs="Times New Roman" w:eastAsia="Times New Roman" w:hAnsi="Times New Roman"/>
            <w:sz w:val="18"/>
            <w:szCs w:val="18"/>
            <w:u w:val="single" w:color="auto"/>
            <w:color w:val="0000FF"/>
          </w:rPr>
          <w:t>First Amendment of Humacyte, Inc. 2005 Stock Option Plan, dated March 31, 2008 (incorporated by reference to Exhibit 10.18.1 to</w:t>
        </w:r>
      </w:hyperlink>
      <w:r>
        <w:rPr>
          <w:rFonts w:ascii="Times New Roman" w:cs="Times New Roman" w:eastAsia="Times New Roman" w:hAnsi="Times New Roman"/>
          <w:sz w:val="18"/>
          <w:szCs w:val="18"/>
          <w:u w:val="single" w:color="auto"/>
          <w:color w:val="0000FF"/>
        </w:rPr>
        <w:t xml:space="preserve"> </w:t>
      </w:r>
      <w:hyperlink r:id="rId267">
        <w:r>
          <w:rPr>
            <w:rFonts w:ascii="Times New Roman" w:cs="Times New Roman" w:eastAsia="Times New Roman" w:hAnsi="Times New Roman"/>
            <w:sz w:val="18"/>
            <w:szCs w:val="18"/>
            <w:u w:val="single" w:color="auto"/>
            <w:color w:val="0000FF"/>
          </w:rPr>
          <w:t>Humacyte, Inc.’s Registration Statement on S–4, filed with the SEC on March 23, 2021).</w:t>
        </w:r>
      </w:hyperlink>
    </w:p>
    <w:p>
      <w:pPr>
        <w:spacing w:after="0" w:line="10" w:lineRule="exact"/>
        <w:rPr>
          <w:sz w:val="20"/>
          <w:szCs w:val="20"/>
          <w:color w:val="auto"/>
        </w:rPr>
      </w:pPr>
    </w:p>
    <w:p>
      <w:pPr>
        <w:ind w:left="1140" w:right="80" w:hanging="1098"/>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10.18.2+</w:t>
      </w:r>
      <w:r>
        <w:rPr>
          <w:sz w:val="20"/>
          <w:szCs w:val="20"/>
          <w:color w:val="auto"/>
        </w:rPr>
        <w:tab/>
      </w:r>
      <w:hyperlink r:id="rId268">
        <w:r>
          <w:rPr>
            <w:rFonts w:ascii="Times New Roman" w:cs="Times New Roman" w:eastAsia="Times New Roman" w:hAnsi="Times New Roman"/>
            <w:sz w:val="18"/>
            <w:szCs w:val="18"/>
            <w:u w:val="single" w:color="auto"/>
            <w:color w:val="0000FF"/>
          </w:rPr>
          <w:t>Second Amendment of Humacyte, Inc. 2005 Stock Option Plan, dated October 28, 2011 (incorporated by reference to Exhibit 10.18.2</w:t>
        </w:r>
      </w:hyperlink>
      <w:r>
        <w:rPr>
          <w:rFonts w:ascii="Times New Roman" w:cs="Times New Roman" w:eastAsia="Times New Roman" w:hAnsi="Times New Roman"/>
          <w:sz w:val="18"/>
          <w:szCs w:val="18"/>
          <w:u w:val="single" w:color="auto"/>
          <w:color w:val="0000FF"/>
        </w:rPr>
        <w:t xml:space="preserve"> </w:t>
      </w:r>
      <w:hyperlink r:id="rId268">
        <w:r>
          <w:rPr>
            <w:rFonts w:ascii="Times New Roman" w:cs="Times New Roman" w:eastAsia="Times New Roman" w:hAnsi="Times New Roman"/>
            <w:sz w:val="18"/>
            <w:szCs w:val="18"/>
            <w:u w:val="single" w:color="auto"/>
            <w:color w:val="0000FF"/>
          </w:rPr>
          <w:t>to Humacyte, Inc.’s Registration Statement on S–4, filed with the SEC on March 23, 2021).</w:t>
        </w:r>
      </w:hyperlink>
    </w:p>
    <w:p>
      <w:pPr>
        <w:spacing w:after="0" w:line="10" w:lineRule="exact"/>
        <w:rPr>
          <w:sz w:val="20"/>
          <w:szCs w:val="20"/>
          <w:color w:val="auto"/>
        </w:rPr>
      </w:pPr>
    </w:p>
    <w:p>
      <w:pPr>
        <w:ind w:left="1140" w:right="20" w:hanging="1098"/>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10.18.3+</w:t>
      </w:r>
      <w:r>
        <w:rPr>
          <w:sz w:val="20"/>
          <w:szCs w:val="20"/>
          <w:color w:val="auto"/>
        </w:rPr>
        <w:tab/>
      </w:r>
      <w:hyperlink r:id="rId269">
        <w:r>
          <w:rPr>
            <w:rFonts w:ascii="Times New Roman" w:cs="Times New Roman" w:eastAsia="Times New Roman" w:hAnsi="Times New Roman"/>
            <w:sz w:val="18"/>
            <w:szCs w:val="18"/>
            <w:u w:val="single" w:color="auto"/>
            <w:color w:val="0000FF"/>
          </w:rPr>
          <w:t>Third Amendment of Humacyte, Inc. 2005 Stock Option Plan, dated November 22, 2013 (incorporated by reference to Exhibit 10.18.3</w:t>
        </w:r>
      </w:hyperlink>
      <w:r>
        <w:rPr>
          <w:rFonts w:ascii="Times New Roman" w:cs="Times New Roman" w:eastAsia="Times New Roman" w:hAnsi="Times New Roman"/>
          <w:sz w:val="18"/>
          <w:szCs w:val="18"/>
          <w:u w:val="single" w:color="auto"/>
          <w:color w:val="0000FF"/>
        </w:rPr>
        <w:t xml:space="preserve"> </w:t>
      </w:r>
      <w:hyperlink r:id="rId269">
        <w:r>
          <w:rPr>
            <w:rFonts w:ascii="Times New Roman" w:cs="Times New Roman" w:eastAsia="Times New Roman" w:hAnsi="Times New Roman"/>
            <w:sz w:val="18"/>
            <w:szCs w:val="18"/>
            <w:u w:val="single" w:color="auto"/>
            <w:color w:val="0000FF"/>
          </w:rPr>
          <w:t>to Humacyte, Inc.’s Registration Statement on S–4, filed with the SEC on March 23, 2021).</w:t>
        </w:r>
      </w:hyperlink>
    </w:p>
    <w:p>
      <w:pPr>
        <w:spacing w:after="0" w:line="10" w:lineRule="exact"/>
        <w:rPr>
          <w:sz w:val="20"/>
          <w:szCs w:val="20"/>
          <w:color w:val="auto"/>
        </w:rPr>
      </w:pPr>
    </w:p>
    <w:p>
      <w:pPr>
        <w:ind w:left="1140" w:right="1040" w:hanging="1098"/>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10.18.4+</w:t>
      </w:r>
      <w:r>
        <w:rPr>
          <w:sz w:val="20"/>
          <w:szCs w:val="20"/>
          <w:color w:val="auto"/>
        </w:rPr>
        <w:tab/>
      </w:r>
      <w:hyperlink r:id="rId270">
        <w:r>
          <w:rPr>
            <w:rFonts w:ascii="Times New Roman" w:cs="Times New Roman" w:eastAsia="Times New Roman" w:hAnsi="Times New Roman"/>
            <w:sz w:val="18"/>
            <w:szCs w:val="18"/>
            <w:u w:val="single" w:color="auto"/>
            <w:color w:val="0000FF"/>
          </w:rPr>
          <w:t>Form of Incentive Stock Option Agreement under Humacyte, Inc. 2005 Stock Option Plan (incorporated by reference to</w:t>
        </w:r>
      </w:hyperlink>
      <w:r>
        <w:rPr>
          <w:rFonts w:ascii="Times New Roman" w:cs="Times New Roman" w:eastAsia="Times New Roman" w:hAnsi="Times New Roman"/>
          <w:sz w:val="18"/>
          <w:szCs w:val="18"/>
          <w:u w:val="single" w:color="auto"/>
          <w:color w:val="0000FF"/>
        </w:rPr>
        <w:t xml:space="preserve"> </w:t>
      </w:r>
      <w:hyperlink r:id="rId270">
        <w:r>
          <w:rPr>
            <w:rFonts w:ascii="Times New Roman" w:cs="Times New Roman" w:eastAsia="Times New Roman" w:hAnsi="Times New Roman"/>
            <w:sz w:val="18"/>
            <w:szCs w:val="18"/>
            <w:u w:val="single" w:color="auto"/>
            <w:color w:val="0000FF"/>
          </w:rPr>
          <w:t>Exhibit 10.18.4 to Humacyte, Inc.’s Registration Statement on S–4, filed with the SEC on March 23, 2021).</w:t>
        </w:r>
      </w:hyperlink>
    </w:p>
    <w:p>
      <w:pPr>
        <w:spacing w:after="0" w:line="10" w:lineRule="exact"/>
        <w:rPr>
          <w:sz w:val="20"/>
          <w:szCs w:val="20"/>
          <w:color w:val="auto"/>
        </w:rPr>
      </w:pPr>
    </w:p>
    <w:p>
      <w:pPr>
        <w:jc w:val="center"/>
        <w:ind w:left="40" w:right="780"/>
        <w:spacing w:after="0" w:line="23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10.18.5+     </w:t>
      </w:r>
      <w:hyperlink r:id="rId271">
        <w:r>
          <w:rPr>
            <w:rFonts w:ascii="Times New Roman" w:cs="Times New Roman" w:eastAsia="Times New Roman" w:hAnsi="Times New Roman"/>
            <w:sz w:val="18"/>
            <w:szCs w:val="18"/>
            <w:u w:val="single" w:color="auto"/>
            <w:color w:val="0000FF"/>
          </w:rPr>
          <w:t>Form of Nonqualified Stock Option Agreement under Humacyte, Inc. 2005 Stock Option Plan (incorporated by reference to</w:t>
        </w:r>
      </w:hyperlink>
      <w:r>
        <w:rPr>
          <w:rFonts w:ascii="Times New Roman" w:cs="Times New Roman" w:eastAsia="Times New Roman" w:hAnsi="Times New Roman"/>
          <w:sz w:val="18"/>
          <w:szCs w:val="18"/>
          <w:color w:val="auto"/>
        </w:rPr>
        <w:t xml:space="preserve"> </w:t>
      </w:r>
      <w:hyperlink r:id="rId271">
        <w:r>
          <w:rPr>
            <w:rFonts w:ascii="Times New Roman" w:cs="Times New Roman" w:eastAsia="Times New Roman" w:hAnsi="Times New Roman"/>
            <w:sz w:val="18"/>
            <w:szCs w:val="18"/>
            <w:u w:val="single" w:color="auto"/>
            <w:color w:val="0000FF"/>
          </w:rPr>
          <w:t>Exhibit 10.18.5 to Humacyte, Inc.’s Registration Statement on S–4, filed with the SEC on March 23, 2021).</w:t>
        </w:r>
      </w:hyperlink>
    </w:p>
    <w:p>
      <w:pPr>
        <w:spacing w:after="0" w:line="10" w:lineRule="exact"/>
        <w:rPr>
          <w:sz w:val="20"/>
          <w:szCs w:val="20"/>
          <w:color w:val="auto"/>
        </w:rPr>
      </w:pPr>
    </w:p>
    <w:p>
      <w:pPr>
        <w:ind w:left="1140" w:right="120" w:hanging="1032"/>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272">
        <w:r>
          <w:rPr>
            <w:rFonts w:ascii="Times New Roman" w:cs="Times New Roman" w:eastAsia="Times New Roman" w:hAnsi="Times New Roman"/>
            <w:sz w:val="18"/>
            <w:szCs w:val="18"/>
            <w:u w:val="single" w:color="auto"/>
            <w:color w:val="0000FF"/>
          </w:rPr>
          <w:t>Humacyte, Inc. 2015 Omnibus Incentive Plan (incorporated by reference to Exhibit 10.19 to Humacyte, Inc.’s Registration Statement</w:t>
        </w:r>
      </w:hyperlink>
      <w:r>
        <w:rPr>
          <w:rFonts w:ascii="Times New Roman" w:cs="Times New Roman" w:eastAsia="Times New Roman" w:hAnsi="Times New Roman"/>
          <w:sz w:val="18"/>
          <w:szCs w:val="18"/>
          <w:u w:val="single" w:color="auto"/>
          <w:color w:val="0000FF"/>
        </w:rPr>
        <w:t xml:space="preserve"> </w:t>
      </w:r>
      <w:hyperlink r:id="rId272">
        <w:r>
          <w:rPr>
            <w:rFonts w:ascii="Times New Roman" w:cs="Times New Roman" w:eastAsia="Times New Roman" w:hAnsi="Times New Roman"/>
            <w:sz w:val="18"/>
            <w:szCs w:val="18"/>
            <w:u w:val="single" w:color="auto"/>
            <w:color w:val="0000FF"/>
          </w:rPr>
          <w:t>on S–4, filed with the SEC on March 23, 2021).</w:t>
        </w:r>
      </w:hyperlink>
    </w:p>
    <w:p>
      <w:pPr>
        <w:spacing w:after="0" w:line="10" w:lineRule="exact"/>
        <w:rPr>
          <w:sz w:val="20"/>
          <w:szCs w:val="20"/>
          <w:color w:val="auto"/>
        </w:rPr>
      </w:pPr>
    </w:p>
    <w:p>
      <w:pPr>
        <w:jc w:val="center"/>
        <w:ind w:left="40" w:right="940"/>
        <w:spacing w:after="0" w:line="23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10.19.1+     </w:t>
      </w:r>
      <w:hyperlink r:id="rId273">
        <w:r>
          <w:rPr>
            <w:rFonts w:ascii="Times New Roman" w:cs="Times New Roman" w:eastAsia="Times New Roman" w:hAnsi="Times New Roman"/>
            <w:sz w:val="18"/>
            <w:szCs w:val="18"/>
            <w:u w:val="single" w:color="auto"/>
            <w:color w:val="0000FF"/>
          </w:rPr>
          <w:t>First Amendment to Humacyte, Inc. 2015 Omnibus Incentive Plan, dated February 23, 2018 (incorporated by reference to</w:t>
        </w:r>
      </w:hyperlink>
      <w:r>
        <w:rPr>
          <w:rFonts w:ascii="Times New Roman" w:cs="Times New Roman" w:eastAsia="Times New Roman" w:hAnsi="Times New Roman"/>
          <w:sz w:val="18"/>
          <w:szCs w:val="18"/>
          <w:color w:val="auto"/>
        </w:rPr>
        <w:t xml:space="preserve"> </w:t>
      </w:r>
      <w:hyperlink r:id="rId273">
        <w:r>
          <w:rPr>
            <w:rFonts w:ascii="Times New Roman" w:cs="Times New Roman" w:eastAsia="Times New Roman" w:hAnsi="Times New Roman"/>
            <w:sz w:val="18"/>
            <w:szCs w:val="18"/>
            <w:u w:val="single" w:color="auto"/>
            <w:color w:val="0000FF"/>
          </w:rPr>
          <w:t>Exhibit 10.19.1 to Humacyte, Inc.’s Registration Statement on S–4, filed with the SEC on March 23, 2021).</w:t>
        </w:r>
      </w:hyperlink>
    </w:p>
    <w:p>
      <w:pPr>
        <w:spacing w:after="0" w:line="10" w:lineRule="exact"/>
        <w:rPr>
          <w:sz w:val="20"/>
          <w:szCs w:val="20"/>
          <w:color w:val="auto"/>
        </w:rPr>
      </w:pPr>
    </w:p>
    <w:p>
      <w:pPr>
        <w:ind w:left="1140" w:hanging="1098"/>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10.19.2+</w:t>
      </w:r>
      <w:r>
        <w:rPr>
          <w:sz w:val="20"/>
          <w:szCs w:val="20"/>
          <w:color w:val="auto"/>
        </w:rPr>
        <w:tab/>
      </w:r>
      <w:hyperlink r:id="rId274">
        <w:r>
          <w:rPr>
            <w:rFonts w:ascii="Times New Roman" w:cs="Times New Roman" w:eastAsia="Times New Roman" w:hAnsi="Times New Roman"/>
            <w:sz w:val="18"/>
            <w:szCs w:val="18"/>
            <w:u w:val="single" w:color="auto"/>
            <w:color w:val="0000FF"/>
          </w:rPr>
          <w:t>Second Amendment to Humacyte, Inc. 2015 Omnibus Incentive Plan, dated June 6, 2018 (incorporated by reference to Exhibit 10.19.2</w:t>
        </w:r>
      </w:hyperlink>
      <w:r>
        <w:rPr>
          <w:rFonts w:ascii="Times New Roman" w:cs="Times New Roman" w:eastAsia="Times New Roman" w:hAnsi="Times New Roman"/>
          <w:sz w:val="18"/>
          <w:szCs w:val="18"/>
          <w:u w:val="single" w:color="auto"/>
          <w:color w:val="0000FF"/>
        </w:rPr>
        <w:t xml:space="preserve"> </w:t>
      </w:r>
      <w:hyperlink r:id="rId274">
        <w:r>
          <w:rPr>
            <w:rFonts w:ascii="Times New Roman" w:cs="Times New Roman" w:eastAsia="Times New Roman" w:hAnsi="Times New Roman"/>
            <w:sz w:val="18"/>
            <w:szCs w:val="18"/>
            <w:u w:val="single" w:color="auto"/>
            <w:color w:val="0000FF"/>
          </w:rPr>
          <w:t>to Humacyte, Inc.’s Registration Statement on S–4, filed with the SEC on March 23, 2021).</w:t>
        </w:r>
      </w:hyperlink>
    </w:p>
    <w:p>
      <w:pPr>
        <w:spacing w:after="0" w:line="10" w:lineRule="exact"/>
        <w:rPr>
          <w:sz w:val="20"/>
          <w:szCs w:val="20"/>
          <w:color w:val="auto"/>
        </w:rPr>
      </w:pPr>
    </w:p>
    <w:p>
      <w:pPr>
        <w:ind w:left="1140" w:right="640" w:hanging="1098"/>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10.19.3+</w:t>
      </w:r>
      <w:r>
        <w:rPr>
          <w:sz w:val="20"/>
          <w:szCs w:val="20"/>
          <w:color w:val="auto"/>
        </w:rPr>
        <w:tab/>
      </w:r>
      <w:hyperlink r:id="rId275">
        <w:r>
          <w:rPr>
            <w:rFonts w:ascii="Times New Roman" w:cs="Times New Roman" w:eastAsia="Times New Roman" w:hAnsi="Times New Roman"/>
            <w:sz w:val="18"/>
            <w:szCs w:val="18"/>
            <w:u w:val="single" w:color="auto"/>
            <w:color w:val="0000FF"/>
          </w:rPr>
          <w:t>Form of Incentive Stock Option Agreement under Humacyte, Inc. 2015 Omnibus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275">
        <w:r>
          <w:rPr>
            <w:rFonts w:ascii="Times New Roman" w:cs="Times New Roman" w:eastAsia="Times New Roman" w:hAnsi="Times New Roman"/>
            <w:sz w:val="18"/>
            <w:szCs w:val="18"/>
            <w:u w:val="single" w:color="auto"/>
            <w:color w:val="0000FF"/>
          </w:rPr>
          <w:t>Exhibit 10.19.3 to Humacyte, Inc.’s Registration Statement on S–4, filed with the SEC on March 23, 2021).</w:t>
        </w:r>
      </w:hyperlink>
    </w:p>
    <w:p>
      <w:pPr>
        <w:spacing w:after="0" w:line="10" w:lineRule="exact"/>
        <w:rPr>
          <w:sz w:val="20"/>
          <w:szCs w:val="20"/>
          <w:color w:val="auto"/>
        </w:rPr>
      </w:pPr>
    </w:p>
    <w:p>
      <w:pPr>
        <w:ind w:left="1140" w:right="360" w:hanging="1098"/>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10.19.4+</w:t>
      </w:r>
      <w:r>
        <w:rPr>
          <w:sz w:val="20"/>
          <w:szCs w:val="20"/>
          <w:color w:val="auto"/>
        </w:rPr>
        <w:tab/>
      </w:r>
      <w:hyperlink r:id="rId276">
        <w:r>
          <w:rPr>
            <w:rFonts w:ascii="Times New Roman" w:cs="Times New Roman" w:eastAsia="Times New Roman" w:hAnsi="Times New Roman"/>
            <w:sz w:val="18"/>
            <w:szCs w:val="18"/>
            <w:u w:val="single" w:color="auto"/>
            <w:color w:val="0000FF"/>
          </w:rPr>
          <w:t>Form of Nonqualified Stock Option Agreement under Humacyte, Inc. 2015 Omnibus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276">
        <w:r>
          <w:rPr>
            <w:rFonts w:ascii="Times New Roman" w:cs="Times New Roman" w:eastAsia="Times New Roman" w:hAnsi="Times New Roman"/>
            <w:sz w:val="18"/>
            <w:szCs w:val="18"/>
            <w:u w:val="single" w:color="auto"/>
            <w:color w:val="0000FF"/>
          </w:rPr>
          <w:t>Exhibit 10.19.4 to Humacyte, Inc.’s Registration Statement on S–4, filed with the SEC on March 23, 2021).</w:t>
        </w:r>
      </w:hyperlink>
    </w:p>
    <w:p>
      <w:pPr>
        <w:spacing w:after="0" w:line="10" w:lineRule="exact"/>
        <w:rPr>
          <w:sz w:val="20"/>
          <w:szCs w:val="20"/>
          <w:color w:val="auto"/>
        </w:rPr>
      </w:pPr>
    </w:p>
    <w:p>
      <w:pPr>
        <w:ind w:left="1140" w:right="540" w:hanging="1032"/>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277">
        <w:r>
          <w:rPr>
            <w:rFonts w:ascii="Times New Roman" w:cs="Times New Roman" w:eastAsia="Times New Roman" w:hAnsi="Times New Roman"/>
            <w:sz w:val="18"/>
            <w:szCs w:val="18"/>
            <w:u w:val="single" w:color="auto"/>
            <w:color w:val="0000FF"/>
          </w:rPr>
          <w:t>Form of Indemnity Agreement by and between Humacyte, Inc. and each of its directors and executive officers (incorporated by</w:t>
        </w:r>
      </w:hyperlink>
      <w:r>
        <w:rPr>
          <w:rFonts w:ascii="Times New Roman" w:cs="Times New Roman" w:eastAsia="Times New Roman" w:hAnsi="Times New Roman"/>
          <w:sz w:val="18"/>
          <w:szCs w:val="18"/>
          <w:u w:val="single" w:color="auto"/>
          <w:color w:val="0000FF"/>
        </w:rPr>
        <w:t xml:space="preserve"> </w:t>
      </w:r>
      <w:hyperlink r:id="rId277">
        <w:r>
          <w:rPr>
            <w:rFonts w:ascii="Times New Roman" w:cs="Times New Roman" w:eastAsia="Times New Roman" w:hAnsi="Times New Roman"/>
            <w:sz w:val="18"/>
            <w:szCs w:val="18"/>
            <w:u w:val="single" w:color="auto"/>
            <w:color w:val="0000FF"/>
          </w:rPr>
          <w:t>reference to Exhibit 10.23 to Humacyte, Inc.’s Registration Statement on S–4/A, filed with the SEC on July 1, 2021).</w:t>
        </w:r>
      </w:hyperlink>
    </w:p>
    <w:p>
      <w:pPr>
        <w:spacing w:after="0" w:line="10" w:lineRule="exact"/>
        <w:rPr>
          <w:sz w:val="20"/>
          <w:szCs w:val="20"/>
          <w:color w:val="auto"/>
        </w:rPr>
      </w:pPr>
    </w:p>
    <w:p>
      <w:pPr>
        <w:ind w:left="1140" w:right="60" w:hanging="983"/>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278">
        <w:r>
          <w:rPr>
            <w:rFonts w:ascii="Times New Roman" w:cs="Times New Roman" w:eastAsia="Times New Roman" w:hAnsi="Times New Roman"/>
            <w:sz w:val="18"/>
            <w:szCs w:val="18"/>
            <w:u w:val="single" w:color="auto"/>
            <w:color w:val="0000FF"/>
          </w:rPr>
          <w:t>Lease Agreement, dated December 31, 2015, between ARE–NC Region No. 5, LLC and Humacyte, Inc. (incorporated by reference to</w:t>
        </w:r>
      </w:hyperlink>
      <w:r>
        <w:rPr>
          <w:rFonts w:ascii="Times New Roman" w:cs="Times New Roman" w:eastAsia="Times New Roman" w:hAnsi="Times New Roman"/>
          <w:sz w:val="18"/>
          <w:szCs w:val="18"/>
          <w:u w:val="single" w:color="auto"/>
          <w:color w:val="0000FF"/>
        </w:rPr>
        <w:t xml:space="preserve"> </w:t>
      </w:r>
      <w:hyperlink r:id="rId278">
        <w:r>
          <w:rPr>
            <w:rFonts w:ascii="Times New Roman" w:cs="Times New Roman" w:eastAsia="Times New Roman" w:hAnsi="Times New Roman"/>
            <w:sz w:val="18"/>
            <w:szCs w:val="18"/>
            <w:u w:val="single" w:color="auto"/>
            <w:color w:val="0000FF"/>
          </w:rPr>
          <w:t>Exhibit 10.22 to Humacyte, Inc.’s Registration Statement on S–4, filed with the SEC on March 23, 2021).</w:t>
        </w:r>
      </w:hyperlink>
    </w:p>
    <w:p>
      <w:pPr>
        <w:spacing w:after="0" w:line="10" w:lineRule="exact"/>
        <w:rPr>
          <w:sz w:val="20"/>
          <w:szCs w:val="20"/>
          <w:color w:val="auto"/>
        </w:rPr>
      </w:pPr>
    </w:p>
    <w:p>
      <w:pPr>
        <w:ind w:left="1140" w:right="280" w:hanging="1049"/>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10.21.1</w:t>
      </w:r>
      <w:r>
        <w:rPr>
          <w:sz w:val="20"/>
          <w:szCs w:val="20"/>
          <w:color w:val="auto"/>
        </w:rPr>
        <w:tab/>
      </w:r>
      <w:hyperlink r:id="rId279">
        <w:r>
          <w:rPr>
            <w:rFonts w:ascii="Times New Roman" w:cs="Times New Roman" w:eastAsia="Times New Roman" w:hAnsi="Times New Roman"/>
            <w:sz w:val="18"/>
            <w:szCs w:val="18"/>
            <w:u w:val="single" w:color="auto"/>
            <w:color w:val="0000FF"/>
          </w:rPr>
          <w:t>First Amendment to Lease, dated September 30, 2016, between ARE–NC Region No. 5, LLC and Humacyte, Inc. (incorporated by</w:t>
        </w:r>
      </w:hyperlink>
      <w:r>
        <w:rPr>
          <w:rFonts w:ascii="Times New Roman" w:cs="Times New Roman" w:eastAsia="Times New Roman" w:hAnsi="Times New Roman"/>
          <w:sz w:val="18"/>
          <w:szCs w:val="18"/>
          <w:u w:val="single" w:color="auto"/>
          <w:color w:val="0000FF"/>
        </w:rPr>
        <w:t xml:space="preserve"> </w:t>
      </w:r>
      <w:hyperlink r:id="rId279">
        <w:r>
          <w:rPr>
            <w:rFonts w:ascii="Times New Roman" w:cs="Times New Roman" w:eastAsia="Times New Roman" w:hAnsi="Times New Roman"/>
            <w:sz w:val="18"/>
            <w:szCs w:val="18"/>
            <w:u w:val="single" w:color="auto"/>
            <w:color w:val="0000FF"/>
          </w:rPr>
          <w:t>reference to Exhibit 10.22.1 to Humacyte, Inc.’s Registration Statement on S–4, filed with the SEC on March 23, 2021).</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680"/>
          </w:cols>
          <w:pgMar w:left="640" w:top="293" w:right="579" w:bottom="1440" w:gutter="0" w:footer="0" w:header="0"/>
          <w:type w:val="continuous"/>
        </w:sectPr>
      </w:pPr>
    </w:p>
    <w:bookmarkStart w:id="162" w:name="page163"/>
    <w:bookmarkEnd w:id="162"/>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0" w:type="dxa"/>
            <w:vAlign w:val="bottom"/>
            <w:gridSpan w:val="12"/>
          </w:tcPr>
          <w:p>
            <w:pPr>
              <w:ind w:left="1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3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6"/>
              </w:rPr>
              <w:t>10.21.2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18"/>
          </w:tcPr>
          <w:p>
            <w:pPr>
              <w:spacing w:after="0" w:line="178"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Second Amendment to Lease, dated February 8, 2017, between ARE–NC Region No. 5, LLC and Humacyte, Inc. (incorporated by</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281">
              <w:r>
                <w:rPr>
                  <w:rFonts w:ascii="Times New Roman" w:cs="Times New Roman" w:eastAsia="Times New Roman" w:hAnsi="Times New Roman"/>
                  <w:sz w:val="17"/>
                  <w:szCs w:val="17"/>
                  <w:color w:val="0000FF"/>
                </w:rPr>
                <w:t>reference to Exhibit 10.22.2 to Humacyte, Inc.’s Registration Statement on S–4, filed with the SEC on March 23, 2021).</w:t>
              </w:r>
            </w:hyperlink>
          </w:p>
        </w:tc>
        <w:tc>
          <w:tcPr>
            <w:tcW w:w="760" w:type="dxa"/>
            <w:vAlign w:val="bottom"/>
            <w:tcBorders>
              <w:top w:val="single" w:sz="8" w:color="0000FF"/>
            </w:tcBorders>
            <w:gridSpan w:val="3"/>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18"/>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Third Amendment to Lease, dated April 21, 2017, between ARE–NC Region No. 5, LLC and Humacyte, Inc. (incorporated by</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282">
              <w:r>
                <w:rPr>
                  <w:rFonts w:ascii="Times New Roman" w:cs="Times New Roman" w:eastAsia="Times New Roman" w:hAnsi="Times New Roman"/>
                  <w:sz w:val="17"/>
                  <w:szCs w:val="17"/>
                  <w:color w:val="0000FF"/>
                </w:rPr>
                <w:t>reference to Exhibit 10.22.3 to Humacyte, Inc.’s Registration Statement on S–4, filed with the SEC on March 23, 2021).</w:t>
              </w:r>
            </w:hyperlink>
          </w:p>
        </w:tc>
        <w:tc>
          <w:tcPr>
            <w:tcW w:w="46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18"/>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Fourth Amendment to Lease, dated October 31, 2017, between ARE–NC Region No. 5, LLC and Humacyte, Inc. (incorporated by</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283">
              <w:r>
                <w:rPr>
                  <w:rFonts w:ascii="Times New Roman" w:cs="Times New Roman" w:eastAsia="Times New Roman" w:hAnsi="Times New Roman"/>
                  <w:sz w:val="17"/>
                  <w:szCs w:val="17"/>
                  <w:color w:val="0000FF"/>
                </w:rPr>
                <w:t>reference to Exhibit 10.22.4 to Humacyte, Inc.’s Registration Statement on S–4, filed with the SEC on March 23, 2021).</w:t>
              </w:r>
            </w:hyperlink>
          </w:p>
        </w:tc>
        <w:tc>
          <w:tcPr>
            <w:tcW w:w="2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114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21.1!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Subsidiaries of the Registrant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23.1!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Consent of PricewaterhouseCoopers LLP.</w:t>
            </w:r>
          </w:p>
        </w:tc>
        <w:tc>
          <w:tcPr>
            <w:tcW w:w="66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under the Securities Exchange Act of 1934, as</w:t>
            </w:r>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tcBorders>
              <w:top w:val="single" w:sz="8" w:color="0000FF"/>
              <w:bottom w:val="single" w:sz="8" w:color="0000FF"/>
            </w:tcBorders>
            <w:gridSpan w:val="7"/>
          </w:tcPr>
          <w:p>
            <w:pPr>
              <w:spacing w:after="0" w:line="178" w:lineRule="exact"/>
              <w:rPr>
                <w:sz w:val="20"/>
                <w:szCs w:val="20"/>
                <w:color w:val="auto"/>
              </w:rPr>
            </w:pPr>
            <w:r>
              <w:rPr>
                <w:rFonts w:ascii="Times New Roman" w:cs="Times New Roman" w:eastAsia="Times New Roman" w:hAnsi="Times New Roman"/>
                <w:sz w:val="18"/>
                <w:szCs w:val="18"/>
                <w:color w:val="0000FF"/>
                <w:w w:val="97"/>
              </w:rPr>
              <w:t>adopted pursuant to Section 302 of the Sarbanes-Oxley Act of 2002.</w:t>
            </w:r>
          </w:p>
        </w:tc>
        <w:tc>
          <w:tcPr>
            <w:tcW w:w="474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w:t>
            </w:r>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tcBorders>
              <w:top w:val="single" w:sz="8" w:color="0000FF"/>
              <w:bottom w:val="single" w:sz="8" w:color="0000FF"/>
            </w:tcBorders>
            <w:gridSpan w:val="7"/>
          </w:tcPr>
          <w:p>
            <w:pPr>
              <w:spacing w:after="0" w:line="178" w:lineRule="exact"/>
              <w:rPr>
                <w:sz w:val="20"/>
                <w:szCs w:val="20"/>
                <w:color w:val="auto"/>
              </w:rPr>
            </w:pPr>
            <w:r>
              <w:rPr>
                <w:rFonts w:ascii="Times New Roman" w:cs="Times New Roman" w:eastAsia="Times New Roman" w:hAnsi="Times New Roman"/>
                <w:sz w:val="18"/>
                <w:szCs w:val="18"/>
                <w:color w:val="0000FF"/>
                <w:w w:val="97"/>
              </w:rPr>
              <w:t>adopted pursuant to Section 302 of the Sarbanes-Oxley Act of 2002.</w:t>
            </w:r>
          </w:p>
        </w:tc>
        <w:tc>
          <w:tcPr>
            <w:tcW w:w="476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tcBorders>
              <w:top w:val="single" w:sz="8" w:color="0000FF"/>
            </w:tcBorders>
            <w:gridSpan w:val="15"/>
          </w:tcPr>
          <w:p>
            <w:pPr>
              <w:spacing w:after="0" w:line="178" w:lineRule="exact"/>
              <w:rPr>
                <w:sz w:val="20"/>
                <w:szCs w:val="20"/>
                <w:color w:val="auto"/>
              </w:rPr>
            </w:pPr>
            <w:r>
              <w:rPr>
                <w:rFonts w:ascii="Times New Roman" w:cs="Times New Roman" w:eastAsia="Times New Roman" w:hAnsi="Times New Roman"/>
                <w:sz w:val="18"/>
                <w:szCs w:val="18"/>
                <w:color w:val="0000FF"/>
              </w:rPr>
              <w:t>Oxley Act of 2002.</w:t>
            </w: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62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78" w:lineRule="exact"/>
              <w:rPr>
                <w:sz w:val="20"/>
                <w:szCs w:val="20"/>
                <w:color w:val="auto"/>
              </w:rPr>
            </w:pPr>
            <w:r>
              <w:rPr>
                <w:rFonts w:ascii="Times New Roman" w:cs="Times New Roman" w:eastAsia="Times New Roman" w:hAnsi="Times New Roman"/>
                <w:sz w:val="18"/>
                <w:szCs w:val="18"/>
                <w:color w:val="0000FF"/>
                <w:w w:val="97"/>
              </w:rPr>
              <w:t>Act of 2002.</w:t>
            </w:r>
          </w:p>
        </w:tc>
        <w:tc>
          <w:tcPr>
            <w:tcW w:w="8640" w:type="dxa"/>
            <w:vAlign w:val="bottom"/>
            <w:tcBorders>
              <w:top w:val="single" w:sz="8" w:color="0000FF"/>
            </w:tcBorders>
            <w:gridSpan w:val="13"/>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20" w:type="dxa"/>
            <w:vAlign w:val="bottom"/>
            <w:gridSpan w:val="18"/>
          </w:tcPr>
          <w:p>
            <w:pPr>
              <w:spacing w:after="0"/>
              <w:rPr>
                <w:rFonts w:ascii="Times New Roman" w:cs="Times New Roman" w:eastAsia="Times New Roman" w:hAnsi="Times New Roman"/>
                <w:sz w:val="18"/>
                <w:szCs w:val="18"/>
                <w:color w:val="0000FF"/>
                <w:w w:val="99"/>
              </w:rPr>
            </w:pPr>
            <w:hyperlink r:id="rId284">
              <w:r>
                <w:rPr>
                  <w:rFonts w:ascii="Times New Roman" w:cs="Times New Roman" w:eastAsia="Times New Roman" w:hAnsi="Times New Roman"/>
                  <w:sz w:val="18"/>
                  <w:szCs w:val="18"/>
                  <w:color w:val="0000FF"/>
                  <w:w w:val="99"/>
                </w:rPr>
                <w:t>Humacyte, Inc. Compensation Clawback Policy, (incorporated by reference to Exhibit 97 to Humacyte, Inc.’s Annual Report on Form</w:t>
              </w:r>
            </w:hyperlink>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7"/>
                <w:szCs w:val="17"/>
                <w:color w:val="0000FF"/>
              </w:rPr>
            </w:pPr>
            <w:hyperlink r:id="rId284">
              <w:r>
                <w:rPr>
                  <w:rFonts w:ascii="Times New Roman" w:cs="Times New Roman" w:eastAsia="Times New Roman" w:hAnsi="Times New Roman"/>
                  <w:sz w:val="17"/>
                  <w:szCs w:val="17"/>
                  <w:color w:val="0000FF"/>
                </w:rPr>
                <w:t>10-K filed with the SEC on March 28, 2024).</w:t>
              </w:r>
            </w:hyperlink>
          </w:p>
        </w:tc>
        <w:tc>
          <w:tcPr>
            <w:tcW w:w="6260" w:type="dxa"/>
            <w:vAlign w:val="bottom"/>
            <w:tcBorders>
              <w:top w:val="single" w:sz="8" w:color="0000FF"/>
            </w:tcBorders>
            <w:gridSpan w:val="7"/>
          </w:tcPr>
          <w:p>
            <w:pPr>
              <w:spacing w:after="0"/>
              <w:rPr>
                <w:sz w:val="13"/>
                <w:szCs w:val="13"/>
                <w:color w:val="auto"/>
              </w:rPr>
            </w:pPr>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460" w:right="260" w:hanging="939"/>
        <w:spacing w:after="0" w:line="223" w:lineRule="auto"/>
        <w:tabs>
          <w:tab w:leader="none" w:pos="144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The following materials from Humacyte, Inc.’s Annual Report on Form 10-K for the year ended December 31, 2024, formatted in Inline XBRL (Inline eXtensible Business Reporting Language): (i) Consolidated Balance Sheets as of December 31, 2024 and 2023,</w:t>
      </w:r>
    </w:p>
    <w:p>
      <w:pPr>
        <w:spacing w:after="0" w:line="1" w:lineRule="exact"/>
        <w:rPr>
          <w:sz w:val="20"/>
          <w:szCs w:val="20"/>
          <w:color w:val="auto"/>
        </w:rPr>
      </w:pPr>
    </w:p>
    <w:p>
      <w:pPr>
        <w:ind w:left="1460" w:right="380" w:firstLine="6"/>
        <w:spacing w:after="0" w:line="214" w:lineRule="auto"/>
        <w:tabs>
          <w:tab w:leader="none" w:pos="1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and Comprehensive Loss for the years ended December 31, 2024 and 2023, (iii) Consolidated Statements of Changes in Stockholders’ Equity (Deficit) for the years ended December 31, 2024 and 2023, (iv) Consolidated Statements of Cash Flows for the years ended December 31, 2024 and 2023, and (v) Notes to Consolidated Financial Statements.</w:t>
      </w:r>
    </w:p>
    <w:p>
      <w:pPr>
        <w:spacing w:after="0" w:line="9" w:lineRule="exact"/>
        <w:rPr>
          <w:sz w:val="20"/>
          <w:szCs w:val="20"/>
          <w:color w:val="auto"/>
        </w:rPr>
      </w:pPr>
    </w:p>
    <w:p>
      <w:pPr>
        <w:ind w:left="540"/>
        <w:spacing w:after="0"/>
        <w:tabs>
          <w:tab w:leader="none" w:pos="1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1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7"/>
          <w:szCs w:val="17"/>
          <w:color w:val="231F20"/>
        </w:rPr>
        <w:t>Filed herewith.</w:t>
      </w:r>
    </w:p>
    <w:p>
      <w:pPr>
        <w:spacing w:after="0" w:line="111" w:lineRule="exact"/>
        <w:rPr>
          <w:sz w:val="20"/>
          <w:szCs w:val="20"/>
          <w:color w:val="auto"/>
        </w:rPr>
      </w:pPr>
    </w:p>
    <w:p>
      <w:pPr>
        <w:ind w:left="640" w:hanging="634"/>
        <w:spacing w:after="0" w:line="271" w:lineRule="auto"/>
        <w:tabs>
          <w:tab w:leader="none" w:pos="26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Annexes, schedules and exhibits have been omitted pursuant to Item 601(b)(2) of Regulation S-K. The registrant agrees to furnish supplementally a copy of any omitted attachment to the Securities and Exchange Commission on a confidential basis upon request.</w:t>
      </w:r>
    </w:p>
    <w:p>
      <w:pPr>
        <w:spacing w:after="0" w:line="62" w:lineRule="exact"/>
        <w:rPr>
          <w:sz w:val="20"/>
          <w:szCs w:val="20"/>
          <w:color w:val="auto"/>
        </w:rPr>
      </w:pPr>
    </w:p>
    <w:p>
      <w:pPr>
        <w:ind w:left="640" w:right="100" w:hanging="634"/>
        <w:spacing w:after="0" w:line="271" w:lineRule="auto"/>
        <w:tabs>
          <w:tab w:leader="none" w:pos="264"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confidential information contained in this exhibit, market by brackets, has been omitted because the information (i) is not material and (ii) is the type of information the company both customarily and actually treats as private or confidential.</w:t>
      </w:r>
    </w:p>
    <w:p>
      <w:pPr>
        <w:spacing w:after="0" w:line="6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7"/>
          <w:szCs w:val="17"/>
          <w:color w:val="231F20"/>
        </w:rPr>
        <w:t>Management contract or compensatory plan or arrangement.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16. Form 10-K Summary.</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None.</w:t>
      </w:r>
    </w:p>
    <w:p>
      <w:pPr>
        <w:spacing w:after="0" w:line="200" w:lineRule="exact"/>
        <w:rPr>
          <w:sz w:val="20"/>
          <w:szCs w:val="20"/>
          <w:color w:val="auto"/>
        </w:rPr>
      </w:pPr>
    </w:p>
    <w:p>
      <w:pPr>
        <w:spacing w:after="0" w:line="38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320" w:top="293" w:right="499" w:bottom="1440" w:gutter="0" w:footer="0" w:header="0"/>
        </w:sectPr>
      </w:pPr>
    </w:p>
    <w:bookmarkStart w:id="163" w:name="page164"/>
    <w:bookmarkEnd w:id="16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179" w:lineRule="exact"/>
        <w:rPr>
          <w:sz w:val="20"/>
          <w:szCs w:val="20"/>
          <w:color w:val="auto"/>
        </w:rPr>
      </w:pPr>
    </w:p>
    <w:p>
      <w:pPr>
        <w:ind w:right="200" w:firstLine="318"/>
        <w:spacing w:after="0" w:line="271" w:lineRule="auto"/>
        <w:rPr>
          <w:sz w:val="20"/>
          <w:szCs w:val="20"/>
          <w:color w:val="auto"/>
        </w:rPr>
      </w:pPr>
      <w:r>
        <w:rPr>
          <w:rFonts w:ascii="Times New Roman" w:cs="Times New Roman" w:eastAsia="Times New Roman" w:hAnsi="Times New Roman"/>
          <w:sz w:val="18"/>
          <w:szCs w:val="18"/>
          <w:color w:val="231F20"/>
        </w:rPr>
        <w:t>Pursuant to the requirements of Section 13 or 15(d) of the Securities Act of 1934, as amended, the registrant has duly caused this Annual Report on Form 10-K to be signed on its behalf by the undersigned, thereunto duly authorized.</w:t>
      </w:r>
    </w:p>
    <w:p>
      <w:pPr>
        <w:spacing w:after="0" w:line="16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285" w:lineRule="exact"/>
        <w:rPr>
          <w:sz w:val="20"/>
          <w:szCs w:val="20"/>
          <w:color w:val="auto"/>
        </w:rPr>
      </w:pPr>
    </w:p>
    <w:p>
      <w:pPr>
        <w:ind w:left="690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4667885</wp:posOffset>
            </wp:positionH>
            <wp:positionV relativeFrom="paragraph">
              <wp:posOffset>14605</wp:posOffset>
            </wp:positionV>
            <wp:extent cx="25330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6">
                      <a:extLst>
                        <a:ext uri="{28A0092B-C50C-407E-A947-70E740481C1C}"/>
                      </a:extLst>
                    </a:blip>
                    <a:srcRect/>
                    <a:stretch>
                      <a:fillRect/>
                    </a:stretch>
                  </pic:blipFill>
                  <pic:spPr bwMode="auto">
                    <a:xfrm>
                      <a:off x="0" y="0"/>
                      <a:ext cx="2533015" cy="8255"/>
                    </a:xfrm>
                    <a:prstGeom prst="rect">
                      <a:avLst/>
                    </a:prstGeom>
                    <a:noFill/>
                  </pic:spPr>
                </pic:pic>
              </a:graphicData>
            </a:graphic>
          </wp:anchor>
        </w:drawing>
      </w:r>
    </w:p>
    <w:p>
      <w:pPr>
        <w:spacing w:after="0" w:line="1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Name: Laura E. Niklason, M.D., Ph.D.</w:t>
      </w:r>
    </w:p>
    <w:p>
      <w:pPr>
        <w:spacing w:after="0" w:line="2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Date: March 31, 2025</w:t>
      </w:r>
    </w:p>
    <w:p>
      <w:pPr>
        <w:spacing w:after="0" w:line="190" w:lineRule="exact"/>
        <w:rPr>
          <w:sz w:val="20"/>
          <w:szCs w:val="20"/>
          <w:color w:val="auto"/>
        </w:rPr>
      </w:pPr>
    </w:p>
    <w:p>
      <w:pPr>
        <w:ind w:right="180" w:firstLine="318"/>
        <w:spacing w:after="0" w:line="271"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as amended, this Annual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36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530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8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4"/>
        </w:trPr>
        <w:tc>
          <w:tcPr>
            <w:tcW w:w="3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E. Niklason</w:t>
            </w:r>
          </w:p>
        </w:tc>
        <w:tc>
          <w:tcPr>
            <w:tcW w:w="8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4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E. Niklason, M.D., Ph.D.</w:t>
            </w:r>
          </w:p>
        </w:tc>
        <w:tc>
          <w:tcPr>
            <w:tcW w:w="80" w:type="dxa"/>
            <w:vAlign w:val="bottom"/>
          </w:tcPr>
          <w:p>
            <w:pPr>
              <w:spacing w:after="0"/>
              <w:rPr>
                <w:sz w:val="21"/>
                <w:szCs w:val="21"/>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Dale A. Sander</w:t>
            </w:r>
          </w:p>
        </w:tc>
        <w:tc>
          <w:tcPr>
            <w:tcW w:w="80" w:type="dxa"/>
            <w:vAlign w:val="bottom"/>
          </w:tcPr>
          <w:p>
            <w:pPr>
              <w:spacing w:after="0"/>
              <w:rPr>
                <w:sz w:val="21"/>
                <w:szCs w:val="21"/>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Chief Corporate Development Officer and</w:t>
            </w:r>
          </w:p>
        </w:tc>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164"/>
        </w:trPr>
        <w:tc>
          <w:tcPr>
            <w:tcW w:w="33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30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7"/>
                <w:szCs w:val="17"/>
                <w:color w:val="auto"/>
              </w:rPr>
              <w:t>Treasurer</w:t>
            </w: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Dale A. Sander</w:t>
            </w:r>
          </w:p>
        </w:tc>
        <w:tc>
          <w:tcPr>
            <w:tcW w:w="8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Kathleen Sebelius</w:t>
            </w:r>
          </w:p>
        </w:tc>
        <w:tc>
          <w:tcPr>
            <w:tcW w:w="8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Kathleen Sebelius</w:t>
            </w:r>
          </w:p>
        </w:tc>
        <w:tc>
          <w:tcPr>
            <w:tcW w:w="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Bamforth</w:t>
            </w:r>
          </w:p>
        </w:tc>
        <w:tc>
          <w:tcPr>
            <w:tcW w:w="8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Bamforth</w:t>
            </w:r>
          </w:p>
        </w:tc>
        <w:tc>
          <w:tcPr>
            <w:tcW w:w="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Emery N. Brown</w:t>
            </w:r>
          </w:p>
        </w:tc>
        <w:tc>
          <w:tcPr>
            <w:tcW w:w="80" w:type="dxa"/>
            <w:vAlign w:val="bottom"/>
          </w:tcPr>
          <w:p>
            <w:pPr>
              <w:spacing w:after="0"/>
              <w:rPr>
                <w:sz w:val="23"/>
                <w:szCs w:val="23"/>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Emery N. Brown, M.D., Ph.D.</w:t>
            </w:r>
          </w:p>
        </w:tc>
        <w:tc>
          <w:tcPr>
            <w:tcW w:w="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T. Constantino</w:t>
            </w:r>
          </w:p>
        </w:tc>
        <w:tc>
          <w:tcPr>
            <w:tcW w:w="80" w:type="dxa"/>
            <w:vAlign w:val="bottom"/>
          </w:tcPr>
          <w:p>
            <w:pPr>
              <w:spacing w:after="0"/>
              <w:rPr>
                <w:sz w:val="23"/>
                <w:szCs w:val="23"/>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T. Constantino</w:t>
            </w:r>
          </w:p>
        </w:tc>
        <w:tc>
          <w:tcPr>
            <w:tcW w:w="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Brady W. Dougan</w:t>
            </w:r>
          </w:p>
        </w:tc>
        <w:tc>
          <w:tcPr>
            <w:tcW w:w="80" w:type="dxa"/>
            <w:vAlign w:val="bottom"/>
          </w:tcPr>
          <w:p>
            <w:pPr>
              <w:spacing w:after="0"/>
              <w:rPr>
                <w:sz w:val="23"/>
                <w:szCs w:val="23"/>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Brady W. Dougan</w:t>
            </w:r>
          </w:p>
        </w:tc>
        <w:tc>
          <w:tcPr>
            <w:tcW w:w="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 Bruce Green</w:t>
            </w:r>
          </w:p>
        </w:tc>
        <w:tc>
          <w:tcPr>
            <w:tcW w:w="80" w:type="dxa"/>
            <w:vAlign w:val="bottom"/>
          </w:tcPr>
          <w:p>
            <w:pPr>
              <w:spacing w:after="0"/>
              <w:rPr>
                <w:sz w:val="23"/>
                <w:szCs w:val="23"/>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Bruce Green, M.D.</w:t>
            </w:r>
          </w:p>
        </w:tc>
        <w:tc>
          <w:tcPr>
            <w:tcW w:w="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Keith Anthony Jones</w:t>
            </w:r>
          </w:p>
        </w:tc>
        <w:tc>
          <w:tcPr>
            <w:tcW w:w="80" w:type="dxa"/>
            <w:vAlign w:val="bottom"/>
          </w:tcPr>
          <w:p>
            <w:pPr>
              <w:spacing w:after="0"/>
              <w:rPr>
                <w:sz w:val="23"/>
                <w:szCs w:val="23"/>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Keith Anthony Jones, M.D.</w:t>
            </w:r>
          </w:p>
        </w:tc>
        <w:tc>
          <w:tcPr>
            <w:tcW w:w="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Todd M. Pope</w:t>
            </w:r>
          </w:p>
        </w:tc>
        <w:tc>
          <w:tcPr>
            <w:tcW w:w="80" w:type="dxa"/>
            <w:vAlign w:val="bottom"/>
          </w:tcPr>
          <w:p>
            <w:pPr>
              <w:spacing w:after="0"/>
              <w:rPr>
                <w:sz w:val="23"/>
                <w:szCs w:val="23"/>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M. Pope</w:t>
            </w:r>
          </w:p>
        </w:tc>
        <w:tc>
          <w:tcPr>
            <w:tcW w:w="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Diane Seimetz</w:t>
            </w:r>
          </w:p>
        </w:tc>
        <w:tc>
          <w:tcPr>
            <w:tcW w:w="80" w:type="dxa"/>
            <w:vAlign w:val="bottom"/>
          </w:tcPr>
          <w:p>
            <w:pPr>
              <w:spacing w:after="0"/>
              <w:rPr>
                <w:sz w:val="23"/>
                <w:szCs w:val="23"/>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Diane Seimetz, Ph.D.</w:t>
            </w:r>
          </w:p>
        </w:tc>
        <w:tc>
          <w:tcPr>
            <w:tcW w:w="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Max Wallace</w:t>
            </w:r>
          </w:p>
        </w:tc>
        <w:tc>
          <w:tcPr>
            <w:tcW w:w="80" w:type="dxa"/>
            <w:vAlign w:val="bottom"/>
          </w:tcPr>
          <w:p>
            <w:pPr>
              <w:spacing w:after="0"/>
              <w:rPr>
                <w:sz w:val="23"/>
                <w:szCs w:val="23"/>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 Wallace, J.D.</w:t>
            </w:r>
          </w:p>
        </w:tc>
        <w:tc>
          <w:tcPr>
            <w:tcW w:w="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Windham-Bannister</w:t>
            </w:r>
          </w:p>
        </w:tc>
        <w:tc>
          <w:tcPr>
            <w:tcW w:w="80" w:type="dxa"/>
            <w:vAlign w:val="bottom"/>
          </w:tcPr>
          <w:p>
            <w:pPr>
              <w:spacing w:after="0"/>
              <w:rPr>
                <w:sz w:val="23"/>
                <w:szCs w:val="23"/>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Windham-Bannister, Ph.D.</w:t>
            </w:r>
          </w:p>
        </w:tc>
        <w:tc>
          <w:tcPr>
            <w:tcW w:w="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2"/>
        </w:trPr>
        <w:tc>
          <w:tcPr>
            <w:tcW w:w="3360" w:type="dxa"/>
            <w:vAlign w:val="bottom"/>
          </w:tcPr>
          <w:p>
            <w:pPr>
              <w:spacing w:after="0"/>
              <w:rPr>
                <w:sz w:val="24"/>
                <w:szCs w:val="24"/>
                <w:color w:val="auto"/>
              </w:rPr>
            </w:pPr>
          </w:p>
        </w:tc>
        <w:tc>
          <w:tcPr>
            <w:tcW w:w="5280" w:type="dxa"/>
            <w:vAlign w:val="bottom"/>
            <w:gridSpan w:val="2"/>
          </w:tcPr>
          <w:p>
            <w:pPr>
              <w:jc w:val="right"/>
              <w:ind w:right="2953"/>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293" w:right="2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02"/>
        <w:spacing w:after="0"/>
        <w:rPr>
          <w:sz w:val="20"/>
          <w:szCs w:val="20"/>
          <w:color w:val="auto"/>
        </w:rPr>
      </w:pPr>
      <w:r>
        <w:rPr>
          <w:rFonts w:ascii="Times New Roman" w:cs="Times New Roman" w:eastAsia="Times New Roman" w:hAnsi="Times New Roman"/>
          <w:sz w:val="21"/>
          <w:szCs w:val="21"/>
          <w:b w:val="1"/>
          <w:bCs w:val="1"/>
          <w:color w:val="auto"/>
        </w:rPr>
        <w:t>HUMACYTE, INC. INSIDER</w:t>
      </w:r>
    </w:p>
    <w:p>
      <w:pPr>
        <w:spacing w:after="0" w:line="38" w:lineRule="exact"/>
        <w:rPr>
          <w:sz w:val="20"/>
          <w:szCs w:val="20"/>
          <w:color w:val="auto"/>
        </w:rPr>
      </w:pPr>
    </w:p>
    <w:p>
      <w:pPr>
        <w:ind w:left="4582"/>
        <w:spacing w:after="0"/>
        <w:rPr>
          <w:sz w:val="20"/>
          <w:szCs w:val="20"/>
          <w:color w:val="auto"/>
        </w:rPr>
      </w:pPr>
      <w:r>
        <w:rPr>
          <w:rFonts w:ascii="Times New Roman" w:cs="Times New Roman" w:eastAsia="Times New Roman" w:hAnsi="Times New Roman"/>
          <w:sz w:val="21"/>
          <w:szCs w:val="21"/>
          <w:b w:val="1"/>
          <w:bCs w:val="1"/>
          <w:color w:val="auto"/>
        </w:rPr>
        <w:t>TRADING POLICY</w:t>
      </w:r>
    </w:p>
    <w:p>
      <w:pPr>
        <w:spacing w:after="0" w:line="200" w:lineRule="exact"/>
        <w:rPr>
          <w:sz w:val="20"/>
          <w:szCs w:val="20"/>
          <w:color w:val="auto"/>
        </w:rPr>
      </w:pPr>
    </w:p>
    <w:p>
      <w:pPr>
        <w:spacing w:after="0" w:line="258" w:lineRule="exact"/>
        <w:rPr>
          <w:sz w:val="20"/>
          <w:szCs w:val="20"/>
          <w:color w:val="auto"/>
        </w:rPr>
      </w:pPr>
    </w:p>
    <w:p>
      <w:pPr>
        <w:ind w:left="622" w:hanging="622"/>
        <w:spacing w:after="0"/>
        <w:tabs>
          <w:tab w:leader="none" w:pos="622"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PURPOSE</w:t>
      </w:r>
    </w:p>
    <w:p>
      <w:pPr>
        <w:spacing w:after="0" w:line="226" w:lineRule="exact"/>
        <w:rPr>
          <w:sz w:val="20"/>
          <w:szCs w:val="20"/>
          <w:color w:val="auto"/>
        </w:rPr>
      </w:pPr>
    </w:p>
    <w:p>
      <w:pPr>
        <w:ind w:left="2" w:right="160" w:firstLine="635"/>
        <w:spacing w:after="0" w:line="259" w:lineRule="auto"/>
        <w:rPr>
          <w:sz w:val="20"/>
          <w:szCs w:val="20"/>
          <w:color w:val="auto"/>
        </w:rPr>
      </w:pPr>
      <w:r>
        <w:rPr>
          <w:rFonts w:ascii="Times New Roman" w:cs="Times New Roman" w:eastAsia="Times New Roman" w:hAnsi="Times New Roman"/>
          <w:sz w:val="21"/>
          <w:szCs w:val="21"/>
          <w:color w:val="auto"/>
        </w:rPr>
        <w:t>Humacyte, Inc. (“Humacyte” or the “Company”) has adopted the following policies and procedures with respect to trading in Humacyte securities by members of Company’s board of directors, officers and employees. These policies and procedures are designed to help you comply with insider trading laws, handle confidential information properly and avoid potentially embarrassing public disclosures and the appearance of impropriety. You are receiving this policy because you are a Humacyte officer, director or employee, or an external contractor or consultant who has or may have access to material nonpublic information, and are subject to this policy.</w:t>
      </w:r>
    </w:p>
    <w:p>
      <w:pPr>
        <w:spacing w:after="0" w:line="170" w:lineRule="exact"/>
        <w:rPr>
          <w:sz w:val="20"/>
          <w:szCs w:val="20"/>
          <w:color w:val="auto"/>
        </w:rPr>
      </w:pPr>
    </w:p>
    <w:p>
      <w:pPr>
        <w:ind w:left="2" w:right="400" w:firstLine="635"/>
        <w:spacing w:after="0" w:line="261" w:lineRule="auto"/>
        <w:rPr>
          <w:sz w:val="20"/>
          <w:szCs w:val="20"/>
          <w:color w:val="auto"/>
        </w:rPr>
      </w:pPr>
      <w:r>
        <w:rPr>
          <w:rFonts w:ascii="Times New Roman" w:cs="Times New Roman" w:eastAsia="Times New Roman" w:hAnsi="Times New Roman"/>
          <w:sz w:val="21"/>
          <w:szCs w:val="21"/>
          <w:color w:val="auto"/>
        </w:rPr>
        <w:t>All directors, officers and employees, and external contractors and consultants who have access to material nonpublic information, are responsible for reading these policies and procedures and complying with them. Further, even after you are no longer employed by or affiliated with Humacyte, you must maintain the confidentiality of any confidential or proprietary information obtained during your employment or affiliation with Humacyte.</w:t>
      </w:r>
    </w:p>
    <w:p>
      <w:pPr>
        <w:spacing w:after="0" w:line="180" w:lineRule="exact"/>
        <w:rPr>
          <w:sz w:val="20"/>
          <w:szCs w:val="20"/>
          <w:color w:val="auto"/>
        </w:rPr>
      </w:pPr>
    </w:p>
    <w:p>
      <w:pPr>
        <w:ind w:left="2" w:right="200" w:firstLine="635"/>
        <w:spacing w:after="0" w:line="267" w:lineRule="auto"/>
        <w:rPr>
          <w:sz w:val="20"/>
          <w:szCs w:val="20"/>
          <w:color w:val="auto"/>
        </w:rPr>
      </w:pPr>
      <w:r>
        <w:rPr>
          <w:rFonts w:ascii="Times New Roman" w:cs="Times New Roman" w:eastAsia="Times New Roman" w:hAnsi="Times New Roman"/>
          <w:sz w:val="21"/>
          <w:szCs w:val="21"/>
          <w:color w:val="auto"/>
        </w:rPr>
        <w:t>Penalties for violating these policies and procedures may involve any appropriate remedy, including termination of employment. In addition, the Securities and Exchange Commission (SEC) and criminal prosecutors vigorously enforce insider trading laws. Violation of insider trading laws could result in civil and criminal penalties under applicable federal securities laws.</w:t>
      </w:r>
    </w:p>
    <w:p>
      <w:pPr>
        <w:spacing w:after="0" w:line="160" w:lineRule="exact"/>
        <w:rPr>
          <w:sz w:val="20"/>
          <w:szCs w:val="20"/>
          <w:color w:val="auto"/>
        </w:rPr>
      </w:pPr>
    </w:p>
    <w:p>
      <w:pPr>
        <w:ind w:left="2" w:right="400" w:firstLine="635"/>
        <w:spacing w:after="0" w:line="265" w:lineRule="auto"/>
        <w:rPr>
          <w:sz w:val="20"/>
          <w:szCs w:val="20"/>
          <w:color w:val="auto"/>
        </w:rPr>
      </w:pPr>
      <w:r>
        <w:rPr>
          <w:rFonts w:ascii="Times New Roman" w:cs="Times New Roman" w:eastAsia="Times New Roman" w:hAnsi="Times New Roman"/>
          <w:sz w:val="21"/>
          <w:szCs w:val="21"/>
          <w:color w:val="auto"/>
        </w:rPr>
        <w:t>If you have any questions about the application of these policies and procedures, or if you would like to make a request for an exception, please contact the Chief Financial Officer (“CFO”). Although the CFO generally is responsible for the implementation of these policies and procedures, the board of directors may designate employees to carry out any of the duties described below.</w:t>
      </w:r>
    </w:p>
    <w:p>
      <w:pPr>
        <w:spacing w:after="0" w:line="187" w:lineRule="exact"/>
        <w:rPr>
          <w:sz w:val="20"/>
          <w:szCs w:val="20"/>
          <w:color w:val="auto"/>
        </w:rPr>
      </w:pPr>
    </w:p>
    <w:p>
      <w:pPr>
        <w:ind w:left="622" w:hanging="622"/>
        <w:spacing w:after="0"/>
        <w:tabs>
          <w:tab w:leader="none" w:pos="622"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PERSONS COVERED</w:t>
      </w:r>
    </w:p>
    <w:p>
      <w:pPr>
        <w:spacing w:after="0" w:line="265" w:lineRule="exact"/>
        <w:rPr>
          <w:sz w:val="20"/>
          <w:szCs w:val="20"/>
          <w:color w:val="auto"/>
        </w:rPr>
      </w:pPr>
    </w:p>
    <w:p>
      <w:pPr>
        <w:ind w:left="2" w:right="380" w:firstLine="635"/>
        <w:spacing w:after="0" w:line="256" w:lineRule="auto"/>
        <w:rPr>
          <w:sz w:val="20"/>
          <w:szCs w:val="20"/>
          <w:color w:val="auto"/>
        </w:rPr>
      </w:pPr>
      <w:r>
        <w:rPr>
          <w:rFonts w:ascii="Times New Roman" w:cs="Times New Roman" w:eastAsia="Times New Roman" w:hAnsi="Times New Roman"/>
          <w:sz w:val="21"/>
          <w:szCs w:val="21"/>
          <w:color w:val="auto"/>
        </w:rPr>
        <w:t>This policy applies to all (i) directors, officers, employees (permanent or temporary, salaried or hourly) and (ii) external contractors and consultants who have access to material nonpublic information, of Humacyte and its subsidiaries, both inside and outside the United States (collectively, “covered persons”). This policy also applies to all immediate family members of covered persons, any other members of the covered person’s family, and other household members (other than tenants and household employees) of covered persons (collectively, “family members”). This policy further applies to all corporations, limited liability companies, partnerships, trusts or other entities controlled by covered persons or family members.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78"/>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142"/>
          </w:cols>
          <w:pgMar w:left="418" w:top="338" w:right="339" w:bottom="1440" w:gutter="0" w:footer="0" w:header="0"/>
        </w:sectPr>
      </w:pPr>
    </w:p>
    <w:bookmarkStart w:id="165" w:name="page166"/>
    <w:bookmarkEnd w:id="165"/>
    <w:p>
      <w:pPr>
        <w:ind w:left="622" w:hanging="622"/>
        <w:spacing w:after="0"/>
        <w:tabs>
          <w:tab w:leader="none" w:pos="622"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COVERED TRANSACTIONS</w:t>
      </w:r>
    </w:p>
    <w:p>
      <w:pPr>
        <w:spacing w:after="0" w:line="252" w:lineRule="exact"/>
        <w:rPr>
          <w:sz w:val="20"/>
          <w:szCs w:val="20"/>
          <w:color w:val="auto"/>
        </w:rPr>
      </w:pPr>
    </w:p>
    <w:p>
      <w:pPr>
        <w:ind w:left="2" w:firstLine="635"/>
        <w:spacing w:after="0" w:line="261" w:lineRule="auto"/>
        <w:rPr>
          <w:sz w:val="20"/>
          <w:szCs w:val="20"/>
          <w:color w:val="auto"/>
        </w:rPr>
      </w:pPr>
      <w:r>
        <w:rPr>
          <w:rFonts w:ascii="Times New Roman" w:cs="Times New Roman" w:eastAsia="Times New Roman" w:hAnsi="Times New Roman"/>
          <w:sz w:val="21"/>
          <w:szCs w:val="21"/>
          <w:color w:val="auto"/>
        </w:rPr>
        <w:t>This policy applies to all transactions in all Humacyte securities, which may include common stock, preferred stock, debt securities, warrants or options to acquire common stock, derivative securities, units or any other type of securities that the Company may issue. This policy also applies to securities of other companies about which you learn material nonpublic information during the course of your relationship with Humacyte.</w:t>
      </w:r>
    </w:p>
    <w:p>
      <w:pPr>
        <w:spacing w:after="0" w:line="203" w:lineRule="exact"/>
        <w:rPr>
          <w:sz w:val="20"/>
          <w:szCs w:val="20"/>
          <w:color w:val="auto"/>
        </w:rPr>
      </w:pPr>
    </w:p>
    <w:p>
      <w:pPr>
        <w:ind w:left="2"/>
        <w:spacing w:after="0"/>
        <w:tabs>
          <w:tab w:leader="none" w:pos="582" w:val="left"/>
        </w:tabs>
        <w:rPr>
          <w:sz w:val="20"/>
          <w:szCs w:val="20"/>
          <w:color w:val="auto"/>
        </w:rPr>
      </w:pPr>
      <w:r>
        <w:rPr>
          <w:rFonts w:ascii="Times New Roman" w:cs="Times New Roman" w:eastAsia="Times New Roman" w:hAnsi="Times New Roman"/>
          <w:sz w:val="21"/>
          <w:szCs w:val="21"/>
          <w:b w:val="1"/>
          <w:bCs w:val="1"/>
          <w:color w:val="auto"/>
        </w:rPr>
        <w:t>IV.</w:t>
        <w:tab/>
        <w:t>POLICY AGAINST INSIDER TRADING</w:t>
      </w:r>
    </w:p>
    <w:p>
      <w:pPr>
        <w:spacing w:after="0" w:line="248" w:lineRule="exact"/>
        <w:rPr>
          <w:sz w:val="20"/>
          <w:szCs w:val="20"/>
          <w:color w:val="auto"/>
        </w:rPr>
      </w:pPr>
    </w:p>
    <w:p>
      <w:pPr>
        <w:ind w:left="1262" w:hanging="628"/>
        <w:spacing w:after="0"/>
        <w:tabs>
          <w:tab w:leader="none" w:pos="1262"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 Prohibition Against Insider Trading</w:t>
      </w:r>
    </w:p>
    <w:p>
      <w:pPr>
        <w:spacing w:after="0" w:line="252" w:lineRule="exact"/>
        <w:rPr>
          <w:sz w:val="20"/>
          <w:szCs w:val="20"/>
          <w:color w:val="auto"/>
        </w:rPr>
      </w:pPr>
    </w:p>
    <w:p>
      <w:pPr>
        <w:ind w:left="2" w:right="140" w:firstLine="635"/>
        <w:spacing w:after="0" w:line="265" w:lineRule="auto"/>
        <w:rPr>
          <w:sz w:val="20"/>
          <w:szCs w:val="20"/>
          <w:color w:val="auto"/>
        </w:rPr>
      </w:pPr>
      <w:r>
        <w:rPr>
          <w:rFonts w:ascii="Times New Roman" w:cs="Times New Roman" w:eastAsia="Times New Roman" w:hAnsi="Times New Roman"/>
          <w:sz w:val="19"/>
          <w:szCs w:val="19"/>
          <w:color w:val="auto"/>
        </w:rPr>
        <w:t>F</w:t>
      </w:r>
      <w:r>
        <w:rPr>
          <w:rFonts w:ascii="Times New Roman" w:cs="Times New Roman" w:eastAsia="Times New Roman" w:hAnsi="Times New Roman"/>
          <w:sz w:val="21"/>
          <w:szCs w:val="21"/>
          <w:color w:val="auto"/>
        </w:rPr>
        <w:t>ederal and state laws prohibit “insider trading,” the purchase or sale of securities, in breach of a fiduciary duty or 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relationship of trust and confidence, on the basis of material nonpublic information about the security. Any covered person, or any other person designated by this policy, who has material nonpublic information relating to Humacyte may not, until the information becomes public or is no longer material:</w:t>
      </w:r>
    </w:p>
    <w:p>
      <w:pPr>
        <w:spacing w:after="0" w:line="164" w:lineRule="exact"/>
        <w:rPr>
          <w:sz w:val="20"/>
          <w:szCs w:val="20"/>
          <w:color w:val="auto"/>
        </w:rPr>
      </w:pPr>
    </w:p>
    <w:p>
      <w:pPr>
        <w:ind w:left="1262" w:hanging="310"/>
        <w:spacing w:after="0"/>
        <w:tabs>
          <w:tab w:leader="none" w:pos="126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in transactions in Humacyte securities, directly or indirectly, except as specifically noted herein;</w:t>
      </w:r>
    </w:p>
    <w:p>
      <w:pPr>
        <w:spacing w:after="0" w:line="234" w:lineRule="exact"/>
        <w:rPr>
          <w:rFonts w:ascii="Times New Roman" w:cs="Times New Roman" w:eastAsia="Times New Roman" w:hAnsi="Times New Roman"/>
          <w:sz w:val="21"/>
          <w:szCs w:val="21"/>
          <w:color w:val="auto"/>
        </w:rPr>
      </w:pPr>
    </w:p>
    <w:p>
      <w:pPr>
        <w:ind w:left="1262" w:hanging="309"/>
        <w:spacing w:after="0"/>
        <w:tabs>
          <w:tab w:leader="none" w:pos="126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recommend the purchase or sale of any Humacyte securities;</w:t>
      </w:r>
    </w:p>
    <w:p>
      <w:pPr>
        <w:spacing w:after="0" w:line="221" w:lineRule="exact"/>
        <w:rPr>
          <w:rFonts w:ascii="Times New Roman" w:cs="Times New Roman" w:eastAsia="Times New Roman" w:hAnsi="Times New Roman"/>
          <w:sz w:val="21"/>
          <w:szCs w:val="21"/>
          <w:color w:val="auto"/>
        </w:rPr>
      </w:pPr>
    </w:p>
    <w:p>
      <w:pPr>
        <w:ind w:left="1262" w:right="40" w:hanging="310"/>
        <w:spacing w:after="0" w:line="267" w:lineRule="auto"/>
        <w:tabs>
          <w:tab w:leader="none" w:pos="125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in any other action to take personal advantage of that information, including but not limited to, passing on or “tipping” that information to someone who uses it for personal gain, regardless of the quantity of securities traded;</w:t>
      </w:r>
    </w:p>
    <w:p>
      <w:pPr>
        <w:spacing w:after="0" w:line="160" w:lineRule="exact"/>
        <w:rPr>
          <w:rFonts w:ascii="Times New Roman" w:cs="Times New Roman" w:eastAsia="Times New Roman" w:hAnsi="Times New Roman"/>
          <w:sz w:val="21"/>
          <w:szCs w:val="21"/>
          <w:color w:val="auto"/>
        </w:rPr>
      </w:pPr>
    </w:p>
    <w:p>
      <w:pPr>
        <w:ind w:left="1262" w:right="80" w:hanging="310"/>
        <w:spacing w:after="0" w:line="261" w:lineRule="auto"/>
        <w:tabs>
          <w:tab w:leader="none" w:pos="125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 material nonpublic information to persons within Humacyte whose jobs do not require them to have that information, or outside of Humacyte to other persons, including, but not limited to family, friends, business associates, investors and expert consulting firms, unless any such disclosure is made in express accordance with Humacyte’s policies regarding the protection or authorized external disclosure of information concerning the Company; or</w:t>
      </w:r>
    </w:p>
    <w:p>
      <w:pPr>
        <w:spacing w:after="0" w:line="169" w:lineRule="exact"/>
        <w:rPr>
          <w:rFonts w:ascii="Times New Roman" w:cs="Times New Roman" w:eastAsia="Times New Roman" w:hAnsi="Times New Roman"/>
          <w:sz w:val="21"/>
          <w:szCs w:val="21"/>
          <w:color w:val="auto"/>
        </w:rPr>
      </w:pPr>
    </w:p>
    <w:p>
      <w:pPr>
        <w:ind w:left="1262" w:hanging="309"/>
        <w:spacing w:after="0"/>
        <w:tabs>
          <w:tab w:leader="none" w:pos="126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anyone engaged in the above activities.</w:t>
      </w:r>
    </w:p>
    <w:p>
      <w:pPr>
        <w:spacing w:after="0" w:line="222" w:lineRule="exact"/>
        <w:rPr>
          <w:sz w:val="20"/>
          <w:szCs w:val="20"/>
          <w:color w:val="auto"/>
        </w:rPr>
      </w:pPr>
    </w:p>
    <w:p>
      <w:pPr>
        <w:ind w:left="2" w:right="240" w:firstLine="635"/>
        <w:spacing w:after="0" w:line="261" w:lineRule="auto"/>
        <w:rPr>
          <w:sz w:val="20"/>
          <w:szCs w:val="20"/>
          <w:color w:val="auto"/>
        </w:rPr>
      </w:pPr>
      <w:r>
        <w:rPr>
          <w:rFonts w:ascii="Times New Roman" w:cs="Times New Roman" w:eastAsia="Times New Roman" w:hAnsi="Times New Roman"/>
          <w:sz w:val="21"/>
          <w:szCs w:val="21"/>
          <w:color w:val="auto"/>
        </w:rPr>
        <w:t>Tipping arises when a covered person discloses material nonpublic information about Humacyte or another publicly-traded entity to another person or recommends another person to trade in the securities of a company while in possession of material nonpublic information about that company, and that person either (i) trades in a security of the company in respect of which you provided information or (ii) provides the information to a third person who then makes a trade in a related security. Tipping is illegal even if you do not personally make a trade or otherwise benefit from disclosing the information.</w:t>
      </w:r>
    </w:p>
    <w:p>
      <w:pPr>
        <w:spacing w:after="0" w:line="169" w:lineRule="exact"/>
        <w:rPr>
          <w:sz w:val="20"/>
          <w:szCs w:val="20"/>
          <w:color w:val="auto"/>
        </w:rPr>
      </w:pPr>
    </w:p>
    <w:p>
      <w:pPr>
        <w:ind w:left="2" w:right="280" w:firstLine="635"/>
        <w:spacing w:after="0" w:line="284" w:lineRule="auto"/>
        <w:rPr>
          <w:sz w:val="20"/>
          <w:szCs w:val="20"/>
          <w:color w:val="auto"/>
        </w:rPr>
      </w:pPr>
      <w:r>
        <w:rPr>
          <w:rFonts w:ascii="Times New Roman" w:cs="Times New Roman" w:eastAsia="Times New Roman" w:hAnsi="Times New Roman"/>
          <w:sz w:val="21"/>
          <w:szCs w:val="21"/>
          <w:color w:val="auto"/>
        </w:rPr>
        <w:t>In addition, any covered person who learns of material nonpublic information about another entity, including an entity with whom Humacyte does business, may not trade in that entity’s securities until the information becomes public.</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8"/>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922"/>
          </w:cols>
          <w:pgMar w:left="418" w:top="1233" w:right="559" w:bottom="1440" w:gutter="0" w:footer="0" w:header="0"/>
        </w:sectPr>
      </w:pPr>
    </w:p>
    <w:bookmarkStart w:id="166" w:name="page167"/>
    <w:bookmarkEnd w:id="166"/>
    <w:p>
      <w:pPr>
        <w:ind w:right="320" w:firstLine="635"/>
        <w:spacing w:after="0" w:line="265" w:lineRule="auto"/>
        <w:rPr>
          <w:sz w:val="20"/>
          <w:szCs w:val="20"/>
          <w:color w:val="auto"/>
        </w:rPr>
      </w:pPr>
      <w:r>
        <w:rPr>
          <w:rFonts w:ascii="Times New Roman" w:cs="Times New Roman" w:eastAsia="Times New Roman" w:hAnsi="Times New Roman"/>
          <w:sz w:val="21"/>
          <w:szCs w:val="21"/>
          <w:color w:val="auto"/>
        </w:rPr>
        <w:t>Although you may believe it is necessary or justifiable for independent reasons (such as the need to raise money for an emergency expenditure) to engage in a transaction involving Humacyte’s securities, there are no exceptions to this policy’s prohibition against insider trading. Even the appearance of impropriety must be avoided to preserve Humacyte’s reputation for adhering to the highest standards of conduct.</w:t>
      </w:r>
    </w:p>
    <w:p>
      <w:pPr>
        <w:spacing w:after="0" w:line="164" w:lineRule="exact"/>
        <w:rPr>
          <w:sz w:val="20"/>
          <w:szCs w:val="20"/>
          <w:color w:val="auto"/>
        </w:rPr>
      </w:pPr>
    </w:p>
    <w:p>
      <w:pPr>
        <w:jc w:val="both"/>
        <w:ind w:firstLine="635"/>
        <w:spacing w:after="0" w:line="259" w:lineRule="auto"/>
        <w:rPr>
          <w:sz w:val="20"/>
          <w:szCs w:val="20"/>
          <w:color w:val="auto"/>
        </w:rPr>
      </w:pPr>
      <w:r>
        <w:rPr>
          <w:rFonts w:ascii="Times New Roman" w:cs="Times New Roman" w:eastAsia="Times New Roman" w:hAnsi="Times New Roman"/>
          <w:sz w:val="21"/>
          <w:szCs w:val="21"/>
          <w:color w:val="auto"/>
        </w:rPr>
        <w:t>To ensure compliance with this policy, all covered persons must protect the confidentiality of material nonpublic information, by, for example, avoiding casual conversations about such information in public areas and storing files containing material nonpublic information in secure locations. This policy also covers communications and postings made through the Internet. You must not post any nonpublic or confidential information on the Internet, including through chatrooms, discussion groups, or social media platforms. This includes anonymous posts or discussion on the Internet. For more information, please see the Company’s social media policy.</w:t>
      </w:r>
    </w:p>
    <w:p>
      <w:pPr>
        <w:spacing w:after="0" w:line="64" w:lineRule="exact"/>
        <w:rPr>
          <w:sz w:val="20"/>
          <w:szCs w:val="20"/>
          <w:color w:val="auto"/>
        </w:rPr>
      </w:pPr>
    </w:p>
    <w:p>
      <w:pPr>
        <w:ind w:right="240" w:firstLine="688"/>
        <w:spacing w:after="0" w:line="265" w:lineRule="auto"/>
        <w:rPr>
          <w:sz w:val="20"/>
          <w:szCs w:val="20"/>
          <w:color w:val="auto"/>
        </w:rPr>
      </w:pPr>
      <w:r>
        <w:rPr>
          <w:rFonts w:ascii="Times New Roman" w:cs="Times New Roman" w:eastAsia="Times New Roman" w:hAnsi="Times New Roman"/>
          <w:sz w:val="21"/>
          <w:szCs w:val="21"/>
          <w:color w:val="auto"/>
        </w:rPr>
        <w:t>Because insider trading law is complex, you should contact the CFO if you have any questions about whether information in your possession is material or nonpublic or if a proposed transaction or communication would violate the insider trading laws. You must also report any unauthorized disclosure of material nonpublic information, whether inadvertent or otherwise, immediately to the CFO.</w:t>
      </w:r>
    </w:p>
    <w:p>
      <w:pPr>
        <w:spacing w:after="0" w:line="187" w:lineRule="exact"/>
        <w:rPr>
          <w:sz w:val="20"/>
          <w:szCs w:val="20"/>
          <w:color w:val="auto"/>
        </w:rPr>
      </w:pPr>
    </w:p>
    <w:p>
      <w:pPr>
        <w:ind w:left="1260" w:hanging="628"/>
        <w:spacing w:after="0"/>
        <w:tabs>
          <w:tab w:leader="none" w:pos="1260"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What Information is “Material”?</w:t>
      </w:r>
    </w:p>
    <w:p>
      <w:pPr>
        <w:spacing w:after="0" w:line="252" w:lineRule="exact"/>
        <w:rPr>
          <w:sz w:val="20"/>
          <w:szCs w:val="20"/>
          <w:color w:val="auto"/>
        </w:rPr>
      </w:pPr>
    </w:p>
    <w:p>
      <w:pPr>
        <w:ind w:right="200" w:firstLine="635"/>
        <w:spacing w:after="0" w:line="265" w:lineRule="auto"/>
        <w:rPr>
          <w:sz w:val="20"/>
          <w:szCs w:val="20"/>
          <w:color w:val="auto"/>
        </w:rPr>
      </w:pPr>
      <w:r>
        <w:rPr>
          <w:rFonts w:ascii="Times New Roman" w:cs="Times New Roman" w:eastAsia="Times New Roman" w:hAnsi="Times New Roman"/>
          <w:sz w:val="21"/>
          <w:szCs w:val="21"/>
          <w:color w:val="auto"/>
        </w:rPr>
        <w:t>For the purposes of these policies and procedures, information is “material” if a reasonable investor would consider that information important in making a decision to trade securities. It is also information that, if disclosed, is reasonably likely to affect the market price of Humacyte’s securities. Both positive and negative information can be material. Further, courts and the SEC have declined to identify all information that could be deemed to be material.</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Some examples of material information include:</w:t>
      </w:r>
    </w:p>
    <w:p>
      <w:pPr>
        <w:spacing w:after="0" w:line="248" w:lineRule="exact"/>
        <w:rPr>
          <w:sz w:val="20"/>
          <w:szCs w:val="20"/>
          <w:color w:val="auto"/>
        </w:rPr>
      </w:pPr>
    </w:p>
    <w:p>
      <w:pPr>
        <w:ind w:left="940" w:hanging="308"/>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quarterly or annual earnings information and guidance, including estimates or revisions;</w:t>
      </w:r>
    </w:p>
    <w:p>
      <w:pPr>
        <w:spacing w:after="0" w:line="221" w:lineRule="exact"/>
        <w:rPr>
          <w:rFonts w:ascii="Times New Roman" w:cs="Times New Roman" w:eastAsia="Times New Roman" w:hAnsi="Times New Roman"/>
          <w:sz w:val="21"/>
          <w:szCs w:val="21"/>
          <w:color w:val="auto"/>
        </w:rPr>
      </w:pPr>
    </w:p>
    <w:p>
      <w:pPr>
        <w:ind w:left="940" w:hanging="308"/>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discussions, proposals or agreements for a significant merger, acquisition or divestiture;</w:t>
      </w:r>
    </w:p>
    <w:p>
      <w:pPr>
        <w:spacing w:after="0" w:line="221" w:lineRule="exact"/>
        <w:rPr>
          <w:rFonts w:ascii="Times New Roman" w:cs="Times New Roman" w:eastAsia="Times New Roman" w:hAnsi="Times New Roman"/>
          <w:sz w:val="21"/>
          <w:szCs w:val="21"/>
          <w:color w:val="auto"/>
        </w:rPr>
      </w:pPr>
    </w:p>
    <w:p>
      <w:pPr>
        <w:ind w:left="940" w:hanging="308"/>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threatened litigation or administrative actions, or material developments in such matters;</w:t>
      </w:r>
    </w:p>
    <w:p>
      <w:pPr>
        <w:spacing w:after="0" w:line="221" w:lineRule="exact"/>
        <w:rPr>
          <w:rFonts w:ascii="Times New Roman" w:cs="Times New Roman" w:eastAsia="Times New Roman" w:hAnsi="Times New Roman"/>
          <w:sz w:val="21"/>
          <w:szCs w:val="21"/>
          <w:color w:val="auto"/>
        </w:rPr>
      </w:pPr>
    </w:p>
    <w:p>
      <w:pPr>
        <w:ind w:left="940" w:hanging="308"/>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new or prospective contracts, licensing or collaboration agreements;</w:t>
      </w:r>
    </w:p>
    <w:p>
      <w:pPr>
        <w:spacing w:after="0" w:line="221" w:lineRule="exact"/>
        <w:rPr>
          <w:rFonts w:ascii="Times New Roman" w:cs="Times New Roman" w:eastAsia="Times New Roman" w:hAnsi="Times New Roman"/>
          <w:sz w:val="21"/>
          <w:szCs w:val="21"/>
          <w:color w:val="auto"/>
        </w:rPr>
      </w:pPr>
    </w:p>
    <w:p>
      <w:pPr>
        <w:ind w:left="940" w:right="480" w:hanging="308"/>
        <w:spacing w:after="0" w:line="298" w:lineRule="auto"/>
        <w:tabs>
          <w:tab w:leader="none" w:pos="93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developments or announcements involving the U.S. Food and Drug Administration and any Humacyte products, regulatory applications, or clinical trials;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040"/>
          </w:cols>
          <w:pgMar w:left="420" w:top="1383" w:right="439" w:bottom="1440" w:gutter="0" w:footer="0" w:header="0"/>
        </w:sectPr>
      </w:pPr>
    </w:p>
    <w:bookmarkStart w:id="167" w:name="page168"/>
    <w:bookmarkEnd w:id="167"/>
    <w:p>
      <w:pPr>
        <w:ind w:left="943" w:hanging="307"/>
        <w:spacing w:after="0"/>
        <w:tabs>
          <w:tab w:leader="none" w:pos="94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changes in marketing, pricing strategies or market share;</w:t>
      </w:r>
    </w:p>
    <w:p>
      <w:pPr>
        <w:spacing w:after="0" w:line="221" w:lineRule="exact"/>
        <w:rPr>
          <w:rFonts w:ascii="Times New Roman" w:cs="Times New Roman" w:eastAsia="Times New Roman" w:hAnsi="Times New Roman"/>
          <w:sz w:val="21"/>
          <w:szCs w:val="21"/>
          <w:color w:val="auto"/>
        </w:rPr>
      </w:pPr>
    </w:p>
    <w:p>
      <w:pPr>
        <w:ind w:left="943" w:hanging="308"/>
        <w:spacing w:after="0"/>
        <w:tabs>
          <w:tab w:leader="none" w:pos="94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research and development initiatives, clinical studies, clinical data or new product prospects;</w:t>
      </w:r>
    </w:p>
    <w:p>
      <w:pPr>
        <w:spacing w:after="0" w:line="221" w:lineRule="exact"/>
        <w:rPr>
          <w:rFonts w:ascii="Times New Roman" w:cs="Times New Roman" w:eastAsia="Times New Roman" w:hAnsi="Times New Roman"/>
          <w:sz w:val="21"/>
          <w:szCs w:val="21"/>
          <w:color w:val="auto"/>
        </w:rPr>
      </w:pPr>
    </w:p>
    <w:p>
      <w:pPr>
        <w:ind w:left="943" w:hanging="308"/>
        <w:spacing w:after="0"/>
        <w:tabs>
          <w:tab w:leader="none" w:pos="94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business strategies;</w:t>
      </w:r>
    </w:p>
    <w:p>
      <w:pPr>
        <w:spacing w:after="0" w:line="221" w:lineRule="exact"/>
        <w:rPr>
          <w:rFonts w:ascii="Times New Roman" w:cs="Times New Roman" w:eastAsia="Times New Roman" w:hAnsi="Times New Roman"/>
          <w:sz w:val="21"/>
          <w:szCs w:val="21"/>
          <w:color w:val="auto"/>
        </w:rPr>
      </w:pPr>
    </w:p>
    <w:p>
      <w:pPr>
        <w:ind w:left="943" w:hanging="308"/>
        <w:spacing w:after="0"/>
        <w:tabs>
          <w:tab w:leader="none" w:pos="94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key members of management;</w:t>
      </w:r>
    </w:p>
    <w:p>
      <w:pPr>
        <w:spacing w:after="0" w:line="234" w:lineRule="exact"/>
        <w:rPr>
          <w:rFonts w:ascii="Times New Roman" w:cs="Times New Roman" w:eastAsia="Times New Roman" w:hAnsi="Times New Roman"/>
          <w:sz w:val="21"/>
          <w:szCs w:val="21"/>
          <w:color w:val="auto"/>
        </w:rPr>
      </w:pPr>
    </w:p>
    <w:p>
      <w:pPr>
        <w:ind w:left="943" w:hanging="308"/>
        <w:spacing w:after="0"/>
        <w:tabs>
          <w:tab w:leader="none" w:pos="94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cybersecurity breach or incident;</w:t>
      </w:r>
    </w:p>
    <w:p>
      <w:pPr>
        <w:spacing w:after="0" w:line="221" w:lineRule="exact"/>
        <w:rPr>
          <w:rFonts w:ascii="Times New Roman" w:cs="Times New Roman" w:eastAsia="Times New Roman" w:hAnsi="Times New Roman"/>
          <w:sz w:val="21"/>
          <w:szCs w:val="21"/>
          <w:color w:val="auto"/>
        </w:rPr>
      </w:pPr>
    </w:p>
    <w:p>
      <w:pPr>
        <w:ind w:left="943" w:hanging="308"/>
        <w:spacing w:after="0"/>
        <w:tabs>
          <w:tab w:leader="none" w:pos="94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debt ratings; and</w:t>
      </w:r>
    </w:p>
    <w:p>
      <w:pPr>
        <w:spacing w:after="0" w:line="221" w:lineRule="exact"/>
        <w:rPr>
          <w:rFonts w:ascii="Times New Roman" w:cs="Times New Roman" w:eastAsia="Times New Roman" w:hAnsi="Times New Roman"/>
          <w:sz w:val="21"/>
          <w:szCs w:val="21"/>
          <w:color w:val="auto"/>
        </w:rPr>
      </w:pPr>
    </w:p>
    <w:p>
      <w:pPr>
        <w:ind w:left="943" w:hanging="308"/>
        <w:spacing w:after="0"/>
        <w:tabs>
          <w:tab w:leader="none" w:pos="94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splits or changes in dividend policies.</w:t>
      </w:r>
    </w:p>
    <w:p>
      <w:pPr>
        <w:spacing w:after="0" w:line="222"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21"/>
          <w:szCs w:val="21"/>
          <w:color w:val="auto"/>
        </w:rPr>
        <w:t>The foregoing list does not include all of the information that could be deemed to be material.</w:t>
      </w:r>
    </w:p>
    <w:p>
      <w:pPr>
        <w:spacing w:after="0" w:line="257" w:lineRule="exact"/>
        <w:rPr>
          <w:sz w:val="20"/>
          <w:szCs w:val="20"/>
          <w:color w:val="auto"/>
        </w:rPr>
      </w:pPr>
    </w:p>
    <w:p>
      <w:pPr>
        <w:ind w:left="1263" w:hanging="628"/>
        <w:spacing w:after="0"/>
        <w:tabs>
          <w:tab w:leader="none" w:pos="1263"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What Information is “Nonpublic”?</w:t>
      </w:r>
    </w:p>
    <w:p>
      <w:pPr>
        <w:spacing w:after="0" w:line="252" w:lineRule="exact"/>
        <w:rPr>
          <w:sz w:val="20"/>
          <w:szCs w:val="20"/>
          <w:color w:val="auto"/>
        </w:rPr>
      </w:pPr>
    </w:p>
    <w:p>
      <w:pPr>
        <w:ind w:left="3" w:right="220" w:firstLine="635"/>
        <w:spacing w:after="0" w:line="257" w:lineRule="auto"/>
        <w:rPr>
          <w:sz w:val="20"/>
          <w:szCs w:val="20"/>
          <w:color w:val="auto"/>
        </w:rPr>
      </w:pPr>
      <w:r>
        <w:rPr>
          <w:rFonts w:ascii="Times New Roman" w:cs="Times New Roman" w:eastAsia="Times New Roman" w:hAnsi="Times New Roman"/>
          <w:sz w:val="21"/>
          <w:szCs w:val="21"/>
          <w:color w:val="auto"/>
        </w:rPr>
        <w:t>Information is “nonpublic” if it has not been widely disseminated to the public, such as through a press release carried over a major news service, a public filing with the SEC or materials sent to stockholders (e.g., a proxy statement or widely disseminated prospectus).</w:t>
      </w:r>
    </w:p>
    <w:p>
      <w:pPr>
        <w:spacing w:after="0" w:line="3" w:lineRule="exact"/>
        <w:rPr>
          <w:sz w:val="20"/>
          <w:szCs w:val="20"/>
          <w:color w:val="auto"/>
        </w:rPr>
      </w:pPr>
    </w:p>
    <w:p>
      <w:pPr>
        <w:jc w:val="both"/>
        <w:ind w:left="3" w:right="180"/>
        <w:spacing w:after="0" w:line="262" w:lineRule="auto"/>
        <w:rPr>
          <w:sz w:val="20"/>
          <w:szCs w:val="20"/>
          <w:color w:val="auto"/>
        </w:rPr>
      </w:pPr>
      <w:r>
        <w:rPr>
          <w:rFonts w:ascii="Times New Roman" w:cs="Times New Roman" w:eastAsia="Times New Roman" w:hAnsi="Times New Roman"/>
          <w:sz w:val="21"/>
          <w:szCs w:val="21"/>
          <w:color w:val="auto"/>
        </w:rPr>
        <w:t>Information is also nonpublic if it has been widely disseminated to the public, but sufficient time has not elapsed to permit the investment community to absorb and evaluate the information. In general, one full business day after public release is deemed sufficient for investor absorption and evaluation.</w:t>
      </w:r>
    </w:p>
    <w:p>
      <w:pPr>
        <w:spacing w:after="0" w:line="191" w:lineRule="exact"/>
        <w:rPr>
          <w:sz w:val="20"/>
          <w:szCs w:val="20"/>
          <w:color w:val="auto"/>
        </w:rPr>
      </w:pPr>
    </w:p>
    <w:p>
      <w:pPr>
        <w:ind w:left="3" w:firstLine="635"/>
        <w:spacing w:after="0" w:line="261" w:lineRule="auto"/>
        <w:rPr>
          <w:sz w:val="20"/>
          <w:szCs w:val="20"/>
          <w:color w:val="auto"/>
        </w:rPr>
      </w:pPr>
      <w:r>
        <w:rPr>
          <w:rFonts w:ascii="Times New Roman" w:cs="Times New Roman" w:eastAsia="Times New Roman" w:hAnsi="Times New Roman"/>
          <w:sz w:val="21"/>
          <w:szCs w:val="21"/>
          <w:color w:val="auto"/>
        </w:rPr>
        <w:t>The distribution of information through narrower channels may be insufficient to make it public. For example, merely posting information on a website may not satisfy the “widely disseminated” standard to make such information public. Also, the fact that nonpublic information is reflected in rumors in the marketplace does not mean that the information has been publicly disseminated. It is important to note that even after information becomes public, many aspects relating to a matter may remain nonpublic.</w:t>
      </w:r>
    </w:p>
    <w:p>
      <w:pPr>
        <w:spacing w:after="0" w:line="192" w:lineRule="exact"/>
        <w:rPr>
          <w:sz w:val="20"/>
          <w:szCs w:val="20"/>
          <w:color w:val="auto"/>
        </w:rPr>
      </w:pPr>
    </w:p>
    <w:p>
      <w:pPr>
        <w:ind w:left="603" w:hanging="603"/>
        <w:spacing w:after="0"/>
        <w:tabs>
          <w:tab w:leader="none" w:pos="603"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RULES FOR SPECIFIC TRANSACTIONS</w:t>
      </w:r>
    </w:p>
    <w:p>
      <w:pPr>
        <w:spacing w:after="0" w:line="252" w:lineRule="exact"/>
        <w:rPr>
          <w:sz w:val="20"/>
          <w:szCs w:val="20"/>
          <w:color w:val="auto"/>
        </w:rPr>
      </w:pPr>
    </w:p>
    <w:p>
      <w:pPr>
        <w:ind w:left="3" w:right="280" w:firstLine="635"/>
        <w:spacing w:after="0" w:line="298" w:lineRule="auto"/>
        <w:rPr>
          <w:sz w:val="20"/>
          <w:szCs w:val="20"/>
          <w:color w:val="auto"/>
        </w:rPr>
      </w:pPr>
      <w:r>
        <w:rPr>
          <w:rFonts w:ascii="Times New Roman" w:cs="Times New Roman" w:eastAsia="Times New Roman" w:hAnsi="Times New Roman"/>
          <w:sz w:val="21"/>
          <w:szCs w:val="21"/>
          <w:color w:val="auto"/>
        </w:rPr>
        <w:t>In addition to the general prohibition on insider trading described above, certain specific transaction types and related activities are prohibited by this policy.</w:t>
      </w:r>
    </w:p>
    <w:p>
      <w:pPr>
        <w:spacing w:after="0" w:line="151" w:lineRule="exact"/>
        <w:rPr>
          <w:sz w:val="20"/>
          <w:szCs w:val="20"/>
          <w:color w:val="auto"/>
        </w:rPr>
      </w:pPr>
    </w:p>
    <w:p>
      <w:pPr>
        <w:ind w:left="1263" w:hanging="628"/>
        <w:spacing w:after="0"/>
        <w:tabs>
          <w:tab w:leader="none" w:pos="1263"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Participation in Expert Networks or Similar Consulting Arrangements</w:t>
      </w:r>
    </w:p>
    <w:p>
      <w:pPr>
        <w:spacing w:after="0" w:line="252" w:lineRule="exact"/>
        <w:rPr>
          <w:sz w:val="20"/>
          <w:szCs w:val="20"/>
          <w:color w:val="auto"/>
        </w:rPr>
      </w:pPr>
    </w:p>
    <w:p>
      <w:pPr>
        <w:ind w:left="3" w:firstLine="635"/>
        <w:spacing w:after="0" w:line="265" w:lineRule="auto"/>
        <w:rPr>
          <w:sz w:val="20"/>
          <w:szCs w:val="20"/>
          <w:color w:val="auto"/>
        </w:rPr>
      </w:pPr>
      <w:r>
        <w:rPr>
          <w:rFonts w:ascii="Times New Roman" w:cs="Times New Roman" w:eastAsia="Times New Roman" w:hAnsi="Times New Roman"/>
          <w:sz w:val="21"/>
          <w:szCs w:val="21"/>
          <w:color w:val="auto"/>
        </w:rPr>
        <w:t>You are not permitted to provide information or services about or relating to Humacyte to “expert network firms” or similar consulting firms. Expert network firms may seek to engage you as a consultant due to your knowledge of Humacyte, or your knowledge of our industry overall. Your provision of such consulting services creates the risk that you may use or disclose, deliberately or inadvertently, Humacyte’s confidential information or engage, 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7"/>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863"/>
          </w:cols>
          <w:pgMar w:left="417" w:top="1383" w:right="619" w:bottom="1440" w:gutter="0" w:footer="0" w:header="0"/>
        </w:sectPr>
      </w:pPr>
    </w:p>
    <w:bookmarkStart w:id="168" w:name="page169"/>
    <w:bookmarkEnd w:id="168"/>
    <w:p>
      <w:pPr>
        <w:ind w:right="320"/>
        <w:spacing w:after="0" w:line="284" w:lineRule="auto"/>
        <w:rPr>
          <w:sz w:val="20"/>
          <w:szCs w:val="20"/>
          <w:color w:val="auto"/>
        </w:rPr>
      </w:pPr>
      <w:r>
        <w:rPr>
          <w:rFonts w:ascii="Times New Roman" w:cs="Times New Roman" w:eastAsia="Times New Roman" w:hAnsi="Times New Roman"/>
          <w:sz w:val="21"/>
          <w:szCs w:val="21"/>
          <w:color w:val="auto"/>
        </w:rPr>
        <w:t>assist another party in engaging, in activities that are detrimental to or competitive with the Company. Such activity may also violate federal securities laws. Accordingly, participation in such organizations is strictly prohibited.</w:t>
      </w:r>
    </w:p>
    <w:p>
      <w:pPr>
        <w:spacing w:after="0" w:line="179" w:lineRule="exact"/>
        <w:rPr>
          <w:sz w:val="20"/>
          <w:szCs w:val="20"/>
          <w:color w:val="auto"/>
        </w:rPr>
      </w:pPr>
    </w:p>
    <w:p>
      <w:pPr>
        <w:ind w:left="1260" w:hanging="628"/>
        <w:spacing w:after="0"/>
        <w:tabs>
          <w:tab w:leader="none" w:pos="1260"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Derivatives Transactions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You may not engage in derivative transactions involving Humacyte’s securities.</w:t>
      </w:r>
    </w:p>
    <w:p>
      <w:pPr>
        <w:spacing w:after="0" w:line="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Derivative transactions are speculative transactions that permit a person to leverage his or her investment using a relatively small amount of money. Transactions in options (other than stock options issued by Humacyte) may create the appearance that a covered person is trading based on material nonpublic information and may focus a covered person’s attention on Humacyte’s short-term performance. Examples of derivative transactions include, but are not limited to, purchases and sales of put and call options.</w:t>
      </w:r>
    </w:p>
    <w:p>
      <w:pPr>
        <w:spacing w:after="0" w:line="211" w:lineRule="exact"/>
        <w:rPr>
          <w:sz w:val="20"/>
          <w:szCs w:val="20"/>
          <w:color w:val="auto"/>
        </w:rPr>
      </w:pPr>
    </w:p>
    <w:p>
      <w:pPr>
        <w:ind w:left="1260" w:hanging="628"/>
        <w:spacing w:after="0"/>
        <w:tabs>
          <w:tab w:leader="none" w:pos="1260"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Hedging, Pledging and Lending</w:t>
      </w:r>
    </w:p>
    <w:p>
      <w:pPr>
        <w:spacing w:after="0" w:line="252" w:lineRule="exact"/>
        <w:rPr>
          <w:sz w:val="20"/>
          <w:szCs w:val="20"/>
          <w:color w:val="auto"/>
        </w:rPr>
      </w:pPr>
    </w:p>
    <w:p>
      <w:pPr>
        <w:jc w:val="both"/>
        <w:ind w:firstLine="635"/>
        <w:spacing w:after="0" w:line="267" w:lineRule="auto"/>
        <w:rPr>
          <w:sz w:val="20"/>
          <w:szCs w:val="20"/>
          <w:color w:val="auto"/>
        </w:rPr>
      </w:pPr>
      <w:r>
        <w:rPr>
          <w:rFonts w:ascii="Times New Roman" w:cs="Times New Roman" w:eastAsia="Times New Roman" w:hAnsi="Times New Roman"/>
          <w:sz w:val="21"/>
          <w:szCs w:val="21"/>
          <w:color w:val="auto"/>
        </w:rPr>
        <w:t>You are prohibited from hedging and lending Humacyte securities in any transaction, including by entering into any short sales, swaps, options, puts, calls, forward contracts or any other similar derivatives transaction. Unless authorized in advance by the Board of Directors of Humacyte, you are prohibited from pledging Humacyte securities in any transaction.</w:t>
      </w:r>
    </w:p>
    <w:p>
      <w:pPr>
        <w:spacing w:after="0" w:line="196" w:lineRule="exact"/>
        <w:rPr>
          <w:sz w:val="20"/>
          <w:szCs w:val="20"/>
          <w:color w:val="auto"/>
        </w:rPr>
      </w:pPr>
    </w:p>
    <w:p>
      <w:pPr>
        <w:ind w:left="1260" w:hanging="628"/>
        <w:spacing w:after="0"/>
        <w:tabs>
          <w:tab w:leader="none" w:pos="1260" w:val="left"/>
        </w:tabs>
        <w:numPr>
          <w:ilvl w:val="0"/>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Short Sales</w:t>
      </w:r>
    </w:p>
    <w:p>
      <w:pPr>
        <w:spacing w:after="0" w:line="252" w:lineRule="exact"/>
        <w:rPr>
          <w:sz w:val="20"/>
          <w:szCs w:val="20"/>
          <w:color w:val="auto"/>
        </w:rPr>
      </w:pPr>
    </w:p>
    <w:p>
      <w:pPr>
        <w:ind w:right="80" w:firstLine="635"/>
        <w:spacing w:after="0" w:line="261" w:lineRule="auto"/>
        <w:rPr>
          <w:sz w:val="20"/>
          <w:szCs w:val="20"/>
          <w:color w:val="auto"/>
        </w:rPr>
      </w:pPr>
      <w:r>
        <w:rPr>
          <w:rFonts w:ascii="Times New Roman" w:cs="Times New Roman" w:eastAsia="Times New Roman" w:hAnsi="Times New Roman"/>
          <w:sz w:val="21"/>
          <w:szCs w:val="21"/>
          <w:color w:val="auto"/>
        </w:rPr>
        <w:t>You may not engage in short selling of Humacyte securities. Selling short includes transactions in which you borrow securities from a broker, sell them, and eventually buy securities on the market to cover the number of securities borrowed from the broker. Profit is made if the price of the securities decreases during the period of borrowing. Short sales may evidence an expectation on the part of the seller that the securities will decline in value, and therefore have the potential to signal to the market that the seller lacks confidence in the Company’s prospects.</w:t>
      </w:r>
    </w:p>
    <w:p>
      <w:pPr>
        <w:spacing w:after="0" w:line="192" w:lineRule="exact"/>
        <w:rPr>
          <w:sz w:val="20"/>
          <w:szCs w:val="20"/>
          <w:color w:val="auto"/>
        </w:rPr>
      </w:pPr>
    </w:p>
    <w:p>
      <w:pPr>
        <w:ind w:left="1260" w:hanging="628"/>
        <w:spacing w:after="0"/>
        <w:tabs>
          <w:tab w:leader="none" w:pos="126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Margin Accounts</w:t>
      </w:r>
    </w:p>
    <w:p>
      <w:pPr>
        <w:spacing w:after="0" w:line="265" w:lineRule="exact"/>
        <w:rPr>
          <w:sz w:val="20"/>
          <w:szCs w:val="20"/>
          <w:color w:val="auto"/>
        </w:rPr>
      </w:pPr>
    </w:p>
    <w:p>
      <w:pPr>
        <w:ind w:firstLine="635"/>
        <w:spacing w:after="0" w:line="258" w:lineRule="auto"/>
        <w:rPr>
          <w:sz w:val="20"/>
          <w:szCs w:val="20"/>
          <w:color w:val="auto"/>
        </w:rPr>
      </w:pPr>
      <w:r>
        <w:rPr>
          <w:rFonts w:ascii="Times New Roman" w:cs="Times New Roman" w:eastAsia="Times New Roman" w:hAnsi="Times New Roman"/>
          <w:sz w:val="21"/>
          <w:szCs w:val="21"/>
          <w:color w:val="auto"/>
        </w:rPr>
        <w:t>You may not engage in purchasing Humacyte securities on margin. Purchasing Humacyte securities on margin involves the use of borrowed money from a brokerage firm to purchase the securities. Holding Humacyte securities in a margin account means that the securities can be sold to pay a loan to the brokerage firm. Covered persons are prohibited from holding Humacyte securities in a margin account because a margin sale might occur at a time when the covered person is aware of material nonpublic information.</w:t>
      </w:r>
    </w:p>
    <w:p>
      <w:pPr>
        <w:spacing w:after="0" w:line="207" w:lineRule="exact"/>
        <w:rPr>
          <w:sz w:val="20"/>
          <w:szCs w:val="20"/>
          <w:color w:val="auto"/>
        </w:rPr>
      </w:pPr>
    </w:p>
    <w:p>
      <w:pPr>
        <w:ind w:left="1240" w:hanging="607"/>
        <w:spacing w:after="0"/>
        <w:tabs>
          <w:tab w:leader="none" w:pos="1240" w:val="left"/>
        </w:tabs>
        <w:numPr>
          <w:ilvl w:val="0"/>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Post-Termination Transactions</w:t>
      </w:r>
    </w:p>
    <w:p>
      <w:pPr>
        <w:spacing w:after="0" w:line="252" w:lineRule="exact"/>
        <w:rPr>
          <w:sz w:val="20"/>
          <w:szCs w:val="20"/>
          <w:color w:val="auto"/>
        </w:rPr>
      </w:pPr>
    </w:p>
    <w:p>
      <w:pPr>
        <w:ind w:right="140" w:firstLine="635"/>
        <w:spacing w:after="0" w:line="267" w:lineRule="auto"/>
        <w:rPr>
          <w:sz w:val="20"/>
          <w:szCs w:val="20"/>
          <w:color w:val="auto"/>
        </w:rPr>
      </w:pPr>
      <w:r>
        <w:rPr>
          <w:rFonts w:ascii="Times New Roman" w:cs="Times New Roman" w:eastAsia="Times New Roman" w:hAnsi="Times New Roman"/>
          <w:sz w:val="21"/>
          <w:szCs w:val="21"/>
          <w:color w:val="auto"/>
        </w:rPr>
        <w:t>You may not engage in trading in Humacyte securities while in the possession of material nonpublic information after your relationship with the Company has ended. This policy continues to apply to transactions in Humacyte securities even after termination of service to Humacyte. If an individual is in possession of material non-public information when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920"/>
          </w:cols>
          <w:pgMar w:left="420" w:top="1383" w:right="559" w:bottom="1440" w:gutter="0" w:footer="0" w:header="0"/>
        </w:sectPr>
      </w:pPr>
    </w:p>
    <w:bookmarkStart w:id="169" w:name="page170"/>
    <w:bookmarkEnd w:id="169"/>
    <w:p>
      <w:pPr>
        <w:ind w:right="160"/>
        <w:spacing w:after="0" w:line="284" w:lineRule="auto"/>
        <w:rPr>
          <w:sz w:val="20"/>
          <w:szCs w:val="20"/>
          <w:color w:val="auto"/>
        </w:rPr>
      </w:pPr>
      <w:r>
        <w:rPr>
          <w:rFonts w:ascii="Times New Roman" w:cs="Times New Roman" w:eastAsia="Times New Roman" w:hAnsi="Times New Roman"/>
          <w:sz w:val="21"/>
          <w:szCs w:val="21"/>
          <w:color w:val="auto"/>
        </w:rPr>
        <w:t>his or her service terminates, that individual may not trade in Humacyte securities until that information has become public or is no longer material.</w:t>
      </w:r>
    </w:p>
    <w:p>
      <w:pPr>
        <w:spacing w:after="0" w:line="17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VI.</w:t>
        <w:tab/>
        <w:t>WHEN TRADING IS GENERALLY PERMITTED</w:t>
      </w:r>
    </w:p>
    <w:p>
      <w:pPr>
        <w:spacing w:after="0" w:line="252" w:lineRule="exact"/>
        <w:rPr>
          <w:sz w:val="20"/>
          <w:szCs w:val="20"/>
          <w:color w:val="auto"/>
        </w:rPr>
      </w:pPr>
    </w:p>
    <w:p>
      <w:pPr>
        <w:jc w:val="both"/>
        <w:ind w:right="920" w:firstLine="635"/>
        <w:spacing w:after="0" w:line="265" w:lineRule="auto"/>
        <w:rPr>
          <w:sz w:val="20"/>
          <w:szCs w:val="20"/>
          <w:color w:val="auto"/>
        </w:rPr>
      </w:pPr>
      <w:r>
        <w:rPr>
          <w:rFonts w:ascii="Times New Roman" w:cs="Times New Roman" w:eastAsia="Times New Roman" w:hAnsi="Times New Roman"/>
          <w:sz w:val="21"/>
          <w:szCs w:val="21"/>
          <w:color w:val="auto"/>
        </w:rPr>
        <w:t>To help directors, officers and employees conduct trades in Humacyte securities in compliance with the general prohibition described above, Humacyte has established mechanisms for effecting trades in the company’s securities in compliance with these policies and procedures. If you are not certain whether a proposed transaction complies with the mechanisms described below, you should contact the CFO.</w:t>
      </w:r>
    </w:p>
    <w:p>
      <w:pPr>
        <w:spacing w:after="0" w:line="187" w:lineRule="exact"/>
        <w:rPr>
          <w:sz w:val="20"/>
          <w:szCs w:val="20"/>
          <w:color w:val="auto"/>
        </w:rPr>
      </w:pPr>
    </w:p>
    <w:p>
      <w:pPr>
        <w:ind w:left="1260" w:hanging="628"/>
        <w:spacing w:after="0"/>
        <w:tabs>
          <w:tab w:leader="none" w:pos="1260" w:val="left"/>
        </w:tabs>
        <w:numPr>
          <w:ilvl w:val="0"/>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Window Periods</w:t>
      </w:r>
    </w:p>
    <w:p>
      <w:pPr>
        <w:spacing w:after="0" w:line="252" w:lineRule="exact"/>
        <w:rPr>
          <w:sz w:val="20"/>
          <w:szCs w:val="20"/>
          <w:color w:val="auto"/>
        </w:rPr>
      </w:pPr>
    </w:p>
    <w:p>
      <w:pPr>
        <w:ind w:right="20" w:firstLine="635"/>
        <w:spacing w:after="0" w:line="261" w:lineRule="auto"/>
        <w:rPr>
          <w:sz w:val="20"/>
          <w:szCs w:val="20"/>
          <w:color w:val="auto"/>
        </w:rPr>
      </w:pPr>
      <w:r>
        <w:rPr>
          <w:rFonts w:ascii="Times New Roman" w:cs="Times New Roman" w:eastAsia="Times New Roman" w:hAnsi="Times New Roman"/>
          <w:sz w:val="21"/>
          <w:szCs w:val="21"/>
          <w:color w:val="auto"/>
        </w:rPr>
        <w:t>The Company requires that covered persons limit their trading in Company securities to prescribed “Window Periods.” The periods between Window Periods are considered “Blackout Periods”. Covered persons may not engage in trades in Company securities during Blackout Periods. The requirement to make trades during a Window Period does not apply to transactions described below under the headings “Rule 10b5-1 Plan Trading,” “Option Exercises,” “Estate Planning and Gifts,” “Employee Stock Purchase Plans” and “Tax Obligations.”</w:t>
      </w:r>
    </w:p>
    <w:p>
      <w:pPr>
        <w:spacing w:after="0" w:line="196" w:lineRule="exact"/>
        <w:rPr>
          <w:sz w:val="20"/>
          <w:szCs w:val="20"/>
          <w:color w:val="auto"/>
        </w:rPr>
      </w:pPr>
    </w:p>
    <w:p>
      <w:pPr>
        <w:ind w:firstLine="635"/>
        <w:spacing w:after="0" w:line="259" w:lineRule="auto"/>
        <w:rPr>
          <w:sz w:val="20"/>
          <w:szCs w:val="20"/>
          <w:color w:val="auto"/>
        </w:rPr>
      </w:pPr>
      <w:r>
        <w:rPr>
          <w:rFonts w:ascii="Times New Roman" w:cs="Times New Roman" w:eastAsia="Times New Roman" w:hAnsi="Times New Roman"/>
          <w:sz w:val="21"/>
          <w:szCs w:val="21"/>
          <w:color w:val="auto"/>
        </w:rPr>
        <w:t>Under this policy, a Window Period begins at market opening on the second business day after the Company has issued its usual press release announcing quarterly results and ends two weeks prior to the end of the applicable fiscal quarter. The Company retains the discretion to close a Window Period in the event of any major corporate development that has not been announced to the public. The closing or opening of any Window Period will be announced by email and by posting on Humacyte’s intranet. If you think you have any material nonpublic information during the Window Period, however, you must consult the CFO before trading Humacyte securities.</w:t>
      </w:r>
    </w:p>
    <w:p>
      <w:pPr>
        <w:spacing w:after="0" w:line="210" w:lineRule="exact"/>
        <w:rPr>
          <w:sz w:val="20"/>
          <w:szCs w:val="20"/>
          <w:color w:val="auto"/>
        </w:rPr>
      </w:pPr>
    </w:p>
    <w:p>
      <w:pPr>
        <w:ind w:firstLine="635"/>
        <w:spacing w:after="0" w:line="258" w:lineRule="auto"/>
        <w:rPr>
          <w:sz w:val="20"/>
          <w:szCs w:val="20"/>
          <w:color w:val="auto"/>
        </w:rPr>
      </w:pPr>
      <w:r>
        <w:rPr>
          <w:rFonts w:ascii="Times New Roman" w:cs="Times New Roman" w:eastAsia="Times New Roman" w:hAnsi="Times New Roman"/>
          <w:sz w:val="21"/>
          <w:szCs w:val="21"/>
          <w:color w:val="auto"/>
        </w:rPr>
        <w:t>Humacyte also strongly encourages employees, family members and close associates of any officer, employee or member of the board of directors to confine their trading in Humacyte securities to a Window Period. While there is no violation of insider trading rules if it can be shown that a family member or other person associated with a director, officer or employee acted independently when trading and without knowledge of material nonpublic information, a strong presumption may arise that material nonpublic information has been shared with such person by the officer, employee or member of the board of directors.</w:t>
      </w:r>
    </w:p>
    <w:p>
      <w:pPr>
        <w:spacing w:after="0" w:line="207" w:lineRule="exact"/>
        <w:rPr>
          <w:sz w:val="20"/>
          <w:szCs w:val="20"/>
          <w:color w:val="auto"/>
        </w:rPr>
      </w:pPr>
    </w:p>
    <w:p>
      <w:pPr>
        <w:ind w:left="1260" w:hanging="628"/>
        <w:spacing w:after="0"/>
        <w:tabs>
          <w:tab w:leader="none" w:pos="1260" w:val="left"/>
        </w:tabs>
        <w:numPr>
          <w:ilvl w:val="0"/>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Special Blackout Periods</w:t>
      </w:r>
    </w:p>
    <w:p>
      <w:pPr>
        <w:spacing w:after="0" w:line="252"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21"/>
          <w:szCs w:val="21"/>
          <w:color w:val="auto"/>
        </w:rPr>
        <w:t>The Company may impose special periods during which certain covered persons will be prohibited from trading or otherwise effecting transactions in Humacyte securities (“special blackout periods”) even though the Window Period would otherwise be open. This would be the case, for example, for Company employees working on a material merger or acquisition transaction, or another event that could involve material nonpublic information. If a special blackout period is imposed, the Company will notify affected individuals by sending them 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000"/>
          </w:cols>
          <w:pgMar w:left="420" w:top="1383"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1"/>
          <w:szCs w:val="21"/>
          <w:color w:val="auto"/>
        </w:rPr>
        <w:t>notice. The Company will also notify affected individuals at the end of such special blackout period.</w:t>
      </w:r>
    </w:p>
    <w:p>
      <w:pPr>
        <w:spacing w:after="0" w:line="248" w:lineRule="exact"/>
        <w:rPr>
          <w:sz w:val="20"/>
          <w:szCs w:val="20"/>
          <w:color w:val="auto"/>
        </w:rPr>
      </w:pPr>
    </w:p>
    <w:p>
      <w:pPr>
        <w:ind w:right="80" w:firstLine="635"/>
        <w:spacing w:after="0" w:line="261" w:lineRule="auto"/>
        <w:rPr>
          <w:sz w:val="20"/>
          <w:szCs w:val="20"/>
          <w:color w:val="auto"/>
        </w:rPr>
      </w:pPr>
      <w:r>
        <w:rPr>
          <w:rFonts w:ascii="Times New Roman" w:cs="Times New Roman" w:eastAsia="Times New Roman" w:hAnsi="Times New Roman"/>
          <w:sz w:val="21"/>
          <w:szCs w:val="21"/>
          <w:color w:val="auto"/>
        </w:rPr>
        <w:t>Please note that special blackout periods may apply to all individuals working on material transactions or other matters that could involve material nonpublic information, even if those individuals only have a limited role in the transaction. A special blackout period for these matters is not necessarily limited to individuals who are on any particular team or function. The determination of whether a project or transaction is material will be made by the CFO in consultation with the Disclosure Committee.</w:t>
      </w:r>
    </w:p>
    <w:p>
      <w:pPr>
        <w:spacing w:after="0" w:line="205" w:lineRule="exact"/>
        <w:rPr>
          <w:sz w:val="20"/>
          <w:szCs w:val="20"/>
          <w:color w:val="auto"/>
        </w:rPr>
      </w:pPr>
    </w:p>
    <w:p>
      <w:pPr>
        <w:ind w:left="1260" w:hanging="627"/>
        <w:spacing w:after="0"/>
        <w:tabs>
          <w:tab w:leader="none" w:pos="1260"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Rule 10b5-1 Plan Trading</w:t>
      </w:r>
    </w:p>
    <w:p>
      <w:pPr>
        <w:spacing w:after="0" w:line="252" w:lineRule="exact"/>
        <w:rPr>
          <w:sz w:val="20"/>
          <w:szCs w:val="20"/>
          <w:color w:val="auto"/>
        </w:rPr>
      </w:pPr>
    </w:p>
    <w:p>
      <w:pPr>
        <w:ind w:firstLine="635"/>
        <w:spacing w:after="0" w:line="257" w:lineRule="auto"/>
        <w:rPr>
          <w:sz w:val="20"/>
          <w:szCs w:val="20"/>
          <w:color w:val="auto"/>
        </w:rPr>
      </w:pPr>
      <w:r>
        <w:rPr>
          <w:rFonts w:ascii="Times New Roman" w:cs="Times New Roman" w:eastAsia="Times New Roman" w:hAnsi="Times New Roman"/>
          <w:sz w:val="21"/>
          <w:szCs w:val="21"/>
          <w:color w:val="auto"/>
        </w:rPr>
        <w:t>To avoid liability for insider trading, officers and members of the board of directors may wish to rely upon the affirmative defenses established by Rule 10b5-1 under the Securities Exchange Act of 1934 (the “Exchange Act”). Rule 10b5-1 is available to an individual or entity who purchases or sells a security under a binding contract, specific instruction or written plan that the person or entity put into place before becoming aware of material nonpublic information (such a written plan, a “Rule 10b5-1 plan”). If the trading plan meets all of the requirements of Rule 10b5-1, Humacte securities may be purchased and sold under such plan without regard to certain insider trading considerations, and such trades would not be restricted to the window periods under this policy.</w:t>
      </w:r>
    </w:p>
    <w:p>
      <w:pPr>
        <w:spacing w:after="0" w:line="202" w:lineRule="exact"/>
        <w:rPr>
          <w:sz w:val="20"/>
          <w:szCs w:val="20"/>
          <w:color w:val="auto"/>
        </w:rPr>
      </w:pPr>
    </w:p>
    <w:p>
      <w:pPr>
        <w:ind w:firstLine="635"/>
        <w:spacing w:after="0" w:line="261" w:lineRule="auto"/>
        <w:rPr>
          <w:sz w:val="20"/>
          <w:szCs w:val="20"/>
          <w:color w:val="auto"/>
        </w:rPr>
      </w:pPr>
      <w:r>
        <w:rPr>
          <w:rFonts w:ascii="Times New Roman" w:cs="Times New Roman" w:eastAsia="Times New Roman" w:hAnsi="Times New Roman"/>
          <w:sz w:val="21"/>
          <w:szCs w:val="21"/>
          <w:color w:val="auto"/>
        </w:rPr>
        <w:t>The Company strongly encourages any of the following covered persons who wish to trade in Humacyte securities to limit such trading activity to Rule 10b5-1 plans adopted in accordance with this policy: (i) members of the board of directors, (ii) officers appointed by the board of directors and (iii) members of the Humacyte leadership team (HLT). In addition, other covered persons who wish to trade in Humacyte securities may be encouraged to limit their trading activity to Rule 10b5-1 plans adopted in accordance with this policy, based on the determination of the CFO.</w:t>
      </w:r>
    </w:p>
    <w:p>
      <w:pPr>
        <w:spacing w:after="0" w:line="196" w:lineRule="exact"/>
        <w:rPr>
          <w:sz w:val="20"/>
          <w:szCs w:val="20"/>
          <w:color w:val="auto"/>
        </w:rPr>
      </w:pPr>
    </w:p>
    <w:p>
      <w:pPr>
        <w:ind w:right="700" w:firstLine="635"/>
        <w:spacing w:after="0" w:line="284" w:lineRule="auto"/>
        <w:rPr>
          <w:sz w:val="20"/>
          <w:szCs w:val="20"/>
          <w:color w:val="auto"/>
        </w:rPr>
      </w:pPr>
      <w:r>
        <w:rPr>
          <w:rFonts w:ascii="Times New Roman" w:cs="Times New Roman" w:eastAsia="Times New Roman" w:hAnsi="Times New Roman"/>
          <w:sz w:val="21"/>
          <w:szCs w:val="21"/>
          <w:color w:val="auto"/>
        </w:rPr>
        <w:t>A covered person who enters into a Rule 10b5-1 plan is strongly discouraged from trading in any securities of the Company outside of the Rule 10b5-1 plan.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To create a Rule 10b5-1 plan, you must enter into a written plan for trading securities that must:</w:t>
      </w:r>
    </w:p>
    <w:p>
      <w:pPr>
        <w:spacing w:after="0" w:line="248" w:lineRule="exact"/>
        <w:rPr>
          <w:sz w:val="20"/>
          <w:szCs w:val="20"/>
          <w:color w:val="auto"/>
        </w:rPr>
      </w:pPr>
    </w:p>
    <w:p>
      <w:pPr>
        <w:ind w:left="940" w:hanging="308"/>
        <w:spacing w:after="0"/>
        <w:tabs>
          <w:tab w:leader="none" w:pos="94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specify the amount, price and date of the transaction(s);</w:t>
      </w:r>
    </w:p>
    <w:p>
      <w:pPr>
        <w:spacing w:after="0" w:line="261" w:lineRule="exact"/>
        <w:rPr>
          <w:rFonts w:ascii="Times New Roman" w:cs="Times New Roman" w:eastAsia="Times New Roman" w:hAnsi="Times New Roman"/>
          <w:sz w:val="21"/>
          <w:szCs w:val="21"/>
          <w:color w:val="auto"/>
        </w:rPr>
      </w:pPr>
    </w:p>
    <w:p>
      <w:pPr>
        <w:ind w:left="940" w:right="880" w:hanging="308"/>
        <w:spacing w:after="0" w:line="284" w:lineRule="auto"/>
        <w:tabs>
          <w:tab w:leader="none" w:pos="935"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include a written formula, algorithm or computer program for determining the amount, price and date of the transaction(s); or</w:t>
      </w:r>
    </w:p>
    <w:p>
      <w:pPr>
        <w:spacing w:after="0" w:line="169" w:lineRule="exact"/>
        <w:rPr>
          <w:rFonts w:ascii="Times New Roman" w:cs="Times New Roman" w:eastAsia="Times New Roman" w:hAnsi="Times New Roman"/>
          <w:sz w:val="21"/>
          <w:szCs w:val="21"/>
          <w:color w:val="auto"/>
        </w:rPr>
      </w:pPr>
    </w:p>
    <w:p>
      <w:pPr>
        <w:jc w:val="both"/>
        <w:ind w:left="940" w:right="300" w:hanging="308"/>
        <w:spacing w:after="0" w:line="273" w:lineRule="auto"/>
        <w:tabs>
          <w:tab w:leader="none" w:pos="935"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permit the person for whom shares are being purchased or sold to exercise any subsequent influence over how, when or whether to effect purchases or sales, while at the same time ensuring that the person effecting the trades is not aware of any material nonpublic information at the time of the trades.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960"/>
          </w:cols>
          <w:pgMar w:left="420" w:top="1383" w:right="519" w:bottom="1440" w:gutter="0" w:footer="0" w:header="0"/>
        </w:sectPr>
      </w:pPr>
    </w:p>
    <w:bookmarkStart w:id="171" w:name="page172"/>
    <w:bookmarkEnd w:id="171"/>
    <w:p>
      <w:pPr>
        <w:ind w:right="60" w:firstLine="635"/>
        <w:spacing w:after="0" w:line="257" w:lineRule="auto"/>
        <w:rPr>
          <w:sz w:val="20"/>
          <w:szCs w:val="20"/>
          <w:color w:val="auto"/>
        </w:rPr>
      </w:pPr>
      <w:r>
        <w:rPr>
          <w:rFonts w:ascii="Times New Roman" w:cs="Times New Roman" w:eastAsia="Times New Roman" w:hAnsi="Times New Roman"/>
          <w:sz w:val="21"/>
          <w:szCs w:val="21"/>
          <w:color w:val="auto"/>
        </w:rPr>
        <w:t>In order to rely on the defense, a person must adopt a Rule 10b5-1 plan that meets all of the rule’s requirements. These include a requirement that the plan include a representation certifying that the person adopting the plan is doing so in good faith, at a time when he or she is not in possession of material nonpublic information and not as part of a plan to evade the insider trading prohibitions. Additionally, a director or officer adopting a new Rule 10b5-1 plan may not have any other outstanding Rule 10b5-1 plan, and may not subsequently enter into any additional Rule 10b5-1 plan, subject to certain exceptions. Frequent amendment of, or deviation from, a trading plan may make it difficult for an insider to demonstrate that he or she has satisfied the rule’s “good faith” requirement.</w:t>
      </w:r>
    </w:p>
    <w:p>
      <w:pPr>
        <w:spacing w:after="0" w:line="202" w:lineRule="exact"/>
        <w:rPr>
          <w:sz w:val="20"/>
          <w:szCs w:val="20"/>
          <w:color w:val="auto"/>
        </w:rPr>
      </w:pPr>
    </w:p>
    <w:p>
      <w:pPr>
        <w:ind w:right="100" w:firstLine="635"/>
        <w:spacing w:after="0" w:line="259" w:lineRule="auto"/>
        <w:rPr>
          <w:sz w:val="20"/>
          <w:szCs w:val="20"/>
          <w:color w:val="auto"/>
        </w:rPr>
      </w:pPr>
      <w:r>
        <w:rPr>
          <w:rFonts w:ascii="Times New Roman" w:cs="Times New Roman" w:eastAsia="Times New Roman" w:hAnsi="Times New Roman"/>
          <w:sz w:val="21"/>
          <w:szCs w:val="21"/>
          <w:color w:val="auto"/>
        </w:rPr>
        <w:t>A Rule 10b5-1 plan must provide for a “cooling off” period before purchases and sales can occur under the plan. For a director or officer, no purchases or sales under the Rule 10b5-1 plan can occur until the later of (i) 90 days after the adoption of the Rule 10b5-1 plan and (ii) two business days following disclosure of the Company’s results in a Form 10-Q or Form 10-K for a completed fiscal quarter in which the plan was adopted; provided, however, that in no event will the required cooling off period be longer than 120 days after adoption of the Rule 10b5-1 plan. No purchases or sales under a Rule 10b5-1 plan for a person other than a director or officer may be made until 30 days after adoption of the plan.</w:t>
      </w:r>
    </w:p>
    <w:p>
      <w:pPr>
        <w:spacing w:after="0" w:line="210" w:lineRule="exact"/>
        <w:rPr>
          <w:sz w:val="20"/>
          <w:szCs w:val="20"/>
          <w:color w:val="auto"/>
        </w:rPr>
      </w:pPr>
    </w:p>
    <w:p>
      <w:pPr>
        <w:ind w:firstLine="635"/>
        <w:spacing w:after="0" w:line="261" w:lineRule="auto"/>
        <w:rPr>
          <w:sz w:val="20"/>
          <w:szCs w:val="20"/>
          <w:color w:val="auto"/>
        </w:rPr>
      </w:pPr>
      <w:r>
        <w:rPr>
          <w:rFonts w:ascii="Times New Roman" w:cs="Times New Roman" w:eastAsia="Times New Roman" w:hAnsi="Times New Roman"/>
          <w:sz w:val="21"/>
          <w:szCs w:val="21"/>
          <w:color w:val="auto"/>
        </w:rPr>
        <w:t>Any modification to the amount, pricing, or timing of purchases or sales of securities under a Rule 10b5-1 plan will constitute the termination of the plan and adoption of a new plan, which means that any such modification will trigger the need for the new trading plan to satisfy all of the elements of Rule 10b5-1, including a new cooling off period before trading can begin again.</w:t>
      </w:r>
    </w:p>
    <w:p>
      <w:pPr>
        <w:spacing w:after="0" w:line="194" w:lineRule="exact"/>
        <w:rPr>
          <w:sz w:val="20"/>
          <w:szCs w:val="20"/>
          <w:color w:val="auto"/>
        </w:rPr>
      </w:pPr>
    </w:p>
    <w:p>
      <w:pPr>
        <w:jc w:val="both"/>
        <w:ind w:right="120" w:firstLine="635"/>
        <w:spacing w:after="0" w:line="298" w:lineRule="auto"/>
        <w:rPr>
          <w:sz w:val="20"/>
          <w:szCs w:val="20"/>
          <w:color w:val="auto"/>
        </w:rPr>
      </w:pPr>
      <w:r>
        <w:rPr>
          <w:rFonts w:ascii="Times New Roman" w:cs="Times New Roman" w:eastAsia="Times New Roman" w:hAnsi="Times New Roman"/>
          <w:sz w:val="21"/>
          <w:szCs w:val="21"/>
          <w:color w:val="auto"/>
        </w:rPr>
        <w:t>Stock brokerage firms may assist directors, officers and employees in establishing Rule 10b5-1 plans. To ensure that such arrangements comply with Rule 10b5-1, Humacyte requires that any covered person who wishes to establish a Rule 10b5-1 plan:</w:t>
      </w:r>
    </w:p>
    <w:p>
      <w:pPr>
        <w:spacing w:after="0" w:line="155" w:lineRule="exact"/>
        <w:rPr>
          <w:sz w:val="20"/>
          <w:szCs w:val="20"/>
          <w:color w:val="auto"/>
        </w:rPr>
      </w:pPr>
    </w:p>
    <w:p>
      <w:pPr>
        <w:ind w:left="940" w:right="760" w:hanging="308"/>
        <w:spacing w:after="0" w:line="284" w:lineRule="auto"/>
        <w:tabs>
          <w:tab w:leader="none" w:pos="935"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the required contract, provide the required instructions, or adopt the required plan, during a Window Period and otherwise while not in possession of material nonpublic information;</w:t>
      </w:r>
    </w:p>
    <w:p>
      <w:pPr>
        <w:spacing w:after="0" w:line="143" w:lineRule="exact"/>
        <w:rPr>
          <w:rFonts w:ascii="Times New Roman" w:cs="Times New Roman" w:eastAsia="Times New Roman" w:hAnsi="Times New Roman"/>
          <w:sz w:val="21"/>
          <w:szCs w:val="21"/>
          <w:color w:val="auto"/>
        </w:rPr>
      </w:pPr>
    </w:p>
    <w:p>
      <w:pPr>
        <w:ind w:left="940" w:hanging="308"/>
        <w:spacing w:after="0"/>
        <w:tabs>
          <w:tab w:leader="none" w:pos="94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prior approval from the CFO for such Rule 10b5-1 plan, as well as any amendment of such plan;</w:t>
      </w:r>
    </w:p>
    <w:p>
      <w:pPr>
        <w:spacing w:after="0" w:line="234" w:lineRule="exact"/>
        <w:rPr>
          <w:rFonts w:ascii="Times New Roman" w:cs="Times New Roman" w:eastAsia="Times New Roman" w:hAnsi="Times New Roman"/>
          <w:sz w:val="21"/>
          <w:szCs w:val="21"/>
          <w:color w:val="auto"/>
        </w:rPr>
      </w:pPr>
    </w:p>
    <w:p>
      <w:pPr>
        <w:ind w:left="940" w:right="260" w:hanging="308"/>
        <w:spacing w:after="0" w:line="284" w:lineRule="auto"/>
        <w:tabs>
          <w:tab w:leader="none" w:pos="935"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report promptly to the CFO all transactions made pursuant to the Rule 10b5-1 plan, as well as any termination of the plan; and</w:t>
      </w:r>
    </w:p>
    <w:p>
      <w:pPr>
        <w:spacing w:after="0" w:line="143" w:lineRule="exact"/>
        <w:rPr>
          <w:rFonts w:ascii="Times New Roman" w:cs="Times New Roman" w:eastAsia="Times New Roman" w:hAnsi="Times New Roman"/>
          <w:sz w:val="21"/>
          <w:szCs w:val="21"/>
          <w:color w:val="auto"/>
        </w:rPr>
      </w:pPr>
    </w:p>
    <w:p>
      <w:pPr>
        <w:ind w:left="940" w:hanging="308"/>
        <w:spacing w:after="0"/>
        <w:tabs>
          <w:tab w:leader="none" w:pos="94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adopt a plan with a duration of at least 6 months.</w:t>
      </w:r>
    </w:p>
    <w:p>
      <w:pPr>
        <w:spacing w:after="0" w:line="218" w:lineRule="exact"/>
        <w:rPr>
          <w:sz w:val="20"/>
          <w:szCs w:val="20"/>
          <w:color w:val="auto"/>
        </w:rPr>
      </w:pPr>
    </w:p>
    <w:p>
      <w:pPr>
        <w:ind w:left="1260" w:hanging="628"/>
        <w:spacing w:after="0"/>
        <w:tabs>
          <w:tab w:leader="none" w:pos="1260"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Options Exercises</w:t>
      </w:r>
    </w:p>
    <w:p>
      <w:pPr>
        <w:spacing w:after="0" w:line="265" w:lineRule="exact"/>
        <w:rPr>
          <w:sz w:val="20"/>
          <w:szCs w:val="20"/>
          <w:color w:val="auto"/>
        </w:rPr>
      </w:pPr>
    </w:p>
    <w:p>
      <w:pPr>
        <w:ind w:right="60" w:firstLine="635"/>
        <w:spacing w:after="0" w:line="267" w:lineRule="auto"/>
        <w:rPr>
          <w:sz w:val="20"/>
          <w:szCs w:val="20"/>
          <w:color w:val="auto"/>
        </w:rPr>
      </w:pPr>
      <w:r>
        <w:rPr>
          <w:rFonts w:ascii="Times New Roman" w:cs="Times New Roman" w:eastAsia="Times New Roman" w:hAnsi="Times New Roman"/>
          <w:sz w:val="21"/>
          <w:szCs w:val="21"/>
          <w:color w:val="auto"/>
        </w:rPr>
        <w:t>Directors, officers and employees who have stock options or other rights granted by Humacyte to purchase securities from the Company may exercise the options or purchase rights at any time permitted under the terms of the applicable option or other agreement so long as the exercise does not involve a broker-assisted cashless exercise. This rule applies only to options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060"/>
          </w:cols>
          <w:pgMar w:left="420" w:top="1383" w:right="419" w:bottom="1440" w:gutter="0" w:footer="0" w:header="0"/>
        </w:sectPr>
      </w:pPr>
    </w:p>
    <w:bookmarkStart w:id="172" w:name="page173"/>
    <w:bookmarkEnd w:id="172"/>
    <w:p>
      <w:pPr>
        <w:spacing w:after="0" w:line="265" w:lineRule="auto"/>
        <w:rPr>
          <w:sz w:val="20"/>
          <w:szCs w:val="20"/>
          <w:color w:val="auto"/>
        </w:rPr>
      </w:pPr>
      <w:r>
        <w:rPr>
          <w:rFonts w:ascii="Times New Roman" w:cs="Times New Roman" w:eastAsia="Times New Roman" w:hAnsi="Times New Roman"/>
          <w:sz w:val="21"/>
          <w:szCs w:val="21"/>
          <w:color w:val="auto"/>
        </w:rPr>
        <w:t>or purchase rights granted by the Company. Rules pertaining to options or purchase rights granted by third parties are described in the sections above captioned “Derivatives Transactions,” “Short Sales” and “Margin Accounts.” Please be aware, however, that any subsequent sale of securities purchased by means of the exercise of stock options or other rights in accordance with this policy must be made during a Window Period, pursuant to a Rule 10b5- 1 plan, or otherwise approved by the CFO.</w:t>
      </w:r>
    </w:p>
    <w:p>
      <w:pPr>
        <w:spacing w:after="0" w:line="187" w:lineRule="exact"/>
        <w:rPr>
          <w:sz w:val="20"/>
          <w:szCs w:val="20"/>
          <w:color w:val="auto"/>
        </w:rPr>
      </w:pPr>
    </w:p>
    <w:p>
      <w:pPr>
        <w:ind w:left="1260" w:hanging="628"/>
        <w:spacing w:after="0"/>
        <w:tabs>
          <w:tab w:leader="none" w:pos="126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Estate Planning and Gifts</w:t>
      </w:r>
    </w:p>
    <w:p>
      <w:pPr>
        <w:spacing w:after="0" w:line="252" w:lineRule="exact"/>
        <w:rPr>
          <w:sz w:val="20"/>
          <w:szCs w:val="20"/>
          <w:color w:val="auto"/>
        </w:rPr>
      </w:pPr>
    </w:p>
    <w:p>
      <w:pPr>
        <w:ind w:right="60" w:firstLine="635"/>
        <w:spacing w:after="0" w:line="265" w:lineRule="auto"/>
        <w:rPr>
          <w:sz w:val="20"/>
          <w:szCs w:val="20"/>
          <w:color w:val="auto"/>
        </w:rPr>
      </w:pPr>
      <w:r>
        <w:rPr>
          <w:rFonts w:ascii="Times New Roman" w:cs="Times New Roman" w:eastAsia="Times New Roman" w:hAnsi="Times New Roman"/>
          <w:sz w:val="21"/>
          <w:szCs w:val="21"/>
          <w:color w:val="auto"/>
        </w:rPr>
        <w:t>Directors, officers and employees may at any time make bona fide gifts of Humacyte securities (such as charitable donations or family gifts or estate planning transfers). Depending on the circumstances, recipients of gifts may be subject to restrictions on subsequent sales of securities. Any such gifts made by directors and officers subject to Section 16 of the Exchange Act must be reported on Form 4 within two business days of the date of the transaction.</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Gifts that are part of a plan to circumvent the insider trading rules are not permitted.</w:t>
      </w:r>
    </w:p>
    <w:p>
      <w:pPr>
        <w:spacing w:after="0" w:line="257" w:lineRule="exact"/>
        <w:rPr>
          <w:sz w:val="20"/>
          <w:szCs w:val="20"/>
          <w:color w:val="auto"/>
        </w:rPr>
      </w:pPr>
    </w:p>
    <w:p>
      <w:pPr>
        <w:ind w:left="1240" w:hanging="608"/>
        <w:spacing w:after="0"/>
        <w:tabs>
          <w:tab w:leader="none" w:pos="1240"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Employee Stock Purchase Plans</w:t>
      </w:r>
    </w:p>
    <w:p>
      <w:pPr>
        <w:spacing w:after="0" w:line="252" w:lineRule="exact"/>
        <w:rPr>
          <w:sz w:val="20"/>
          <w:szCs w:val="20"/>
          <w:color w:val="auto"/>
        </w:rPr>
      </w:pPr>
    </w:p>
    <w:p>
      <w:pPr>
        <w:ind w:right="60" w:firstLine="635"/>
        <w:spacing w:after="0" w:line="265" w:lineRule="auto"/>
        <w:rPr>
          <w:sz w:val="20"/>
          <w:szCs w:val="20"/>
          <w:color w:val="auto"/>
        </w:rPr>
      </w:pPr>
      <w:r>
        <w:rPr>
          <w:rFonts w:ascii="Times New Roman" w:cs="Times New Roman" w:eastAsia="Times New Roman" w:hAnsi="Times New Roman"/>
          <w:sz w:val="21"/>
          <w:szCs w:val="21"/>
          <w:color w:val="auto"/>
        </w:rPr>
        <w:t xml:space="preserve">Purchases of Humacyte stock under the Company’s employee stock purchase plan, if any, resulting from periodic or lump sum contributions of money thereto, pursuant to an election made at the time of plan enrollment, are not subject to this policy. Your initial election to participate in the plan, changes to that election for any enrollment period and sales of Humacyte stock purchased pursuant to the plan </w:t>
      </w:r>
      <w:r>
        <w:rPr>
          <w:rFonts w:ascii="Times New Roman" w:cs="Times New Roman" w:eastAsia="Times New Roman" w:hAnsi="Times New Roman"/>
          <w:sz w:val="21"/>
          <w:szCs w:val="21"/>
          <w:i w:val="1"/>
          <w:iCs w:val="1"/>
          <w:color w:val="auto"/>
        </w:rPr>
        <w:t>are</w:t>
      </w:r>
      <w:r>
        <w:rPr>
          <w:rFonts w:ascii="Times New Roman" w:cs="Times New Roman" w:eastAsia="Times New Roman" w:hAnsi="Times New Roman"/>
          <w:sz w:val="21"/>
          <w:szCs w:val="21"/>
          <w:color w:val="auto"/>
        </w:rPr>
        <w:t xml:space="preserve"> subject to this policy and must comply therewith.</w:t>
      </w:r>
    </w:p>
    <w:p>
      <w:pPr>
        <w:spacing w:after="0" w:line="187" w:lineRule="exact"/>
        <w:rPr>
          <w:sz w:val="20"/>
          <w:szCs w:val="20"/>
          <w:color w:val="auto"/>
        </w:rPr>
      </w:pPr>
    </w:p>
    <w:p>
      <w:pPr>
        <w:ind w:left="1260" w:hanging="628"/>
        <w:spacing w:after="0"/>
        <w:tabs>
          <w:tab w:leader="none" w:pos="1260"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 Obligations</w:t>
      </w:r>
    </w:p>
    <w:p>
      <w:pPr>
        <w:spacing w:after="0" w:line="252" w:lineRule="exact"/>
        <w:rPr>
          <w:sz w:val="20"/>
          <w:szCs w:val="20"/>
          <w:color w:val="auto"/>
        </w:rPr>
      </w:pPr>
    </w:p>
    <w:p>
      <w:pPr>
        <w:ind w:right="540" w:firstLine="635"/>
        <w:spacing w:after="0" w:line="273" w:lineRule="auto"/>
        <w:rPr>
          <w:sz w:val="20"/>
          <w:szCs w:val="20"/>
          <w:color w:val="auto"/>
        </w:rPr>
      </w:pPr>
      <w:r>
        <w:rPr>
          <w:rFonts w:ascii="Times New Roman" w:cs="Times New Roman" w:eastAsia="Times New Roman" w:hAnsi="Times New Roman"/>
          <w:sz w:val="21"/>
          <w:szCs w:val="21"/>
          <w:color w:val="auto"/>
        </w:rPr>
        <w:t>Transactions between covered persons and Humacyte that are undertaken to satisfy tax obligations, such as upon the vesting of restricted stock units and the net issuance of shares, which effectively involves disposing of vested shares to the Company, are exempt under this policy.</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VII.</w:t>
        <w:tab/>
        <w:t>PRE-CLEARANCE PROCEDURES</w:t>
      </w:r>
    </w:p>
    <w:p>
      <w:pPr>
        <w:spacing w:after="0" w:line="265" w:lineRule="exact"/>
        <w:rPr>
          <w:sz w:val="20"/>
          <w:szCs w:val="20"/>
          <w:color w:val="auto"/>
        </w:rPr>
      </w:pPr>
    </w:p>
    <w:p>
      <w:pPr>
        <w:jc w:val="both"/>
        <w:ind w:right="240" w:firstLine="635"/>
        <w:spacing w:after="0" w:line="267" w:lineRule="auto"/>
        <w:rPr>
          <w:sz w:val="20"/>
          <w:szCs w:val="20"/>
          <w:color w:val="auto"/>
        </w:rPr>
      </w:pPr>
      <w:r>
        <w:rPr>
          <w:rFonts w:ascii="Times New Roman" w:cs="Times New Roman" w:eastAsia="Times New Roman" w:hAnsi="Times New Roman"/>
          <w:sz w:val="21"/>
          <w:szCs w:val="21"/>
          <w:color w:val="auto"/>
        </w:rPr>
        <w:t>The following Company personnel may not trade or engage in any other transaction involving the Company’s securities (including a securities plan transaction such as an option exercise, a gift, a loan or pledge, a contribution to a trust or any other transfer) without first obtaining pre-clearance of the transaction from the CFO:</w:t>
      </w:r>
    </w:p>
    <w:p>
      <w:pPr>
        <w:spacing w:after="0" w:line="187" w:lineRule="exact"/>
        <w:rPr>
          <w:sz w:val="20"/>
          <w:szCs w:val="20"/>
          <w:color w:val="auto"/>
        </w:rPr>
      </w:pPr>
    </w:p>
    <w:p>
      <w:pPr>
        <w:ind w:left="640" w:right="120" w:hanging="326"/>
        <w:spacing w:after="0" w:line="298" w:lineRule="auto"/>
        <w:tabs>
          <w:tab w:leader="none" w:pos="635"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directors, executive officers and members of HLT who trade outside of a Rule 10b5- 1 plan entered into in accordance with this policy;</w:t>
      </w:r>
    </w:p>
    <w:p>
      <w:pPr>
        <w:spacing w:after="0" w:line="154" w:lineRule="exact"/>
        <w:rPr>
          <w:rFonts w:ascii="Times New Roman" w:cs="Times New Roman" w:eastAsia="Times New Roman" w:hAnsi="Times New Roman"/>
          <w:sz w:val="21"/>
          <w:szCs w:val="21"/>
          <w:color w:val="auto"/>
        </w:rPr>
      </w:pPr>
    </w:p>
    <w:p>
      <w:pPr>
        <w:ind w:left="620" w:hanging="306"/>
        <w:spacing w:after="0"/>
        <w:tabs>
          <w:tab w:leader="none" w:pos="62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key financial or investor relations employees as designated by the CFO; and</w:t>
      </w:r>
    </w:p>
    <w:p>
      <w:pPr>
        <w:spacing w:after="0" w:line="261" w:lineRule="exact"/>
        <w:rPr>
          <w:rFonts w:ascii="Times New Roman" w:cs="Times New Roman" w:eastAsia="Times New Roman" w:hAnsi="Times New Roman"/>
          <w:sz w:val="21"/>
          <w:szCs w:val="21"/>
          <w:color w:val="auto"/>
        </w:rPr>
      </w:pPr>
    </w:p>
    <w:p>
      <w:pPr>
        <w:ind w:left="620" w:hanging="306"/>
        <w:spacing w:after="0"/>
        <w:tabs>
          <w:tab w:leader="none" w:pos="62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such other individuals as designated by the CFO.</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020"/>
          </w:cols>
          <w:pgMar w:left="420" w:top="1383" w:right="459" w:bottom="1440" w:gutter="0" w:footer="0" w:header="0"/>
        </w:sectPr>
      </w:pPr>
    </w:p>
    <w:bookmarkStart w:id="173" w:name="page174"/>
    <w:bookmarkEnd w:id="173"/>
    <w:p>
      <w:pPr>
        <w:spacing w:after="0" w:line="195" w:lineRule="exact"/>
        <w:rPr>
          <w:sz w:val="20"/>
          <w:szCs w:val="20"/>
          <w:color w:val="auto"/>
        </w:rPr>
      </w:pPr>
    </w:p>
    <w:p>
      <w:pPr>
        <w:ind w:left="3" w:right="620"/>
        <w:spacing w:after="0" w:line="276" w:lineRule="auto"/>
        <w:rPr>
          <w:sz w:val="20"/>
          <w:szCs w:val="20"/>
          <w:color w:val="auto"/>
        </w:rPr>
      </w:pPr>
      <w:r>
        <w:rPr>
          <w:rFonts w:ascii="Times New Roman" w:cs="Times New Roman" w:eastAsia="Times New Roman" w:hAnsi="Times New Roman"/>
          <w:sz w:val="21"/>
          <w:szCs w:val="21"/>
          <w:color w:val="auto"/>
        </w:rPr>
        <w:t>This pre-clearance requirement applies regardless of whether (i) the individual subject to pre- clearance possesses material nonpublic information regarding the Company or its securities or (ii) the trade occurs during a Window Period.</w:t>
      </w:r>
    </w:p>
    <w:p>
      <w:pPr>
        <w:spacing w:after="0" w:line="318" w:lineRule="exact"/>
        <w:rPr>
          <w:sz w:val="20"/>
          <w:szCs w:val="20"/>
          <w:color w:val="auto"/>
        </w:rPr>
      </w:pPr>
    </w:p>
    <w:p>
      <w:pPr>
        <w:ind w:left="3" w:right="160" w:firstLine="635"/>
        <w:spacing w:after="0" w:line="259" w:lineRule="auto"/>
        <w:rPr>
          <w:sz w:val="20"/>
          <w:szCs w:val="20"/>
          <w:color w:val="auto"/>
        </w:rPr>
      </w:pPr>
      <w:r>
        <w:rPr>
          <w:rFonts w:ascii="Times New Roman" w:cs="Times New Roman" w:eastAsia="Times New Roman" w:hAnsi="Times New Roman"/>
          <w:sz w:val="21"/>
          <w:szCs w:val="21"/>
          <w:color w:val="auto"/>
        </w:rPr>
        <w:t>A request for pre-clearance must be submitted to the CFO, or the Chief Executive Officer in the case of requests for pre-clearance made by the CFO, at least two business days prior to consummation of an intended transaction. Notice may be given orally or in writing and should include in the request (i) the transaction type, (ii) the number and type of securities he or she intends to trade, (iii) the intended transaction date, (iv) a confirmation that he or she has reviewed this policy and (v) a confirmation that he or she is not aware of any material nonpublic information about the Company or its securities. Approval or denial of the pre- clearance request will be provided to the insider in writing.</w:t>
      </w:r>
    </w:p>
    <w:p>
      <w:pPr>
        <w:spacing w:after="0" w:line="197" w:lineRule="exact"/>
        <w:rPr>
          <w:sz w:val="20"/>
          <w:szCs w:val="20"/>
          <w:color w:val="auto"/>
        </w:rPr>
      </w:pPr>
    </w:p>
    <w:p>
      <w:pPr>
        <w:ind w:left="3" w:right="80" w:firstLine="635"/>
        <w:spacing w:after="0" w:line="261" w:lineRule="auto"/>
        <w:rPr>
          <w:sz w:val="20"/>
          <w:szCs w:val="20"/>
          <w:color w:val="auto"/>
        </w:rPr>
      </w:pPr>
      <w:r>
        <w:rPr>
          <w:rFonts w:ascii="Times New Roman" w:cs="Times New Roman" w:eastAsia="Times New Roman" w:hAnsi="Times New Roman"/>
          <w:sz w:val="21"/>
          <w:szCs w:val="21"/>
          <w:color w:val="auto"/>
        </w:rPr>
        <w:t>If a proposed transaction receives pre-clearance, the pre-cleared trade must be effected by the close of business on the second business day following receipt of pre-clearance unless (i) the insider becomes aware of material nonpublic information or</w:t>
      </w:r>
    </w:p>
    <w:p>
      <w:pPr>
        <w:spacing w:after="0" w:line="2" w:lineRule="exact"/>
        <w:rPr>
          <w:sz w:val="20"/>
          <w:szCs w:val="20"/>
          <w:color w:val="auto"/>
        </w:rPr>
      </w:pPr>
    </w:p>
    <w:p>
      <w:pPr>
        <w:ind w:left="3" w:hanging="3"/>
        <w:spacing w:after="0" w:line="255" w:lineRule="auto"/>
        <w:tabs>
          <w:tab w:leader="none" w:pos="31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insider is advised by the Company that the pre-clearance has been revoked prior to that time. In the case of either (i) or (ii), the trade must not be completed. For example, if the pre-clearance were issued on a Friday, it would generally be effective through the close of business on the next Tuesday. If the transaction order is not placed within this time period, clearance of the transaction must be re-requested. Notice of a pre-cleared transaction must be provided by the applicable insider to the CFO on the same date of execution. Please note that the date of execution is the trade date and not the settlement date.</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21"/>
          <w:szCs w:val="21"/>
          <w:b w:val="1"/>
          <w:bCs w:val="1"/>
          <w:color w:val="auto"/>
        </w:rPr>
        <w:t>VIII.  SECTION 16 POLICY</w:t>
      </w:r>
    </w:p>
    <w:p>
      <w:pPr>
        <w:spacing w:after="0" w:line="226" w:lineRule="exact"/>
        <w:rPr>
          <w:sz w:val="20"/>
          <w:szCs w:val="20"/>
          <w:color w:val="auto"/>
        </w:rPr>
      </w:pPr>
    </w:p>
    <w:p>
      <w:pPr>
        <w:ind w:left="3" w:right="200" w:firstLine="635"/>
        <w:spacing w:after="0" w:line="298" w:lineRule="auto"/>
        <w:rPr>
          <w:sz w:val="20"/>
          <w:szCs w:val="20"/>
          <w:color w:val="auto"/>
        </w:rPr>
      </w:pPr>
      <w:r>
        <w:rPr>
          <w:rFonts w:ascii="Times New Roman" w:cs="Times New Roman" w:eastAsia="Times New Roman" w:hAnsi="Times New Roman"/>
          <w:sz w:val="21"/>
          <w:szCs w:val="21"/>
          <w:color w:val="auto"/>
        </w:rPr>
        <w:t>Covered persons who are Company directors and officers subject to Section 16 of the Exchange Act must follow the additional policies and procedures set forth in Annex A to this policy.</w:t>
      </w:r>
    </w:p>
    <w:p>
      <w:pPr>
        <w:spacing w:after="0" w:line="362" w:lineRule="exact"/>
        <w:rPr>
          <w:sz w:val="20"/>
          <w:szCs w:val="20"/>
          <w:color w:val="auto"/>
        </w:rPr>
      </w:pPr>
    </w:p>
    <w:p>
      <w:pPr>
        <w:ind w:left="3"/>
        <w:spacing w:after="0"/>
        <w:tabs>
          <w:tab w:leader="none" w:pos="623" w:val="left"/>
        </w:tabs>
        <w:rPr>
          <w:sz w:val="20"/>
          <w:szCs w:val="20"/>
          <w:color w:val="auto"/>
        </w:rPr>
      </w:pPr>
      <w:r>
        <w:rPr>
          <w:rFonts w:ascii="Times New Roman" w:cs="Times New Roman" w:eastAsia="Times New Roman" w:hAnsi="Times New Roman"/>
          <w:sz w:val="21"/>
          <w:szCs w:val="21"/>
          <w:b w:val="1"/>
          <w:bCs w:val="1"/>
          <w:color w:val="auto"/>
        </w:rPr>
        <w:t>IX.</w:t>
      </w:r>
      <w:r>
        <w:rPr>
          <w:sz w:val="20"/>
          <w:szCs w:val="20"/>
          <w:color w:val="auto"/>
        </w:rPr>
        <w:tab/>
      </w:r>
      <w:r>
        <w:rPr>
          <w:rFonts w:ascii="Times New Roman" w:cs="Times New Roman" w:eastAsia="Times New Roman" w:hAnsi="Times New Roman"/>
          <w:sz w:val="21"/>
          <w:szCs w:val="21"/>
          <w:b w:val="1"/>
          <w:bCs w:val="1"/>
          <w:color w:val="auto"/>
        </w:rPr>
        <w:t>INQUIRIES</w:t>
      </w:r>
    </w:p>
    <w:p>
      <w:pPr>
        <w:spacing w:after="0" w:line="226" w:lineRule="exact"/>
        <w:rPr>
          <w:sz w:val="20"/>
          <w:szCs w:val="20"/>
          <w:color w:val="auto"/>
        </w:rPr>
      </w:pPr>
    </w:p>
    <w:p>
      <w:pPr>
        <w:ind w:left="3" w:right="480" w:firstLine="635"/>
        <w:spacing w:after="0" w:line="284" w:lineRule="auto"/>
        <w:rPr>
          <w:sz w:val="20"/>
          <w:szCs w:val="20"/>
          <w:color w:val="auto"/>
        </w:rPr>
      </w:pPr>
      <w:r>
        <w:rPr>
          <w:rFonts w:ascii="Times New Roman" w:cs="Times New Roman" w:eastAsia="Times New Roman" w:hAnsi="Times New Roman"/>
          <w:sz w:val="21"/>
          <w:szCs w:val="21"/>
          <w:color w:val="auto"/>
        </w:rPr>
        <w:t>Any person who has a question about this policy or its application to any proposed transaction may obtain additional guidance from the CFO, who can be reached by e-mail at [****]@humacyte.com.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1"/>
          <w:szCs w:val="21"/>
          <w:color w:val="auto"/>
        </w:rPr>
        <w:t xml:space="preserve">Amended on </w:t>
      </w:r>
      <w:r>
        <w:rPr>
          <w:rFonts w:ascii="Georgia" w:cs="Georgia" w:eastAsia="Georgia" w:hAnsi="Georgia"/>
          <w:sz w:val="21"/>
          <w:szCs w:val="21"/>
          <w:color w:val="auto"/>
        </w:rPr>
        <w:t>March 16</w:t>
      </w:r>
      <w:r>
        <w:rPr>
          <w:rFonts w:ascii="Times New Roman" w:cs="Times New Roman" w:eastAsia="Times New Roman" w:hAnsi="Times New Roman"/>
          <w:sz w:val="21"/>
          <w:szCs w:val="21"/>
          <w:color w:val="auto"/>
        </w:rPr>
        <w:t>, 2023.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57"/>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003"/>
          </w:cols>
          <w:pgMar w:left="417" w:top="1440" w:right="479" w:bottom="1440" w:gutter="0" w:footer="0" w:header="0"/>
        </w:sectPr>
      </w:pPr>
    </w:p>
    <w:bookmarkStart w:id="174" w:name="page175"/>
    <w:bookmarkEnd w:id="174"/>
    <w:p>
      <w:pPr>
        <w:jc w:val="center"/>
        <w:ind w:right="-82"/>
        <w:spacing w:after="0"/>
        <w:rPr>
          <w:sz w:val="20"/>
          <w:szCs w:val="20"/>
          <w:color w:val="auto"/>
        </w:rPr>
      </w:pPr>
      <w:r>
        <w:rPr>
          <w:rFonts w:ascii="Times New Roman" w:cs="Times New Roman" w:eastAsia="Times New Roman" w:hAnsi="Times New Roman"/>
          <w:sz w:val="21"/>
          <w:szCs w:val="21"/>
          <w:b w:val="1"/>
          <w:bCs w:val="1"/>
          <w:u w:val="single" w:color="auto"/>
          <w:color w:val="auto"/>
        </w:rPr>
        <w:t>ANNEX A</w:t>
      </w:r>
    </w:p>
    <w:p>
      <w:pPr>
        <w:spacing w:after="0" w:line="248" w:lineRule="exact"/>
        <w:rPr>
          <w:sz w:val="20"/>
          <w:szCs w:val="20"/>
          <w:color w:val="auto"/>
        </w:rPr>
      </w:pPr>
    </w:p>
    <w:p>
      <w:pPr>
        <w:ind w:left="1203" w:right="480" w:hanging="732"/>
        <w:spacing w:after="0" w:line="288" w:lineRule="auto"/>
        <w:rPr>
          <w:sz w:val="20"/>
          <w:szCs w:val="20"/>
          <w:color w:val="auto"/>
        </w:rPr>
      </w:pPr>
      <w:r>
        <w:rPr>
          <w:rFonts w:ascii="Times New Roman" w:cs="Times New Roman" w:eastAsia="Times New Roman" w:hAnsi="Times New Roman"/>
          <w:sz w:val="21"/>
          <w:szCs w:val="21"/>
          <w:b w:val="1"/>
          <w:bCs w:val="1"/>
          <w:color w:val="auto"/>
        </w:rPr>
        <w:t>ADDITIONAL POLICIES AND PROCEDURES ON TRADING HUMACYTE SECURITIES BY COMPANY DIRECTORS AND OFFICERS</w:t>
      </w:r>
    </w:p>
    <w:p>
      <w:pPr>
        <w:spacing w:after="0" w:line="400" w:lineRule="exact"/>
        <w:rPr>
          <w:sz w:val="20"/>
          <w:szCs w:val="20"/>
          <w:color w:val="auto"/>
        </w:rPr>
      </w:pPr>
    </w:p>
    <w:p>
      <w:pPr>
        <w:ind w:left="623" w:hanging="622"/>
        <w:spacing w:after="0"/>
        <w:tabs>
          <w:tab w:leader="none" w:pos="623"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INTRODUCTION</w:t>
      </w:r>
    </w:p>
    <w:p>
      <w:pPr>
        <w:spacing w:after="0" w:line="226" w:lineRule="exact"/>
        <w:rPr>
          <w:sz w:val="20"/>
          <w:szCs w:val="20"/>
          <w:color w:val="auto"/>
        </w:rPr>
      </w:pPr>
    </w:p>
    <w:p>
      <w:pPr>
        <w:ind w:left="3" w:firstLine="635"/>
        <w:spacing w:after="0" w:line="261" w:lineRule="auto"/>
        <w:rPr>
          <w:sz w:val="20"/>
          <w:szCs w:val="20"/>
          <w:color w:val="auto"/>
        </w:rPr>
      </w:pPr>
      <w:r>
        <w:rPr>
          <w:rFonts w:ascii="Times New Roman" w:cs="Times New Roman" w:eastAsia="Times New Roman" w:hAnsi="Times New Roman"/>
          <w:sz w:val="21"/>
          <w:szCs w:val="21"/>
          <w:color w:val="auto"/>
        </w:rPr>
        <w:t>Humacyte, Inc. (“Humacyte” or the “Company”) has adopted the following policies and procedures with respect to trading in Humacyte securities by the Company’s directors and officers. These policies and procedures supplement the Humacyte Insider Trading Policy and are designed to help directors and officers comply with the requirements of Section 16 of the Securities Exchange Act of 1934 (the “Exchange Act”).</w:t>
      </w:r>
    </w:p>
    <w:p>
      <w:pPr>
        <w:spacing w:after="0" w:line="180" w:lineRule="exact"/>
        <w:rPr>
          <w:sz w:val="20"/>
          <w:szCs w:val="20"/>
          <w:color w:val="auto"/>
        </w:rPr>
      </w:pPr>
    </w:p>
    <w:p>
      <w:pPr>
        <w:ind w:left="3" w:right="20" w:firstLine="635"/>
        <w:spacing w:after="0" w:line="261" w:lineRule="auto"/>
        <w:rPr>
          <w:sz w:val="20"/>
          <w:szCs w:val="20"/>
          <w:color w:val="auto"/>
        </w:rPr>
      </w:pPr>
      <w:r>
        <w:rPr>
          <w:rFonts w:ascii="Times New Roman" w:cs="Times New Roman" w:eastAsia="Times New Roman" w:hAnsi="Times New Roman"/>
          <w:sz w:val="21"/>
          <w:szCs w:val="21"/>
          <w:color w:val="auto"/>
        </w:rPr>
        <w:t>All persons subject to this policy are responsible for reading these policies and procedures and complying with them. You should direct any questions about the application of these policies and procedures or requests for exceptions, to the Chief Financial Officer (“CFO”). Although the CFO generally is responsible for the implementation of these policies and procedures, the CFO may designate employees to carry out any of the duties described below.</w:t>
      </w:r>
    </w:p>
    <w:p>
      <w:pPr>
        <w:spacing w:after="0" w:line="203" w:lineRule="exact"/>
        <w:rPr>
          <w:sz w:val="20"/>
          <w:szCs w:val="20"/>
          <w:color w:val="auto"/>
        </w:rPr>
      </w:pPr>
    </w:p>
    <w:p>
      <w:pPr>
        <w:ind w:left="623" w:hanging="622"/>
        <w:spacing w:after="0"/>
        <w:tabs>
          <w:tab w:leader="none" w:pos="623" w:val="left"/>
        </w:tabs>
        <w:numPr>
          <w:ilvl w:val="0"/>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PERSONS AFFECTED</w:t>
      </w:r>
    </w:p>
    <w:p>
      <w:pPr>
        <w:spacing w:after="0" w:line="252" w:lineRule="exact"/>
        <w:rPr>
          <w:sz w:val="20"/>
          <w:szCs w:val="20"/>
          <w:color w:val="auto"/>
        </w:rPr>
      </w:pPr>
    </w:p>
    <w:p>
      <w:pPr>
        <w:ind w:left="3" w:right="440" w:firstLine="635"/>
        <w:spacing w:after="0" w:line="265" w:lineRule="auto"/>
        <w:rPr>
          <w:sz w:val="20"/>
          <w:szCs w:val="20"/>
          <w:color w:val="auto"/>
        </w:rPr>
      </w:pPr>
      <w:r>
        <w:rPr>
          <w:rFonts w:ascii="Times New Roman" w:cs="Times New Roman" w:eastAsia="Times New Roman" w:hAnsi="Times New Roman"/>
          <w:sz w:val="21"/>
          <w:szCs w:val="21"/>
          <w:color w:val="auto"/>
        </w:rPr>
        <w:t>This policy applies to Humacyte’s directors and officers. Humacyte’s board of directors has designated “officers” for purposes of Section 16, each of whom will be subject to the reporting requirements and “short-swing” profit provisions of Section 16 discussed below. If you are a director of Humacyte or have been designated as an “officer” of Humacyte for the purposes of Section 16, you should read this Annex carefully.</w:t>
      </w:r>
    </w:p>
    <w:p>
      <w:pPr>
        <w:spacing w:after="0" w:line="187" w:lineRule="exact"/>
        <w:rPr>
          <w:sz w:val="20"/>
          <w:szCs w:val="20"/>
          <w:color w:val="auto"/>
        </w:rPr>
      </w:pPr>
    </w:p>
    <w:p>
      <w:pPr>
        <w:ind w:left="643" w:right="1160" w:hanging="643"/>
        <w:spacing w:after="0" w:line="482" w:lineRule="auto"/>
        <w:tabs>
          <w:tab w:leader="none" w:pos="638" w:val="left"/>
        </w:tabs>
        <w:numPr>
          <w:ilvl w:val="0"/>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REPORTING AND OTHER TRADING RESTRICTIONS UNDER FEDERAL SECURITIES LAWS A. Section 16(a) Reporting Requirements</w:t>
      </w:r>
    </w:p>
    <w:p>
      <w:pPr>
        <w:ind w:left="3" w:firstLine="635"/>
        <w:spacing w:after="0" w:line="261" w:lineRule="auto"/>
        <w:rPr>
          <w:sz w:val="20"/>
          <w:szCs w:val="20"/>
          <w:color w:val="auto"/>
        </w:rPr>
      </w:pPr>
      <w:r>
        <w:rPr>
          <w:rFonts w:ascii="Times New Roman" w:cs="Times New Roman" w:eastAsia="Times New Roman" w:hAnsi="Times New Roman"/>
          <w:sz w:val="21"/>
          <w:szCs w:val="21"/>
          <w:color w:val="auto"/>
        </w:rPr>
        <w:t>Section 16(a) of the Exchange Act requires that Humacyte’s insiders file electronic beneficial ownership reports in connection with their purchases and sales of the Company’s securities. Securities and Exchange Commission (“SEC”) rules require that all filings be made with the SEC electronically and on Humacyte’s website. Further, Humacyte is required to disclose in its annual proxy statement the names of all insiders who have failed to timely file all required Section 16(a) reports.</w:t>
      </w:r>
    </w:p>
    <w:p>
      <w:pPr>
        <w:spacing w:after="0" w:line="203" w:lineRule="exact"/>
        <w:rPr>
          <w:sz w:val="20"/>
          <w:szCs w:val="20"/>
          <w:color w:val="auto"/>
        </w:rPr>
      </w:pPr>
    </w:p>
    <w:p>
      <w:pPr>
        <w:ind w:left="1903" w:hanging="632"/>
        <w:spacing w:after="0"/>
        <w:tabs>
          <w:tab w:leader="none" w:pos="1903" w:val="left"/>
        </w:tabs>
        <w:numPr>
          <w:ilvl w:val="0"/>
          <w:numId w:val="9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Form 3</w:t>
      </w:r>
    </w:p>
    <w:p>
      <w:pPr>
        <w:spacing w:after="0" w:line="252" w:lineRule="exact"/>
        <w:rPr>
          <w:sz w:val="20"/>
          <w:szCs w:val="20"/>
          <w:color w:val="auto"/>
        </w:rPr>
      </w:pPr>
    </w:p>
    <w:p>
      <w:pPr>
        <w:jc w:val="both"/>
        <w:ind w:left="3" w:right="120" w:firstLine="635"/>
        <w:spacing w:after="0" w:line="267" w:lineRule="auto"/>
        <w:rPr>
          <w:sz w:val="20"/>
          <w:szCs w:val="20"/>
          <w:color w:val="auto"/>
        </w:rPr>
      </w:pPr>
      <w:r>
        <w:rPr>
          <w:rFonts w:ascii="Times New Roman" w:cs="Times New Roman" w:eastAsia="Times New Roman" w:hAnsi="Times New Roman"/>
          <w:sz w:val="21"/>
          <w:szCs w:val="21"/>
          <w:color w:val="auto"/>
        </w:rPr>
        <w:t>An insider must file a Form 3 (entitled “Initial Statement of Beneficial Ownership of Securities”) with the SEC to report that he or she is an insider and his or her ownership interests in Humacyte. Anyone becoming an insider in the future must file a Form 3 within ten days of becoming an insider.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7"/>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0963"/>
          </w:cols>
          <w:pgMar w:left="417" w:top="1392" w:right="519" w:bottom="1440" w:gutter="0" w:footer="0" w:header="0"/>
        </w:sectPr>
      </w:pPr>
    </w:p>
    <w:bookmarkStart w:id="175" w:name="page176"/>
    <w:bookmarkEnd w:id="175"/>
    <w:p>
      <w:pPr>
        <w:spacing w:after="0" w:line="191" w:lineRule="exact"/>
        <w:rPr>
          <w:sz w:val="20"/>
          <w:szCs w:val="20"/>
          <w:color w:val="auto"/>
        </w:rPr>
      </w:pPr>
    </w:p>
    <w:p>
      <w:pPr>
        <w:ind w:left="1900" w:hanging="633"/>
        <w:spacing w:after="0"/>
        <w:tabs>
          <w:tab w:leader="none" w:pos="1900"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Forms 4 and 5</w:t>
      </w:r>
    </w:p>
    <w:p>
      <w:pPr>
        <w:spacing w:after="0" w:line="265" w:lineRule="exact"/>
        <w:rPr>
          <w:sz w:val="20"/>
          <w:szCs w:val="20"/>
          <w:color w:val="auto"/>
        </w:rPr>
      </w:pPr>
    </w:p>
    <w:p>
      <w:pPr>
        <w:ind w:firstLine="635"/>
        <w:spacing w:after="0" w:line="267" w:lineRule="auto"/>
        <w:rPr>
          <w:sz w:val="20"/>
          <w:szCs w:val="20"/>
          <w:color w:val="auto"/>
        </w:rPr>
      </w:pPr>
      <w:r>
        <w:rPr>
          <w:rFonts w:ascii="Times New Roman" w:cs="Times New Roman" w:eastAsia="Times New Roman" w:hAnsi="Times New Roman"/>
          <w:sz w:val="21"/>
          <w:szCs w:val="21"/>
          <w:color w:val="auto"/>
        </w:rPr>
        <w:t>An insider must file a Form 4 (entitled “Statement of Changes in Beneficial Ownership”) with the SEC to report a transaction within two business days after the date of such transaction if it results in a change in his or her beneficial ownership of Humacyte’s equity securities. There are three general exceptions to the two-business-day reporting requirement.</w:t>
      </w:r>
    </w:p>
    <w:p>
      <w:pPr>
        <w:spacing w:after="0" w:line="187" w:lineRule="exact"/>
        <w:rPr>
          <w:sz w:val="20"/>
          <w:szCs w:val="20"/>
          <w:color w:val="auto"/>
        </w:rPr>
      </w:pPr>
    </w:p>
    <w:p>
      <w:pPr>
        <w:ind w:right="120" w:firstLine="635"/>
        <w:spacing w:after="0" w:line="273" w:lineRule="auto"/>
        <w:rPr>
          <w:sz w:val="20"/>
          <w:szCs w:val="20"/>
          <w:color w:val="auto"/>
        </w:rPr>
      </w:pPr>
      <w:r>
        <w:rPr>
          <w:rFonts w:ascii="Times New Roman" w:cs="Times New Roman" w:eastAsia="Times New Roman" w:hAnsi="Times New Roman"/>
          <w:sz w:val="21"/>
          <w:szCs w:val="21"/>
          <w:color w:val="auto"/>
        </w:rPr>
        <w:t xml:space="preserve">First, the following types of transactions may be reported on a Form 4 within two business days following the date the insider receives </w:t>
      </w:r>
      <w:r>
        <w:rPr>
          <w:rFonts w:ascii="Times New Roman" w:cs="Times New Roman" w:eastAsia="Times New Roman" w:hAnsi="Times New Roman"/>
          <w:sz w:val="21"/>
          <w:szCs w:val="21"/>
          <w:i w:val="1"/>
          <w:iCs w:val="1"/>
          <w:color w:val="auto"/>
        </w:rPr>
        <w:t>notice of the transaction</w:t>
      </w:r>
      <w:r>
        <w:rPr>
          <w:rFonts w:ascii="Times New Roman" w:cs="Times New Roman" w:eastAsia="Times New Roman" w:hAnsi="Times New Roman"/>
          <w:sz w:val="21"/>
          <w:szCs w:val="21"/>
          <w:color w:val="auto"/>
        </w:rPr>
        <w:t xml:space="preserve"> (but in no event later than five business days following the transaction), rather than two business days following the date on which the transaction occurs:</w:t>
      </w:r>
    </w:p>
    <w:p>
      <w:pPr>
        <w:spacing w:after="0" w:line="182" w:lineRule="exact"/>
        <w:rPr>
          <w:sz w:val="20"/>
          <w:szCs w:val="20"/>
          <w:color w:val="auto"/>
        </w:rPr>
      </w:pPr>
    </w:p>
    <w:p>
      <w:pPr>
        <w:ind w:left="940" w:right="240" w:hanging="308"/>
        <w:spacing w:after="0" w:line="284" w:lineRule="auto"/>
        <w:tabs>
          <w:tab w:leader="none" w:pos="935"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transaction pursuant to a Rule 10b5-1 plan under which the insider does not select the date on which the purchases or sales take place; and</w:t>
      </w:r>
    </w:p>
    <w:p>
      <w:pPr>
        <w:spacing w:after="0" w:line="182" w:lineRule="exact"/>
        <w:rPr>
          <w:rFonts w:ascii="Times New Roman" w:cs="Times New Roman" w:eastAsia="Times New Roman" w:hAnsi="Times New Roman"/>
          <w:sz w:val="21"/>
          <w:szCs w:val="21"/>
          <w:color w:val="auto"/>
        </w:rPr>
      </w:pPr>
    </w:p>
    <w:p>
      <w:pPr>
        <w:jc w:val="both"/>
        <w:ind w:left="940" w:right="320" w:hanging="308"/>
        <w:spacing w:after="0" w:line="267" w:lineRule="auto"/>
        <w:tabs>
          <w:tab w:leader="none" w:pos="935"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“discretionary transaction” (as defined in Rule 16b-3) pursuant to an employee benefit plan for which the insider does not select the date on which transactions take place (such as transfers in or out of, or cash withdrawals from, a company stock fund in a 401(k) plan or other employee benefit plan).</w:t>
      </w:r>
    </w:p>
    <w:p>
      <w:pPr>
        <w:spacing w:after="0" w:line="187" w:lineRule="exact"/>
        <w:rPr>
          <w:sz w:val="20"/>
          <w:szCs w:val="20"/>
          <w:color w:val="auto"/>
        </w:rPr>
      </w:pPr>
    </w:p>
    <w:p>
      <w:pPr>
        <w:ind w:right="80" w:firstLine="635"/>
        <w:spacing w:after="0" w:line="259" w:lineRule="auto"/>
        <w:rPr>
          <w:sz w:val="20"/>
          <w:szCs w:val="20"/>
          <w:color w:val="auto"/>
        </w:rPr>
      </w:pPr>
      <w:r>
        <w:rPr>
          <w:rFonts w:ascii="Times New Roman" w:cs="Times New Roman" w:eastAsia="Times New Roman" w:hAnsi="Times New Roman"/>
          <w:sz w:val="21"/>
          <w:szCs w:val="21"/>
          <w:color w:val="auto"/>
        </w:rPr>
        <w:t>Second, certain transactions may, and in a few instances must, be reported on a year- end Form 5 (entitled “Annual Statement of Changes in Beneficial Ownership of Securities”). A Form 5 must be filed with the SEC within 45 days after the end of such fiscal year by each person who was an insider for any part of a company’s fiscal year (unless he or she has no transactions to report on the Form 5). There are certain limited types of stock transactions that the SEC has designated as eligible for Form 5 filing (rather than a Form 4 filing). Insiders also must report on a Form 5 all transactions that occurred during the fiscal year that should have been, but were not, reported earlier on Form 4.</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Third, the following types of transactions do not trigger any Form 4 or Form 5 filing requirement:</w:t>
      </w:r>
    </w:p>
    <w:p>
      <w:pPr>
        <w:spacing w:after="0" w:line="116" w:lineRule="exact"/>
        <w:rPr>
          <w:sz w:val="20"/>
          <w:szCs w:val="20"/>
          <w:color w:val="auto"/>
        </w:rPr>
      </w:pPr>
    </w:p>
    <w:p>
      <w:pPr>
        <w:ind w:left="940" w:hanging="308"/>
        <w:spacing w:after="0"/>
        <w:tabs>
          <w:tab w:leader="none" w:pos="94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acquisition under an employee stock purchase plan;</w:t>
      </w:r>
    </w:p>
    <w:p>
      <w:pPr>
        <w:spacing w:after="0" w:line="248" w:lineRule="exact"/>
        <w:rPr>
          <w:rFonts w:ascii="Times New Roman" w:cs="Times New Roman" w:eastAsia="Times New Roman" w:hAnsi="Times New Roman"/>
          <w:sz w:val="21"/>
          <w:szCs w:val="21"/>
          <w:color w:val="auto"/>
        </w:rPr>
      </w:pPr>
    </w:p>
    <w:p>
      <w:pPr>
        <w:ind w:left="940" w:right="300" w:hanging="308"/>
        <w:spacing w:after="0" w:line="284" w:lineRule="auto"/>
        <w:tabs>
          <w:tab w:leader="none" w:pos="935"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transaction (other than a “discretionary transaction”) under certain employee benefit plans, such as pension plans, 401(k) plans, or related excess benefit plans;</w:t>
      </w:r>
    </w:p>
    <w:p>
      <w:pPr>
        <w:spacing w:after="0" w:line="182" w:lineRule="exact"/>
        <w:rPr>
          <w:rFonts w:ascii="Times New Roman" w:cs="Times New Roman" w:eastAsia="Times New Roman" w:hAnsi="Times New Roman"/>
          <w:sz w:val="21"/>
          <w:szCs w:val="21"/>
          <w:color w:val="auto"/>
        </w:rPr>
      </w:pPr>
    </w:p>
    <w:p>
      <w:pPr>
        <w:ind w:left="940" w:hanging="308"/>
        <w:spacing w:after="0"/>
        <w:tabs>
          <w:tab w:leader="none" w:pos="94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acquisition through a stock split, stock dividend or other pro rata distribution to stockholders of the Company;</w:t>
      </w:r>
    </w:p>
    <w:p>
      <w:pPr>
        <w:spacing w:after="0" w:line="248" w:lineRule="exact"/>
        <w:rPr>
          <w:rFonts w:ascii="Times New Roman" w:cs="Times New Roman" w:eastAsia="Times New Roman" w:hAnsi="Times New Roman"/>
          <w:sz w:val="21"/>
          <w:szCs w:val="21"/>
          <w:color w:val="auto"/>
        </w:rPr>
      </w:pPr>
    </w:p>
    <w:p>
      <w:pPr>
        <w:ind w:left="940" w:hanging="308"/>
        <w:spacing w:after="0"/>
        <w:tabs>
          <w:tab w:leader="none" w:pos="94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acquisition under certain dividend or interest reinvestment plans; and</w:t>
      </w:r>
    </w:p>
    <w:p>
      <w:pPr>
        <w:spacing w:after="0" w:line="261" w:lineRule="exact"/>
        <w:rPr>
          <w:rFonts w:ascii="Times New Roman" w:cs="Times New Roman" w:eastAsia="Times New Roman" w:hAnsi="Times New Roman"/>
          <w:sz w:val="21"/>
          <w:szCs w:val="21"/>
          <w:color w:val="auto"/>
        </w:rPr>
      </w:pPr>
    </w:p>
    <w:p>
      <w:pPr>
        <w:ind w:left="940" w:hanging="308"/>
        <w:spacing w:after="0"/>
        <w:tabs>
          <w:tab w:leader="none" w:pos="94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acquisition or disposition as a result of a domestic relations orders (such as a divorce decree).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020"/>
          </w:cols>
          <w:pgMar w:left="420" w:top="1440" w:right="459" w:bottom="1440" w:gutter="0" w:footer="0" w:header="0"/>
        </w:sectPr>
      </w:pPr>
    </w:p>
    <w:bookmarkStart w:id="176" w:name="page177"/>
    <w:bookmarkEnd w:id="176"/>
    <w:p>
      <w:pPr>
        <w:ind w:right="340" w:firstLine="635"/>
        <w:spacing w:after="0" w:line="273" w:lineRule="auto"/>
        <w:rPr>
          <w:sz w:val="20"/>
          <w:szCs w:val="20"/>
          <w:color w:val="auto"/>
        </w:rPr>
      </w:pPr>
      <w:r>
        <w:rPr>
          <w:rFonts w:ascii="Times New Roman" w:cs="Times New Roman" w:eastAsia="Times New Roman" w:hAnsi="Times New Roman"/>
          <w:sz w:val="21"/>
          <w:szCs w:val="21"/>
          <w:color w:val="auto"/>
        </w:rPr>
        <w:t>Although these transactions do not require the filing of a Form 4 or Form 5, the next Form 4 or Form 5 filed after the occurrence of one of these transactions should reflect the effects of these transactions in the column reporting post-transaction security ownership.</w:t>
      </w:r>
    </w:p>
    <w:p>
      <w:pPr>
        <w:spacing w:after="0" w:line="151" w:lineRule="exact"/>
        <w:rPr>
          <w:sz w:val="20"/>
          <w:szCs w:val="20"/>
          <w:color w:val="auto"/>
        </w:rPr>
      </w:pPr>
    </w:p>
    <w:p>
      <w:pPr>
        <w:ind w:left="1900" w:hanging="633"/>
        <w:spacing w:after="0"/>
        <w:tabs>
          <w:tab w:leader="none" w:pos="1900"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Preparation of Forms 3, 4 and 5</w:t>
      </w:r>
    </w:p>
    <w:p>
      <w:pPr>
        <w:spacing w:after="0" w:line="252" w:lineRule="exact"/>
        <w:rPr>
          <w:sz w:val="20"/>
          <w:szCs w:val="20"/>
          <w:color w:val="auto"/>
        </w:rPr>
      </w:pPr>
    </w:p>
    <w:p>
      <w:pPr>
        <w:ind w:firstLine="635"/>
        <w:spacing w:after="0" w:line="261" w:lineRule="auto"/>
        <w:rPr>
          <w:sz w:val="20"/>
          <w:szCs w:val="20"/>
          <w:color w:val="auto"/>
        </w:rPr>
      </w:pPr>
      <w:r>
        <w:rPr>
          <w:rFonts w:ascii="Times New Roman" w:cs="Times New Roman" w:eastAsia="Times New Roman" w:hAnsi="Times New Roman"/>
          <w:sz w:val="21"/>
          <w:szCs w:val="21"/>
          <w:color w:val="auto"/>
        </w:rPr>
        <w:t>Although the responsibility for the timely filing of reports and compliance with trading restrictions rests with each individual required to report or comply, the CFO will prepare and file Forms 3, 4, and 5 on behalf of insiders who are Company directors and officers. All Forms 3, 4, and 5 prepared on behalf of an insider will be based on information provided by the insider. Accordingly, all insiders must fill out and deliver to the CFO a Form ID (a form to obtain access codes to file on the SEC’s electronic filing system).</w:t>
      </w:r>
    </w:p>
    <w:p>
      <w:pPr>
        <w:spacing w:after="0" w:line="205" w:lineRule="exact"/>
        <w:rPr>
          <w:sz w:val="20"/>
          <w:szCs w:val="20"/>
          <w:color w:val="auto"/>
        </w:rPr>
      </w:pPr>
    </w:p>
    <w:p>
      <w:pPr>
        <w:ind w:left="1260" w:hanging="628"/>
        <w:spacing w:after="0"/>
        <w:tabs>
          <w:tab w:leader="none" w:pos="1260" w:val="left"/>
        </w:tabs>
        <w:numPr>
          <w:ilvl w:val="0"/>
          <w:numId w:val="1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16(b) Short-Swing Profit Liability</w:t>
      </w:r>
    </w:p>
    <w:p>
      <w:pPr>
        <w:spacing w:after="0" w:line="212" w:lineRule="exact"/>
        <w:rPr>
          <w:sz w:val="20"/>
          <w:szCs w:val="20"/>
          <w:color w:val="auto"/>
        </w:rPr>
      </w:pPr>
    </w:p>
    <w:p>
      <w:pPr>
        <w:ind w:right="20" w:firstLine="635"/>
        <w:spacing w:after="0" w:line="260" w:lineRule="auto"/>
        <w:rPr>
          <w:sz w:val="20"/>
          <w:szCs w:val="20"/>
          <w:color w:val="auto"/>
        </w:rPr>
      </w:pPr>
      <w:r>
        <w:rPr>
          <w:rFonts w:ascii="Times New Roman" w:cs="Times New Roman" w:eastAsia="Times New Roman" w:hAnsi="Times New Roman"/>
          <w:sz w:val="21"/>
          <w:szCs w:val="21"/>
          <w:color w:val="auto"/>
        </w:rPr>
        <w:t>Section 16(b) of the Exchange Act allows the Company to recover any profit realized by one of its insiders resulting from any combination of purchases and sales of Humacyte’s equity securities within a period of less than six months. Such liability arises without regard to whether any such transactions occur during the Window Period referred to above. Profits are determined for this purpose by matching the highest sales price during the period with the lowest purchase price and are to be recovered even though the insider realized no actual profit for the period or he or she sustained a net loss. Although the purpose of the statute is to prevent trading on the basis of material nonpublic information, the recovery provision operates without regard to the intent of the insider or the actual possession of material nonpublic information and may not be waived by the Company.</w:t>
      </w:r>
    </w:p>
    <w:p>
      <w:pPr>
        <w:spacing w:after="0" w:line="167" w:lineRule="exact"/>
        <w:rPr>
          <w:sz w:val="20"/>
          <w:szCs w:val="20"/>
          <w:color w:val="auto"/>
        </w:rPr>
      </w:pPr>
    </w:p>
    <w:p>
      <w:pPr>
        <w:ind w:right="100" w:firstLine="635"/>
        <w:spacing w:after="0" w:line="256" w:lineRule="auto"/>
        <w:rPr>
          <w:sz w:val="20"/>
          <w:szCs w:val="20"/>
          <w:color w:val="auto"/>
        </w:rPr>
      </w:pPr>
      <w:r>
        <w:rPr>
          <w:rFonts w:ascii="Times New Roman" w:cs="Times New Roman" w:eastAsia="Times New Roman" w:hAnsi="Times New Roman"/>
          <w:sz w:val="21"/>
          <w:szCs w:val="21"/>
          <w:color w:val="auto"/>
        </w:rPr>
        <w:t>The restrictions on “short-swing” trading apply not only to trading in Humacyte’s securities but also to any “derivative security.” Thus, for example, a grant or exercise of options (other than grants or exercises made under a plan that is exempt from Section 16) would be considered to be a “purchase” or sales of Humacyte securities under Section 16. Other transactions not necessarily thought to involve purchases, such as corporate mergers, also may be covered. The SEC has exempted certain transactions, such as purchases under employee benefit plans that have been approved by stockholders or the board of directors, from the “short-swing” profit recovery provisions of Section 16 (but not the reporting provisions).</w:t>
      </w:r>
    </w:p>
    <w:p>
      <w:pPr>
        <w:spacing w:after="0" w:line="1"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21"/>
          <w:szCs w:val="21"/>
          <w:color w:val="auto"/>
        </w:rPr>
        <w:t>Directors and officers remain subject to these Section 16 requirements and restrictions for a period of up to six months after terminating their positions with Humacyte.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000"/>
          </w:cols>
          <w:pgMar w:left="420" w:top="1383" w:right="47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1"/>
          <w:szCs w:val="21"/>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Subsidiaries of Humacyte,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Humacyte Global, Inc.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Humacyte Europe Limited</w:t>
      </w:r>
    </w:p>
    <w:p>
      <w:pPr>
        <w:sectPr>
          <w:pgSz w:w="11900" w:h="16838" w:orient="portrait"/>
          <w:cols w:equalWidth="0" w:num="1">
            <w:col w:w="11240"/>
          </w:cols>
          <w:pgMar w:left="320" w:top="969"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CONSENT OF INDEPENDENT REGISTERED PUBLIC ACCOUNTING FIRM</w:t>
      </w:r>
    </w:p>
    <w:p>
      <w:pPr>
        <w:spacing w:after="0" w:line="218" w:lineRule="exact"/>
        <w:rPr>
          <w:sz w:val="20"/>
          <w:szCs w:val="20"/>
          <w:color w:val="auto"/>
        </w:rPr>
      </w:pPr>
    </w:p>
    <w:p>
      <w:pPr>
        <w:jc w:val="both"/>
        <w:ind w:right="540"/>
        <w:spacing w:after="0" w:line="273" w:lineRule="auto"/>
        <w:rPr>
          <w:sz w:val="20"/>
          <w:szCs w:val="20"/>
          <w:color w:val="auto"/>
        </w:rPr>
      </w:pPr>
      <w:r>
        <w:rPr>
          <w:rFonts w:ascii="Times New Roman" w:cs="Times New Roman" w:eastAsia="Times New Roman" w:hAnsi="Times New Roman"/>
          <w:sz w:val="19"/>
          <w:szCs w:val="19"/>
          <w:color w:val="auto"/>
        </w:rPr>
        <w:t>We hereby consent to the incorporation by reference in the Registration Statements on Form S-3 (Nos. 333-272550, 333-267225 and 333-267222) and Form S-8 (Nos. 333-278296 and 333-260561) of Humacyte, Inc. of our report dated March 31, 2025 relating to the financial statements, which appears in this Form 10-K.</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PricewaterhouseCoopers LLP</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Raleigh, North Carolina</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March 31, 2025</w:t>
      </w:r>
    </w:p>
    <w:p>
      <w:pPr>
        <w:sectPr>
          <w:pgSz w:w="11900" w:h="16838" w:orient="portrait"/>
          <w:cols w:equalWidth="0" w:num="1">
            <w:col w:w="11240"/>
          </w:cols>
          <w:pgMar w:left="320" w:top="1119"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9"/>
          <w:szCs w:val="19"/>
          <w:b w:val="1"/>
          <w:bCs w:val="1"/>
          <w:color w:val="auto"/>
        </w:rPr>
        <w:t>Exhibit 31.1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Laura E. Niklason, certify that:</w:t>
      </w:r>
    </w:p>
    <w:p>
      <w:pPr>
        <w:spacing w:after="0" w:line="232" w:lineRule="exact"/>
        <w:rPr>
          <w:sz w:val="20"/>
          <w:szCs w:val="20"/>
          <w:color w:val="auto"/>
        </w:rPr>
      </w:pPr>
    </w:p>
    <w:p>
      <w:pPr>
        <w:ind w:left="640" w:hanging="316"/>
        <w:spacing w:after="0"/>
        <w:tabs>
          <w:tab w:leader="none" w:pos="64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Annual Report on Form 10-K of Humacyte, Inc.;</w:t>
      </w:r>
    </w:p>
    <w:p>
      <w:pPr>
        <w:spacing w:after="0" w:line="218" w:lineRule="exact"/>
        <w:rPr>
          <w:rFonts w:ascii="Times New Roman" w:cs="Times New Roman" w:eastAsia="Times New Roman" w:hAnsi="Times New Roman"/>
          <w:sz w:val="19"/>
          <w:szCs w:val="19"/>
          <w:color w:val="auto"/>
        </w:rPr>
      </w:pPr>
    </w:p>
    <w:p>
      <w:pPr>
        <w:jc w:val="both"/>
        <w:ind w:left="640" w:hanging="316"/>
        <w:spacing w:after="0" w:line="280" w:lineRule="auto"/>
        <w:tabs>
          <w:tab w:leader="none" w:pos="64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9"/>
          <w:szCs w:val="19"/>
          <w:color w:val="auto"/>
        </w:rPr>
      </w:pPr>
    </w:p>
    <w:p>
      <w:pPr>
        <w:ind w:left="640" w:right="20" w:hanging="316"/>
        <w:spacing w:after="0" w:line="299" w:lineRule="auto"/>
        <w:tabs>
          <w:tab w:leader="none" w:pos="64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Times New Roman" w:cs="Times New Roman" w:eastAsia="Times New Roman" w:hAnsi="Times New Roman"/>
          <w:sz w:val="19"/>
          <w:szCs w:val="19"/>
          <w:color w:val="auto"/>
        </w:rPr>
      </w:pPr>
    </w:p>
    <w:p>
      <w:pPr>
        <w:jc w:val="both"/>
        <w:ind w:left="640" w:hanging="316"/>
        <w:spacing w:after="0" w:line="280" w:lineRule="auto"/>
        <w:tabs>
          <w:tab w:leader="none" w:pos="64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9"/>
          <w:szCs w:val="19"/>
          <w:color w:val="auto"/>
        </w:rPr>
      </w:pPr>
    </w:p>
    <w:p>
      <w:pPr>
        <w:jc w:val="both"/>
        <w:ind w:left="1280" w:hanging="321"/>
        <w:spacing w:after="0" w:line="273" w:lineRule="auto"/>
        <w:tabs>
          <w:tab w:leader="none" w:pos="1269"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9"/>
          <w:szCs w:val="19"/>
          <w:color w:val="auto"/>
        </w:rPr>
      </w:pPr>
    </w:p>
    <w:p>
      <w:pPr>
        <w:jc w:val="both"/>
        <w:ind w:left="1280" w:hanging="321"/>
        <w:spacing w:after="0" w:line="273" w:lineRule="auto"/>
        <w:tabs>
          <w:tab w:leader="none" w:pos="1280"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9"/>
          <w:szCs w:val="19"/>
          <w:color w:val="auto"/>
        </w:rPr>
      </w:pPr>
    </w:p>
    <w:p>
      <w:pPr>
        <w:jc w:val="both"/>
        <w:ind w:left="1280" w:hanging="321"/>
        <w:spacing w:after="0" w:line="273" w:lineRule="auto"/>
        <w:tabs>
          <w:tab w:leader="none" w:pos="1269"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Times New Roman" w:cs="Times New Roman" w:eastAsia="Times New Roman" w:hAnsi="Times New Roman"/>
          <w:sz w:val="19"/>
          <w:szCs w:val="19"/>
          <w:color w:val="auto"/>
        </w:rPr>
      </w:pPr>
    </w:p>
    <w:p>
      <w:pPr>
        <w:jc w:val="both"/>
        <w:ind w:left="1280" w:hanging="321"/>
        <w:spacing w:after="0" w:line="280" w:lineRule="auto"/>
        <w:tabs>
          <w:tab w:leader="none" w:pos="1280"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9"/>
          <w:szCs w:val="19"/>
          <w:color w:val="auto"/>
        </w:rPr>
      </w:pPr>
    </w:p>
    <w:p>
      <w:pPr>
        <w:jc w:val="both"/>
        <w:ind w:left="640" w:hanging="316"/>
        <w:spacing w:after="0" w:line="273" w:lineRule="auto"/>
        <w:tabs>
          <w:tab w:leader="none" w:pos="64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Times New Roman" w:cs="Times New Roman" w:eastAsia="Times New Roman" w:hAnsi="Times New Roman"/>
          <w:sz w:val="19"/>
          <w:szCs w:val="19"/>
          <w:color w:val="auto"/>
        </w:rPr>
      </w:pPr>
    </w:p>
    <w:p>
      <w:pPr>
        <w:jc w:val="both"/>
        <w:ind w:left="1280" w:hanging="321"/>
        <w:spacing w:after="0" w:line="284" w:lineRule="auto"/>
        <w:tabs>
          <w:tab w:leader="none" w:pos="1269"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6" w:lineRule="exact"/>
        <w:rPr>
          <w:rFonts w:ascii="Times New Roman" w:cs="Times New Roman" w:eastAsia="Times New Roman" w:hAnsi="Times New Roman"/>
          <w:sz w:val="19"/>
          <w:szCs w:val="19"/>
          <w:color w:val="auto"/>
        </w:rPr>
      </w:pPr>
    </w:p>
    <w:p>
      <w:pPr>
        <w:ind w:left="1280" w:hanging="321"/>
        <w:spacing w:after="0" w:line="284" w:lineRule="auto"/>
        <w:tabs>
          <w:tab w:leader="none" w:pos="1280"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040" w:val="left"/>
          <w:tab w:leader="none" w:pos="5820" w:val="left"/>
        </w:tabs>
        <w:rPr>
          <w:sz w:val="20"/>
          <w:szCs w:val="20"/>
          <w:color w:val="auto"/>
        </w:rPr>
      </w:pPr>
      <w:r>
        <w:rPr>
          <w:rFonts w:ascii="Times New Roman" w:cs="Times New Roman" w:eastAsia="Times New Roman" w:hAnsi="Times New Roman"/>
          <w:sz w:val="19"/>
          <w:szCs w:val="19"/>
          <w:color w:val="auto"/>
        </w:rPr>
        <w:t>Date: March 31, 2025</w:t>
      </w:r>
      <w:r>
        <w:rPr>
          <w:sz w:val="20"/>
          <w:szCs w:val="20"/>
          <w:color w:val="auto"/>
        </w:rPr>
        <w:tab/>
      </w: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27305</wp:posOffset>
            </wp:positionV>
            <wp:extent cx="29749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7">
                      <a:extLst>
                        <a:ext uri="{28A0092B-C50C-407E-A947-70E740481C1C}"/>
                      </a:extLst>
                    </a:blip>
                    <a:srcRect/>
                    <a:stretch>
                      <a:fillRect/>
                    </a:stretch>
                  </pic:blipFill>
                  <pic:spPr bwMode="auto">
                    <a:xfrm>
                      <a:off x="0" y="0"/>
                      <a:ext cx="2974975" cy="8255"/>
                    </a:xfrm>
                    <a:prstGeom prst="rect">
                      <a:avLst/>
                    </a:prstGeom>
                    <a:noFill/>
                  </pic:spPr>
                </pic:pic>
              </a:graphicData>
            </a:graphic>
          </wp:anchor>
        </w:drawing>
      </w:r>
    </w:p>
    <w:p>
      <w:pPr>
        <w:spacing w:after="0" w:line="39" w:lineRule="exact"/>
        <w:rPr>
          <w:sz w:val="20"/>
          <w:szCs w:val="20"/>
          <w:color w:val="auto"/>
        </w:rPr>
      </w:pPr>
    </w:p>
    <w:p>
      <w:pPr>
        <w:ind w:left="5840"/>
        <w:spacing w:after="0"/>
        <w:tabs>
          <w:tab w:leader="none" w:pos="6600" w:val="left"/>
        </w:tabs>
        <w:rPr>
          <w:sz w:val="20"/>
          <w:szCs w:val="20"/>
          <w:color w:val="auto"/>
        </w:rPr>
      </w:pPr>
      <w:r>
        <w:rPr>
          <w:rFonts w:ascii="Times New Roman" w:cs="Times New Roman" w:eastAsia="Times New Roman" w:hAnsi="Times New Roman"/>
          <w:sz w:val="19"/>
          <w:szCs w:val="19"/>
          <w:color w:val="auto"/>
        </w:rPr>
        <w:t>Name:</w:t>
        <w:tab/>
        <w:t>Laura E. Niklason, M.D., Ph.D.</w:t>
      </w:r>
    </w:p>
    <w:p>
      <w:pPr>
        <w:spacing w:after="0" w:line="46" w:lineRule="exact"/>
        <w:rPr>
          <w:sz w:val="20"/>
          <w:szCs w:val="20"/>
          <w:color w:val="auto"/>
        </w:rPr>
      </w:pPr>
    </w:p>
    <w:p>
      <w:pPr>
        <w:ind w:left="5840"/>
        <w:spacing w:after="0"/>
        <w:tabs>
          <w:tab w:leader="none" w:pos="660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President and Chief Executive Officer</w:t>
      </w:r>
    </w:p>
    <w:p>
      <w:pPr>
        <w:sectPr>
          <w:pgSz w:w="11900" w:h="16838" w:orient="portrait"/>
          <w:cols w:equalWidth="0" w:num="1">
            <w:col w:w="11240"/>
          </w:cols>
          <w:pgMar w:left="320" w:top="960"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Dale A. Sander, certify that:</w:t>
      </w:r>
    </w:p>
    <w:p>
      <w:pPr>
        <w:spacing w:after="0" w:line="232" w:lineRule="exact"/>
        <w:rPr>
          <w:sz w:val="20"/>
          <w:szCs w:val="20"/>
          <w:color w:val="auto"/>
        </w:rPr>
      </w:pPr>
    </w:p>
    <w:p>
      <w:pPr>
        <w:ind w:left="640" w:hanging="316"/>
        <w:spacing w:after="0"/>
        <w:tabs>
          <w:tab w:leader="none" w:pos="64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Annual Report on Form 10-K of Humacyte, Inc.;</w:t>
      </w:r>
    </w:p>
    <w:p>
      <w:pPr>
        <w:spacing w:after="0" w:line="218" w:lineRule="exact"/>
        <w:rPr>
          <w:rFonts w:ascii="Times New Roman" w:cs="Times New Roman" w:eastAsia="Times New Roman" w:hAnsi="Times New Roman"/>
          <w:sz w:val="19"/>
          <w:szCs w:val="19"/>
          <w:color w:val="auto"/>
        </w:rPr>
      </w:pPr>
    </w:p>
    <w:p>
      <w:pPr>
        <w:jc w:val="both"/>
        <w:ind w:left="640" w:hanging="316"/>
        <w:spacing w:after="0" w:line="280" w:lineRule="auto"/>
        <w:tabs>
          <w:tab w:leader="none" w:pos="64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9"/>
          <w:szCs w:val="19"/>
          <w:color w:val="auto"/>
        </w:rPr>
      </w:pPr>
    </w:p>
    <w:p>
      <w:pPr>
        <w:ind w:left="640" w:right="20" w:hanging="316"/>
        <w:spacing w:after="0" w:line="299" w:lineRule="auto"/>
        <w:tabs>
          <w:tab w:leader="none" w:pos="64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Times New Roman" w:cs="Times New Roman" w:eastAsia="Times New Roman" w:hAnsi="Times New Roman"/>
          <w:sz w:val="19"/>
          <w:szCs w:val="19"/>
          <w:color w:val="auto"/>
        </w:rPr>
      </w:pPr>
    </w:p>
    <w:p>
      <w:pPr>
        <w:jc w:val="both"/>
        <w:ind w:left="640" w:hanging="316"/>
        <w:spacing w:after="0" w:line="280" w:lineRule="auto"/>
        <w:tabs>
          <w:tab w:leader="none" w:pos="64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9"/>
          <w:szCs w:val="19"/>
          <w:color w:val="auto"/>
        </w:rPr>
      </w:pPr>
    </w:p>
    <w:p>
      <w:pPr>
        <w:jc w:val="both"/>
        <w:ind w:left="1280" w:hanging="321"/>
        <w:spacing w:after="0" w:line="273" w:lineRule="auto"/>
        <w:tabs>
          <w:tab w:leader="none" w:pos="1269"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9"/>
          <w:szCs w:val="19"/>
          <w:color w:val="auto"/>
        </w:rPr>
      </w:pPr>
    </w:p>
    <w:p>
      <w:pPr>
        <w:jc w:val="both"/>
        <w:ind w:left="1280" w:hanging="321"/>
        <w:spacing w:after="0" w:line="273" w:lineRule="auto"/>
        <w:tabs>
          <w:tab w:leader="none" w:pos="1280"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9"/>
          <w:szCs w:val="19"/>
          <w:color w:val="auto"/>
        </w:rPr>
      </w:pPr>
    </w:p>
    <w:p>
      <w:pPr>
        <w:jc w:val="both"/>
        <w:ind w:left="1280" w:hanging="321"/>
        <w:spacing w:after="0" w:line="273" w:lineRule="auto"/>
        <w:tabs>
          <w:tab w:leader="none" w:pos="1269"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Times New Roman" w:cs="Times New Roman" w:eastAsia="Times New Roman" w:hAnsi="Times New Roman"/>
          <w:sz w:val="19"/>
          <w:szCs w:val="19"/>
          <w:color w:val="auto"/>
        </w:rPr>
      </w:pPr>
    </w:p>
    <w:p>
      <w:pPr>
        <w:jc w:val="both"/>
        <w:ind w:left="1280" w:hanging="321"/>
        <w:spacing w:after="0" w:line="280" w:lineRule="auto"/>
        <w:tabs>
          <w:tab w:leader="none" w:pos="1280"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9"/>
          <w:szCs w:val="19"/>
          <w:color w:val="auto"/>
        </w:rPr>
      </w:pPr>
    </w:p>
    <w:p>
      <w:pPr>
        <w:jc w:val="both"/>
        <w:ind w:left="640" w:hanging="316"/>
        <w:spacing w:after="0" w:line="273" w:lineRule="auto"/>
        <w:tabs>
          <w:tab w:leader="none" w:pos="64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Times New Roman" w:cs="Times New Roman" w:eastAsia="Times New Roman" w:hAnsi="Times New Roman"/>
          <w:sz w:val="19"/>
          <w:szCs w:val="19"/>
          <w:color w:val="auto"/>
        </w:rPr>
      </w:pPr>
    </w:p>
    <w:p>
      <w:pPr>
        <w:jc w:val="both"/>
        <w:ind w:left="1280" w:hanging="321"/>
        <w:spacing w:after="0" w:line="284" w:lineRule="auto"/>
        <w:tabs>
          <w:tab w:leader="none" w:pos="1269"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6" w:lineRule="exact"/>
        <w:rPr>
          <w:rFonts w:ascii="Times New Roman" w:cs="Times New Roman" w:eastAsia="Times New Roman" w:hAnsi="Times New Roman"/>
          <w:sz w:val="19"/>
          <w:szCs w:val="19"/>
          <w:color w:val="auto"/>
        </w:rPr>
      </w:pPr>
    </w:p>
    <w:p>
      <w:pPr>
        <w:ind w:left="1280" w:hanging="321"/>
        <w:spacing w:after="0" w:line="284" w:lineRule="auto"/>
        <w:tabs>
          <w:tab w:leader="none" w:pos="1280"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19"/>
                <w:szCs w:val="19"/>
                <w:color w:val="auto"/>
              </w:rPr>
              <w:t>Date: March 31, 2025</w:t>
            </w:r>
          </w:p>
        </w:tc>
        <w:tc>
          <w:tcPr>
            <w:tcW w:w="2020" w:type="dxa"/>
            <w:vAlign w:val="bottom"/>
          </w:tcPr>
          <w:p>
            <w:pPr>
              <w:ind w:left="1420"/>
              <w:spacing w:after="0"/>
              <w:rPr>
                <w:sz w:val="20"/>
                <w:szCs w:val="20"/>
                <w:color w:val="auto"/>
              </w:rPr>
            </w:pPr>
            <w:r>
              <w:rPr>
                <w:rFonts w:ascii="Times New Roman" w:cs="Times New Roman" w:eastAsia="Times New Roman" w:hAnsi="Times New Roman"/>
                <w:sz w:val="19"/>
                <w:szCs w:val="19"/>
                <w:color w:val="auto"/>
              </w:rPr>
              <w:t>By:</w:t>
            </w:r>
          </w:p>
        </w:tc>
        <w:tc>
          <w:tcPr>
            <w:tcW w:w="5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/s/ Dale A. Sander</w:t>
            </w:r>
          </w:p>
        </w:tc>
      </w:tr>
      <w:tr>
        <w:trPr>
          <w:trHeight w:val="239"/>
        </w:trPr>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500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Dale A. Sander</w:t>
            </w:r>
          </w:p>
        </w:tc>
      </w:tr>
      <w:tr>
        <w:trPr>
          <w:trHeight w:val="199"/>
        </w:trPr>
        <w:tc>
          <w:tcPr>
            <w:tcW w:w="3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ind w:left="20"/>
              <w:spacing w:after="0" w:line="199" w:lineRule="exact"/>
              <w:rPr>
                <w:sz w:val="20"/>
                <w:szCs w:val="20"/>
                <w:color w:val="auto"/>
              </w:rPr>
            </w:pPr>
            <w:r>
              <w:rPr>
                <w:rFonts w:ascii="Times New Roman" w:cs="Times New Roman" w:eastAsia="Times New Roman" w:hAnsi="Times New Roman"/>
                <w:sz w:val="19"/>
                <w:szCs w:val="19"/>
                <w:color w:val="auto"/>
              </w:rPr>
              <w:t>Title:</w:t>
            </w:r>
          </w:p>
        </w:tc>
        <w:tc>
          <w:tcPr>
            <w:tcW w:w="5000" w:type="dxa"/>
            <w:vAlign w:val="bottom"/>
          </w:tcPr>
          <w:p>
            <w:pPr>
              <w:ind w:left="160"/>
              <w:spacing w:after="0" w:line="199" w:lineRule="exact"/>
              <w:rPr>
                <w:sz w:val="20"/>
                <w:szCs w:val="20"/>
                <w:color w:val="auto"/>
              </w:rPr>
            </w:pPr>
            <w:r>
              <w:rPr>
                <w:rFonts w:ascii="Times New Roman" w:cs="Times New Roman" w:eastAsia="Times New Roman" w:hAnsi="Times New Roman"/>
                <w:sz w:val="19"/>
                <w:szCs w:val="19"/>
                <w:color w:val="auto"/>
              </w:rPr>
              <w:t>Chief Financial Officer, Chief Corporate Development</w:t>
            </w:r>
          </w:p>
        </w:tc>
      </w:tr>
      <w:tr>
        <w:trPr>
          <w:trHeight w:val="253"/>
        </w:trPr>
        <w:tc>
          <w:tcPr>
            <w:tcW w:w="3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Officer and Treasurer</w:t>
            </w:r>
          </w:p>
        </w:tc>
      </w:tr>
    </w:tbl>
    <w:p>
      <w:pPr>
        <w:sectPr>
          <w:pgSz w:w="11900" w:h="16838" w:orient="portrait"/>
          <w:cols w:equalWidth="0" w:num="1">
            <w:col w:w="11240"/>
          </w:cols>
          <w:pgMar w:left="320" w:top="960"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In connection with the Annual Report on Form 10-K of Humacyte, Inc. (the “Company”) for the fiscal year ended </w:t>
      </w:r>
      <w:r>
        <w:rPr>
          <w:rFonts w:ascii="Times New Roman" w:cs="Times New Roman" w:eastAsia="Times New Roman" w:hAnsi="Times New Roman"/>
          <w:sz w:val="19"/>
          <w:szCs w:val="19"/>
          <w:color w:val="231F20"/>
        </w:rPr>
        <w:t>December 31, 2024</w:t>
      </w:r>
      <w:r>
        <w:rPr>
          <w:rFonts w:ascii="Times New Roman" w:cs="Times New Roman" w:eastAsia="Times New Roman" w:hAnsi="Times New Roman"/>
          <w:sz w:val="19"/>
          <w:szCs w:val="19"/>
          <w:color w:val="auto"/>
        </w:rPr>
        <w:t xml:space="preserve">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spacing w:after="0" w:line="198" w:lineRule="exact"/>
        <w:rPr>
          <w:sz w:val="20"/>
          <w:szCs w:val="20"/>
          <w:color w:val="auto"/>
        </w:rPr>
      </w:pPr>
    </w:p>
    <w:p>
      <w:pPr>
        <w:ind w:left="640" w:hanging="316"/>
        <w:spacing w:after="0"/>
        <w:tabs>
          <w:tab w:leader="none" w:pos="64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as amended; and</w:t>
      </w:r>
    </w:p>
    <w:p>
      <w:pPr>
        <w:spacing w:after="0" w:line="221" w:lineRule="exact"/>
        <w:rPr>
          <w:rFonts w:ascii="Times New Roman" w:cs="Times New Roman" w:eastAsia="Times New Roman" w:hAnsi="Times New Roman"/>
          <w:sz w:val="21"/>
          <w:szCs w:val="21"/>
          <w:color w:val="auto"/>
        </w:rPr>
      </w:pPr>
    </w:p>
    <w:p>
      <w:pPr>
        <w:ind w:left="640" w:right="180" w:hanging="316"/>
        <w:spacing w:after="0" w:line="274" w:lineRule="auto"/>
        <w:tabs>
          <w:tab w:leader="none" w:pos="64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9"/>
                <w:szCs w:val="19"/>
                <w:color w:val="auto"/>
              </w:rPr>
              <w:t>Date: March 31, 2025</w:t>
            </w:r>
          </w:p>
        </w:tc>
        <w:tc>
          <w:tcPr>
            <w:tcW w:w="2380" w:type="dxa"/>
            <w:vAlign w:val="bottom"/>
          </w:tcPr>
          <w:p>
            <w:pPr>
              <w:ind w:left="1720"/>
              <w:spacing w:after="0"/>
              <w:rPr>
                <w:sz w:val="20"/>
                <w:szCs w:val="20"/>
                <w:color w:val="auto"/>
              </w:rPr>
            </w:pPr>
            <w:r>
              <w:rPr>
                <w:rFonts w:ascii="Times New Roman" w:cs="Times New Roman" w:eastAsia="Times New Roman" w:hAnsi="Times New Roman"/>
                <w:sz w:val="19"/>
                <w:szCs w:val="19"/>
                <w:color w:val="auto"/>
              </w:rPr>
              <w:t>By:</w:t>
            </w:r>
          </w:p>
        </w:tc>
        <w:tc>
          <w:tcPr>
            <w:tcW w:w="5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9"/>
                <w:szCs w:val="19"/>
                <w:color w:val="auto"/>
              </w:rPr>
              <w:t>/s/ Laura E. Niklason</w:t>
            </w:r>
          </w:p>
        </w:tc>
      </w:tr>
      <w:tr>
        <w:trPr>
          <w:trHeight w:val="239"/>
        </w:trPr>
        <w:tc>
          <w:tcPr>
            <w:tcW w:w="34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3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Laura E. Niklason, M.D., Ph.D.</w:t>
            </w:r>
          </w:p>
        </w:tc>
      </w:tr>
      <w:tr>
        <w:trPr>
          <w:trHeight w:val="253"/>
        </w:trPr>
        <w:tc>
          <w:tcPr>
            <w:tcW w:w="34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3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President and Chief Executive Officer</w:t>
            </w:r>
          </w:p>
        </w:tc>
      </w:tr>
    </w:tbl>
    <w:p>
      <w:pPr>
        <w:sectPr>
          <w:pgSz w:w="11900" w:h="16838" w:orient="portrait"/>
          <w:cols w:equalWidth="0" w:num="1">
            <w:col w:w="11240"/>
          </w:cols>
          <w:pgMar w:left="320" w:top="1119"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9"/>
          <w:szCs w:val="19"/>
          <w:b w:val="1"/>
          <w:bCs w:val="1"/>
          <w:color w:val="auto"/>
        </w:rPr>
        <w:t>Exhibit 32.2</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In connection with the Annual Report on Form 10-K of Humacyte, Inc. (the “Company”) for the fiscal year ended </w:t>
      </w:r>
      <w:r>
        <w:rPr>
          <w:rFonts w:ascii="Times New Roman" w:cs="Times New Roman" w:eastAsia="Times New Roman" w:hAnsi="Times New Roman"/>
          <w:sz w:val="19"/>
          <w:szCs w:val="19"/>
          <w:color w:val="231F20"/>
        </w:rPr>
        <w:t>December 31, 2024</w:t>
      </w:r>
      <w:r>
        <w:rPr>
          <w:rFonts w:ascii="Times New Roman" w:cs="Times New Roman" w:eastAsia="Times New Roman" w:hAnsi="Times New Roman"/>
          <w:sz w:val="19"/>
          <w:szCs w:val="19"/>
          <w:color w:val="auto"/>
        </w:rPr>
        <w:t xml:space="preserve">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spacing w:after="0" w:line="172" w:lineRule="exact"/>
        <w:rPr>
          <w:sz w:val="20"/>
          <w:szCs w:val="20"/>
          <w:color w:val="auto"/>
        </w:rPr>
      </w:pPr>
    </w:p>
    <w:p>
      <w:pPr>
        <w:ind w:left="640" w:hanging="316"/>
        <w:spacing w:after="0"/>
        <w:tabs>
          <w:tab w:leader="none" w:pos="64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as amended; and</w:t>
      </w:r>
    </w:p>
    <w:p>
      <w:pPr>
        <w:spacing w:after="0" w:line="218" w:lineRule="exact"/>
        <w:rPr>
          <w:rFonts w:ascii="Times New Roman" w:cs="Times New Roman" w:eastAsia="Times New Roman" w:hAnsi="Times New Roman"/>
          <w:sz w:val="19"/>
          <w:szCs w:val="19"/>
          <w:color w:val="auto"/>
        </w:rPr>
      </w:pPr>
    </w:p>
    <w:p>
      <w:pPr>
        <w:ind w:left="640" w:right="180" w:hanging="316"/>
        <w:spacing w:after="0" w:line="299" w:lineRule="auto"/>
        <w:tabs>
          <w:tab w:leader="none" w:pos="64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Date: March 31, 2025</w:t>
            </w:r>
          </w:p>
        </w:tc>
        <w:tc>
          <w:tcPr>
            <w:tcW w:w="2040" w:type="dxa"/>
            <w:vAlign w:val="bottom"/>
          </w:tcPr>
          <w:p>
            <w:pPr>
              <w:ind w:left="1260"/>
              <w:spacing w:after="0"/>
              <w:rPr>
                <w:sz w:val="20"/>
                <w:szCs w:val="20"/>
                <w:color w:val="auto"/>
              </w:rPr>
            </w:pPr>
            <w:r>
              <w:rPr>
                <w:rFonts w:ascii="Times New Roman" w:cs="Times New Roman" w:eastAsia="Times New Roman" w:hAnsi="Times New Roman"/>
                <w:sz w:val="19"/>
                <w:szCs w:val="19"/>
                <w:color w:val="auto"/>
              </w:rPr>
              <w:t>By:</w:t>
            </w:r>
          </w:p>
        </w:tc>
        <w:tc>
          <w:tcPr>
            <w:tcW w:w="5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9"/>
                <w:szCs w:val="19"/>
                <w:color w:val="auto"/>
              </w:rPr>
              <w:t>/s/ Dale A. Sander</w:t>
            </w:r>
          </w:p>
        </w:tc>
      </w:tr>
      <w:tr>
        <w:trPr>
          <w:trHeight w:val="239"/>
        </w:trPr>
        <w:tc>
          <w:tcPr>
            <w:tcW w:w="2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4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Dale A. Sander</w:t>
            </w:r>
          </w:p>
        </w:tc>
      </w:tr>
      <w:tr>
        <w:trPr>
          <w:trHeight w:val="199"/>
        </w:trPr>
        <w:tc>
          <w:tcPr>
            <w:tcW w:w="29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20" w:type="dxa"/>
            <w:vAlign w:val="bottom"/>
          </w:tcPr>
          <w:p>
            <w:pPr>
              <w:ind w:left="20"/>
              <w:spacing w:after="0" w:line="199" w:lineRule="exact"/>
              <w:rPr>
                <w:sz w:val="20"/>
                <w:szCs w:val="20"/>
                <w:color w:val="auto"/>
              </w:rPr>
            </w:pPr>
            <w:r>
              <w:rPr>
                <w:rFonts w:ascii="Times New Roman" w:cs="Times New Roman" w:eastAsia="Times New Roman" w:hAnsi="Times New Roman"/>
                <w:sz w:val="19"/>
                <w:szCs w:val="19"/>
                <w:color w:val="auto"/>
              </w:rPr>
              <w:t>Title:</w:t>
            </w:r>
          </w:p>
        </w:tc>
        <w:tc>
          <w:tcPr>
            <w:tcW w:w="4440" w:type="dxa"/>
            <w:vAlign w:val="bottom"/>
          </w:tcPr>
          <w:p>
            <w:pPr>
              <w:ind w:left="180"/>
              <w:spacing w:after="0" w:line="199" w:lineRule="exact"/>
              <w:rPr>
                <w:sz w:val="20"/>
                <w:szCs w:val="20"/>
                <w:color w:val="auto"/>
              </w:rPr>
            </w:pPr>
            <w:r>
              <w:rPr>
                <w:rFonts w:ascii="Times New Roman" w:cs="Times New Roman" w:eastAsia="Times New Roman" w:hAnsi="Times New Roman"/>
                <w:sz w:val="19"/>
                <w:szCs w:val="19"/>
                <w:color w:val="auto"/>
              </w:rPr>
              <w:t>Chief Financial Officer, Chief Corporate Development</w:t>
            </w:r>
          </w:p>
        </w:tc>
      </w:tr>
      <w:tr>
        <w:trPr>
          <w:trHeight w:val="253"/>
        </w:trPr>
        <w:tc>
          <w:tcPr>
            <w:tcW w:w="29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Officer and Treasurer</w:t>
            </w:r>
          </w:p>
        </w:tc>
      </w:tr>
    </w:tbl>
    <w:p>
      <w:pPr>
        <w:spacing w:after="0" w:line="1" w:lineRule="exact"/>
        <w:rPr>
          <w:sz w:val="20"/>
          <w:szCs w:val="20"/>
          <w:color w:val="auto"/>
        </w:rPr>
      </w:pPr>
    </w:p>
    <w:sectPr>
      <w:pgSz w:w="11900" w:h="16838" w:orient="portrait"/>
      <w:cols w:equalWidth="0" w:num="1">
        <w:col w:w="11240"/>
      </w:cols>
      <w:pgMar w:left="320" w:top="1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0C6A529"/>
    <w:multiLevelType w:val="hybridMultilevel"/>
    <w:lvl w:ilvl="0">
      <w:lvlJc w:val="left"/>
      <w:lvlText w:val="x"/>
      <w:numFmt w:val="bullet"/>
      <w:start w:val="1"/>
    </w:lvl>
  </w:abstractNum>
  <w:abstractNum w:abstractNumId="1">
    <w:nsid w:val="520EEDD1"/>
    <w:multiLevelType w:val="hybridMultilevel"/>
    <w:lvl w:ilvl="0">
      <w:lvlJc w:val="left"/>
      <w:lvlText w:val="o"/>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1)"/>
      <w:numFmt w:val="lowerRoman"/>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1)"/>
      <w:numFmt w:val="lowerRoman"/>
      <w:start w:val="3"/>
    </w:lvl>
  </w:abstractNum>
  <w:abstractNum w:abstractNumId="23">
    <w:nsid w:val="5FF87E05"/>
    <w:multiLevelType w:val="hybridMultilevel"/>
    <w:lvl w:ilvl="0">
      <w:lvlJc w:val="left"/>
      <w:lvlText w:val="\emdash "/>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1)"/>
      <w:numFmt w:val="decimal"/>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1."/>
      <w:numFmt w:val="decimal"/>
      <w:start w:val="815"/>
    </w:lvl>
  </w:abstractNum>
  <w:abstractNum w:abstractNumId="47">
    <w:nsid w:val="BF72B14"/>
    <w:multiLevelType w:val="hybridMultilevel"/>
    <w:lvl w:ilvl="0">
      <w:lvlJc w:val="left"/>
      <w:lvlText w:val="%1."/>
      <w:numFmt w:val="decimal"/>
      <w:start w:val="1"/>
    </w:lvl>
  </w:abstractNum>
  <w:abstractNum w:abstractNumId="48">
    <w:nsid w:val="11447B73"/>
    <w:multiLevelType w:val="hybridMultilevel"/>
    <w:lvl w:ilvl="0">
      <w:lvlJc w:val="left"/>
      <w:lvlText w:val="%1."/>
      <w:numFmt w:val="decimal"/>
      <w:start w:val="2"/>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1."/>
      <w:numFmt w:val="decimal"/>
      <w:start w:val="6"/>
    </w:lvl>
  </w:abstractNum>
  <w:abstractNum w:abstractNumId="53">
    <w:nsid w:val="3B0FD379"/>
    <w:multiLevelType w:val="hybridMultilevel"/>
    <w:lvl w:ilvl="0">
      <w:lvlJc w:val="left"/>
      <w:lvlText w:val="%1."/>
      <w:numFmt w:val="decimal"/>
      <w:start w:val="9"/>
    </w:lvl>
  </w:abstractNum>
  <w:abstractNum w:abstractNumId="54">
    <w:nsid w:val="68EB2F63"/>
    <w:multiLevelType w:val="hybridMultilevel"/>
    <w:lvl w:ilvl="0">
      <w:lvlJc w:val="left"/>
      <w:lvlText w:val="(%1)"/>
      <w:numFmt w:val="decimal"/>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1."/>
      <w:numFmt w:val="decimal"/>
      <w:start w:val="13"/>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1."/>
      <w:numFmt w:val="decimal"/>
      <w:start w:val="15"/>
    </w:lvl>
  </w:abstractNum>
  <w:abstractNum w:abstractNumId="62">
    <w:nsid w:val="100F59DC"/>
    <w:multiLevelType w:val="hybridMultilevel"/>
    <w:lvl w:ilvl="0">
      <w:lvlJc w:val="left"/>
      <w:lvlText w:val="(%1)"/>
      <w:numFmt w:val="lowerRoman"/>
      <w:start w:val="2"/>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1."/>
      <w:numFmt w:val="upperLetter"/>
      <w:start w:val="9"/>
    </w:lvl>
  </w:abstractNum>
  <w:abstractNum w:abstractNumId="66">
    <w:nsid w:val="94211F2"/>
    <w:multiLevelType w:val="hybridMultilevel"/>
    <w:lvl w:ilvl="0">
      <w:lvlJc w:val="left"/>
      <w:lvlText w:val="%1."/>
      <w:numFmt w:val="upperLetter"/>
      <w:start w:val="35"/>
    </w:lvl>
  </w:abstractNum>
  <w:abstractNum w:abstractNumId="67">
    <w:nsid w:val="885E1B"/>
    <w:multiLevelType w:val="hybridMultilevel"/>
    <w:lvl w:ilvl="0">
      <w:lvlJc w:val="left"/>
      <w:lvlText w:val="%1."/>
      <w:numFmt w:val="upperLetter"/>
      <w:start w:val="61"/>
    </w:lvl>
  </w:abstractNum>
  <w:abstractNum w:abstractNumId="68">
    <w:nsid w:val="76272110"/>
    <w:multiLevelType w:val="hybridMultilevel"/>
    <w:lvl w:ilvl="0">
      <w:lvlJc w:val="left"/>
      <w:lvlText w:val="%1."/>
      <w:numFmt w:val="upperLetter"/>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1."/>
      <w:numFmt w:val="upperLetter"/>
      <w:start w:val="2"/>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1."/>
      <w:numFmt w:val="upperLetter"/>
      <w:start w:val="3"/>
    </w:lvl>
  </w:abstractNum>
  <w:abstractNum w:abstractNumId="74">
    <w:nsid w:val="68EBC550"/>
    <w:multiLevelType w:val="hybridMultilevel"/>
    <w:lvl w:ilvl="0">
      <w:lvlJc w:val="left"/>
      <w:lvlText w:val="%1."/>
      <w:numFmt w:val="upperLetter"/>
      <w:start w:val="22"/>
    </w:lvl>
  </w:abstractNum>
  <w:abstractNum w:abstractNumId="75">
    <w:nsid w:val="2DF6D648"/>
    <w:multiLevelType w:val="hybridMultilevel"/>
    <w:lvl w:ilvl="0">
      <w:lvlJc w:val="left"/>
      <w:lvlText w:val="%1."/>
      <w:numFmt w:val="upperLetter"/>
      <w:start w:val="1"/>
    </w:lvl>
  </w:abstractNum>
  <w:abstractNum w:abstractNumId="76">
    <w:nsid w:val="46B7D447"/>
    <w:multiLevelType w:val="hybridMultilevel"/>
    <w:lvl w:ilvl="0">
      <w:lvlJc w:val="left"/>
      <w:lvlText w:val="%1."/>
      <w:numFmt w:val="upperLetter"/>
      <w:start w:val="2"/>
    </w:lvl>
  </w:abstractNum>
  <w:abstractNum w:abstractNumId="77">
    <w:nsid w:val="4A2AC315"/>
    <w:multiLevelType w:val="hybridMultilevel"/>
    <w:lvl w:ilvl="0">
      <w:lvlJc w:val="left"/>
      <w:lvlText w:val="%1."/>
      <w:numFmt w:val="upperLetter"/>
      <w:start w:val="3"/>
    </w:lvl>
  </w:abstractNum>
  <w:abstractNum w:abstractNumId="78">
    <w:nsid w:val="39EE015C"/>
    <w:multiLevelType w:val="hybridMultilevel"/>
    <w:lvl w:ilvl="0">
      <w:lvlJc w:val="left"/>
      <w:lvlText w:val="%1."/>
      <w:numFmt w:val="upperLetter"/>
      <w:start w:val="4"/>
    </w:lvl>
  </w:abstractNum>
  <w:abstractNum w:abstractNumId="79">
    <w:nsid w:val="57FC4FBB"/>
    <w:multiLevelType w:val="hybridMultilevel"/>
    <w:lvl w:ilvl="0">
      <w:lvlJc w:val="left"/>
      <w:lvlText w:val="%1."/>
      <w:numFmt w:val="upperLetter"/>
      <w:start w:val="5"/>
    </w:lvl>
  </w:abstractNum>
  <w:abstractNum w:abstractNumId="80">
    <w:nsid w:val="CC1016F"/>
    <w:multiLevelType w:val="hybridMultilevel"/>
    <w:lvl w:ilvl="0">
      <w:lvlJc w:val="left"/>
      <w:lvlText w:val="%1."/>
      <w:numFmt w:val="upperLetter"/>
      <w:start w:val="6"/>
    </w:lvl>
  </w:abstractNum>
  <w:abstractNum w:abstractNumId="81">
    <w:nsid w:val="43F18422"/>
    <w:multiLevelType w:val="hybridMultilevel"/>
    <w:lvl w:ilvl="0">
      <w:lvlJc w:val="left"/>
      <w:lvlText w:val="%1."/>
      <w:numFmt w:val="upperLetter"/>
      <w:start w:val="1"/>
    </w:lvl>
  </w:abstractNum>
  <w:abstractNum w:abstractNumId="82">
    <w:nsid w:val="60EF0119"/>
    <w:multiLevelType w:val="hybridMultilevel"/>
    <w:lvl w:ilvl="0">
      <w:lvlJc w:val="left"/>
      <w:lvlText w:val="%1."/>
      <w:numFmt w:val="upperLetter"/>
      <w:start w:val="2"/>
    </w:lvl>
  </w:abstractNum>
  <w:abstractNum w:abstractNumId="83">
    <w:nsid w:val="26F324BA"/>
    <w:multiLevelType w:val="hybridMultilevel"/>
    <w:lvl w:ilvl="0">
      <w:lvlJc w:val="left"/>
      <w:lvlText w:val="%1."/>
      <w:numFmt w:val="upperLetter"/>
      <w:start w:val="3"/>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
      <w:numFmt w:val="bullet"/>
      <w:start w:val="1"/>
    </w:lvl>
  </w:abstractNum>
  <w:abstractNum w:abstractNumId="86">
    <w:nsid w:val="7055A5F5"/>
    <w:multiLevelType w:val="hybridMultilevel"/>
    <w:lvl w:ilvl="0">
      <w:lvlJc w:val="left"/>
      <w:lvlText w:val="%1."/>
      <w:numFmt w:val="upperLetter"/>
      <w:start w:val="4"/>
    </w:lvl>
  </w:abstractNum>
  <w:abstractNum w:abstractNumId="87">
    <w:nsid w:val="5FB8370B"/>
    <w:multiLevelType w:val="hybridMultilevel"/>
    <w:lvl w:ilvl="0">
      <w:lvlJc w:val="left"/>
      <w:lvlText w:val="%1."/>
      <w:numFmt w:val="upperLetter"/>
      <w:start w:val="5"/>
    </w:lvl>
  </w:abstractNum>
  <w:abstractNum w:abstractNumId="88">
    <w:nsid w:val="50801EE1"/>
    <w:multiLevelType w:val="hybridMultilevel"/>
    <w:lvl w:ilvl="0">
      <w:lvlJc w:val="left"/>
      <w:lvlText w:val="%1."/>
      <w:numFmt w:val="upperLetter"/>
      <w:start w:val="6"/>
    </w:lvl>
  </w:abstractNum>
  <w:abstractNum w:abstractNumId="89">
    <w:nsid w:val="488AC1A"/>
    <w:multiLevelType w:val="hybridMultilevel"/>
    <w:lvl w:ilvl="0">
      <w:lvlJc w:val="left"/>
      <w:lvlText w:val="%1."/>
      <w:numFmt w:val="upperLetter"/>
      <w:start w:val="7"/>
    </w:lvl>
  </w:abstractNum>
  <w:abstractNum w:abstractNumId="90">
    <w:nsid w:val="5FB8011C"/>
    <w:multiLevelType w:val="hybridMultilevel"/>
    <w:lvl w:ilvl="0">
      <w:lvlJc w:val="left"/>
      <w:lvlText w:val="•"/>
      <w:numFmt w:val="bullet"/>
      <w:start w:val="1"/>
    </w:lvl>
  </w:abstractNum>
  <w:abstractNum w:abstractNumId="91">
    <w:nsid w:val="6AA78F7F"/>
    <w:multiLevelType w:val="hybridMultilevel"/>
    <w:lvl w:ilvl="0">
      <w:lvlJc w:val="left"/>
      <w:lvlText w:val="(%1)"/>
      <w:numFmt w:val="lowerRoman"/>
      <w:start w:val="2"/>
    </w:lvl>
  </w:abstractNum>
  <w:abstractNum w:abstractNumId="92">
    <w:nsid w:val="7672BD23"/>
    <w:multiLevelType w:val="hybridMultilevel"/>
    <w:lvl w:ilvl="0">
      <w:lvlJc w:val="left"/>
      <w:lvlText w:val="%1."/>
      <w:numFmt w:val="upperLetter"/>
      <w:start w:val="9"/>
    </w:lvl>
  </w:abstractNum>
  <w:abstractNum w:abstractNumId="93">
    <w:nsid w:val="6FC75AF8"/>
    <w:multiLevelType w:val="hybridMultilevel"/>
    <w:lvl w:ilvl="0">
      <w:lvlJc w:val="left"/>
      <w:lvlText w:val="%1."/>
      <w:numFmt w:val="upperLetter"/>
      <w:start w:val="35"/>
    </w:lvl>
  </w:abstractNum>
  <w:abstractNum w:abstractNumId="94">
    <w:nsid w:val="6A5F7029"/>
    <w:multiLevelType w:val="hybridMultilevel"/>
    <w:lvl w:ilvl="0">
      <w:lvlJc w:val="left"/>
      <w:lvlText w:val="%1."/>
      <w:numFmt w:val="upperLetter"/>
      <w:start w:val="61"/>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1."/>
      <w:numFmt w:val="decimal"/>
      <w:start w:val="2"/>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
      <w:numFmt w:val="bullet"/>
      <w:start w:val="1"/>
    </w:lvl>
  </w:abstractNum>
  <w:abstractNum w:abstractNumId="99">
    <w:nsid w:val="555C55B5"/>
    <w:multiLevelType w:val="hybridMultilevel"/>
    <w:lvl w:ilvl="0">
      <w:lvlJc w:val="left"/>
      <w:lvlText w:val="%1."/>
      <w:numFmt w:val="decimal"/>
      <w:start w:val="3"/>
    </w:lvl>
  </w:abstractNum>
  <w:abstractNum w:abstractNumId="100">
    <w:nsid w:val="3FA62ACA"/>
    <w:multiLevelType w:val="hybridMultilevel"/>
    <w:lvl w:ilvl="0">
      <w:lvlJc w:val="left"/>
      <w:lvlText w:val="%1."/>
      <w:numFmt w:val="upperLetter"/>
      <w:start w:val="2"/>
    </w:lvl>
  </w:abstractNum>
  <w:abstractNum w:abstractNumId="101">
    <w:nsid w:val="14FCE74E"/>
    <w:multiLevelType w:val="hybridMultilevel"/>
    <w:lvl w:ilvl="0">
      <w:lvlJc w:val="left"/>
      <w:lvlText w:val="%1."/>
      <w:numFmt w:val="decimal"/>
      <w:start w:val="1"/>
    </w:lvl>
    <w:lvl w:ilvl="1">
      <w:lvlJc w:val="left"/>
      <w:lvlText w:val="%2."/>
      <w:numFmt w:val="lowerLetter"/>
      <w:start w:val="1"/>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55"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58" Type="http://schemas.openxmlformats.org/officeDocument/2006/relationships/image" Target="media/image218.png"/><Relationship Id="rId280" Type="http://schemas.openxmlformats.org/officeDocument/2006/relationships/image" Target="media/image219.png"/><Relationship Id="rId285" Type="http://schemas.openxmlformats.org/officeDocument/2006/relationships/image" Target="media/image220.png"/><Relationship Id="rId286" Type="http://schemas.openxmlformats.org/officeDocument/2006/relationships/image" Target="media/image221.png"/><Relationship Id="rId287" Type="http://schemas.openxmlformats.org/officeDocument/2006/relationships/image" Target="media/image222.png"/><Relationship Id="rId220" Type="http://schemas.openxmlformats.org/officeDocument/2006/relationships/hyperlink" Target="https://www.sec.gov/Archives/edgar/data/1818382/000110465921110678/tm2126013d1_ex3-1.htm" TargetMode="External"/><Relationship Id="rId221" Type="http://schemas.openxmlformats.org/officeDocument/2006/relationships/hyperlink" Target="https://www.sec.gov/Archives/edgar/data/1818382/000181838222000195/huma-20221208xexhibit32.htm" TargetMode="External"/><Relationship Id="rId222" Type="http://schemas.openxmlformats.org/officeDocument/2006/relationships/hyperlink" Target="https://www.sec.gov/Archives/edgar/data/1818382/000121390020027850/ea127151ex4-1_alphahealth.htm" TargetMode="External"/><Relationship Id="rId223" Type="http://schemas.openxmlformats.org/officeDocument/2006/relationships/hyperlink" Target="https://www.sec.gov/Archives/edgar/data/1818382/000121390021017053/fs42021ex10-3_alphahealth.htm" TargetMode="External"/><Relationship Id="rId224" Type="http://schemas.openxmlformats.org/officeDocument/2006/relationships/hyperlink" Target="https://www.sec.gov/Archives/edgar/data/1818382/000121390021039798/fs42021a4_alphahealthcare.htm#T301" TargetMode="External"/><Relationship Id="rId225" Type="http://schemas.openxmlformats.org/officeDocument/2006/relationships/hyperlink" Target="https://www.sec.gov/Archives/edgar/data/1818382/000121390021032196/fs42021a1ex10-6i_alphahealt.htm" TargetMode="External"/><Relationship Id="rId226" Type="http://schemas.openxmlformats.org/officeDocument/2006/relationships/hyperlink" Target="https://www.sec.gov/Archives/edgar/data/1818382/000121390021032196/fs42021a1ex10-6ii_alphahealt.htm" TargetMode="External"/><Relationship Id="rId227" Type="http://schemas.openxmlformats.org/officeDocument/2006/relationships/hyperlink" Target="https://www.sec.gov/Archives/edgar/data/1818382/000110465924106404/tm2425697d1_ex4-1.htm" TargetMode="External"/><Relationship Id="rId228" Type="http://schemas.openxmlformats.org/officeDocument/2006/relationships/hyperlink" Target="https://www.sec.gov/Archives/edgar/data/1818382/000110465924119013/tm2428460d1_ex4-1.htm" TargetMode="External"/><Relationship Id="rId229" Type="http://schemas.openxmlformats.org/officeDocument/2006/relationships/hyperlink" Target="https://www.sec.gov/Archives/edgar/data/1818382/000181838224000040/huma-20231231x10kxexhibit46.htm" TargetMode="External"/><Relationship Id="rId230" Type="http://schemas.openxmlformats.org/officeDocument/2006/relationships/hyperlink" Target="https://www.sec.gov/Archives/edgar/data/1818382/000181838223000114/huma-20230630x10qxex101ripa.htm" TargetMode="External"/><Relationship Id="rId231" Type="http://schemas.openxmlformats.org/officeDocument/2006/relationships/hyperlink" Target="https://www.sec.gov/Archives/edgar/data/1818382/000181838224000040/huma-20231231x10kxex1012.htm" TargetMode="External"/><Relationship Id="rId232" Type="http://schemas.openxmlformats.org/officeDocument/2006/relationships/hyperlink" Target="https://www.sec.gov/Archives/edgar/data/1818382/000181838224000156/huma-20240630x10qxex101.htm" TargetMode="External"/><Relationship Id="rId233" Type="http://schemas.openxmlformats.org/officeDocument/2006/relationships/hyperlink" Target="https://www.sec.gov/Archives/edgar/data/1818382/000181838223000039/humaoresales-3ex41.htm" TargetMode="External"/><Relationship Id="rId236" Type="http://schemas.openxmlformats.org/officeDocument/2006/relationships/hyperlink" Target="https://www.sec.gov/Archives/edgar/data/1818382/000181838222000114/humashelfatms-3xexhibit12.htm" TargetMode="External"/><Relationship Id="rId237" Type="http://schemas.openxmlformats.org/officeDocument/2006/relationships/hyperlink" Target="https://www.sec.gov/Archives/edgar/data/1818382/000110465924102498/tm2424623d1_ex10-1.htm" TargetMode="External"/><Relationship Id="rId238" Type="http://schemas.openxmlformats.org/officeDocument/2006/relationships/hyperlink" Target="https://www.sec.gov/Archives/edgar/data/1818382/000110465924102498/tm2424623d1_ex10-2.htm" TargetMode="External"/><Relationship Id="rId239" Type="http://schemas.openxmlformats.org/officeDocument/2006/relationships/hyperlink" Target="https://www.sec.gov/Archives/edgar/data/1818382/000121390021017053/fs42021ex10-6_alphahealth.htm" TargetMode="External"/><Relationship Id="rId240" Type="http://schemas.openxmlformats.org/officeDocument/2006/relationships/hyperlink" Target="https://www.sec.gov/Archives/edgar/data/1818382/000121390021017053/fs42021ex10-6i_alphahealth.htm" TargetMode="External"/><Relationship Id="rId241" Type="http://schemas.openxmlformats.org/officeDocument/2006/relationships/hyperlink" Target="https://www.sec.gov/Archives/edgar/data/1818382/000121390021017053/fs42021ex10-6ii_alphahealth.htm" TargetMode="External"/><Relationship Id="rId242" Type="http://schemas.openxmlformats.org/officeDocument/2006/relationships/hyperlink" Target="https://www.sec.gov/Archives/edgar/data/1818382/000121390021032196/fs42021a1ex10-9_alphahealt.htm" TargetMode="External"/><Relationship Id="rId243" Type="http://schemas.openxmlformats.org/officeDocument/2006/relationships/hyperlink" Target="https://www.sec.gov/Archives/edgar/data/1818382/000121390021032196/fs42021a1ex10-10_alphahealt.htm" TargetMode="External"/><Relationship Id="rId244" Type="http://schemas.openxmlformats.org/officeDocument/2006/relationships/hyperlink" Target="https://www.sec.gov/Archives/edgar/data/1818382/000121390021017053/fs42021ex10-10_alphahealth.htm" TargetMode="External"/><Relationship Id="rId245" Type="http://schemas.openxmlformats.org/officeDocument/2006/relationships/hyperlink" Target="https://www.sec.gov/Archives/edgar/data/1818382/000121390021017053/fs42021ex10-10i_alphahealth.htm" TargetMode="External"/><Relationship Id="rId246" Type="http://schemas.openxmlformats.org/officeDocument/2006/relationships/hyperlink" Target="https://www.sec.gov/Archives/edgar/data/1818382/000121390021017053/fs42021ex10-10ii_alphahealth.htm" TargetMode="External"/><Relationship Id="rId247" Type="http://schemas.openxmlformats.org/officeDocument/2006/relationships/hyperlink" Target="https://www.sec.gov/Archives/edgar/data/1818382/000121390021017053/fs42021ex10-10iii_alphahealt.htm" TargetMode="External"/><Relationship Id="rId248" Type="http://schemas.openxmlformats.org/officeDocument/2006/relationships/hyperlink" Target="https://www.sec.gov/Archives/edgar/data/1818382/000121390021017053/fs42021ex10-10iv_alphahealth.htm" TargetMode="External"/><Relationship Id="rId249" Type="http://schemas.openxmlformats.org/officeDocument/2006/relationships/hyperlink" Target="https://www.sec.gov/Archives/edgar/data/1818382/000121390021017053/fs42021ex10-10v_alphahealth.htm" TargetMode="External"/><Relationship Id="rId250" Type="http://schemas.openxmlformats.org/officeDocument/2006/relationships/hyperlink" Target="https://www.sec.gov/Archives/edgar/data/1818382/000181838222000011/huma-2021123110kxex1076.htm" TargetMode="External"/><Relationship Id="rId251" Type="http://schemas.openxmlformats.org/officeDocument/2006/relationships/hyperlink" Target="https://www.sec.gov/Archives/edgar/data/1818382/000121390021017053/fs42021ex10-11_alphahealth.htm" TargetMode="External"/><Relationship Id="rId252" Type="http://schemas.openxmlformats.org/officeDocument/2006/relationships/hyperlink" Target="https://www.sec.gov/Archives/edgar/data/1818382/000121390021017053/fs42021ex10-11i_alphahealth.htm" TargetMode="External"/><Relationship Id="rId253" Type="http://schemas.openxmlformats.org/officeDocument/2006/relationships/hyperlink" Target="https://www.sec.gov/Archives/edgar/data/1818382/000121390021032196/fs42021a1ex10-12ii_alphahea.htm" TargetMode="External"/><Relationship Id="rId254" Type="http://schemas.openxmlformats.org/officeDocument/2006/relationships/hyperlink" Target="https://www.sec.gov/Archives/edgar/data/1818382/000121390021032196/fs42021a1ex10-13_alphahealt.htm" TargetMode="External"/><Relationship Id="rId259" Type="http://schemas.openxmlformats.org/officeDocument/2006/relationships/hyperlink" Target="https://www.sec.gov/Archives/edgar/data/1818382/000121390021017053/fs42021ex10-13_alphahealth.htm" TargetMode="External"/><Relationship Id="rId260" Type="http://schemas.openxmlformats.org/officeDocument/2006/relationships/hyperlink" Target="https://www.sec.gov/Archives/edgar/data/1818382/000181838223000016/huma-20221231x10kxex1011.htm" TargetMode="External"/><Relationship Id="rId261" Type="http://schemas.openxmlformats.org/officeDocument/2006/relationships/hyperlink" Target="https://www.sec.gov/Archives/edgar/data/1818382/000121390021017053/fs42021ex10-16_alphahealth.htm" TargetMode="External"/><Relationship Id="rId262" Type="http://schemas.openxmlformats.org/officeDocument/2006/relationships/hyperlink" Target="https://www.sec.gov/Archives/edgar/data/1818382/000110465921110678/tm2126013d1_ex10-4.htm" TargetMode="External"/><Relationship Id="rId263" Type="http://schemas.openxmlformats.org/officeDocument/2006/relationships/hyperlink" Target="https://www.sec.gov/Archives/edgar/data/1818382/000110465921110678/tm2126013d1_ex10-4d1.htm" TargetMode="External"/><Relationship Id="rId264" Type="http://schemas.openxmlformats.org/officeDocument/2006/relationships/hyperlink" Target="https://www.sec.gov/Archives/edgar/data/1818382/000110465921110678/tm2126013d1_ex10-5.htm" TargetMode="External"/><Relationship Id="rId265" Type="http://schemas.openxmlformats.org/officeDocument/2006/relationships/hyperlink" Target="https://www.sec.gov/Archives/edgar/data/1818382/000110465921110678/tm2126013d1_ex10-8.htm" TargetMode="External"/><Relationship Id="rId266" Type="http://schemas.openxmlformats.org/officeDocument/2006/relationships/hyperlink" Target="https://www.sec.gov/Archives/edgar/data/1818382/000121390021017053/fs42021ex10-18_alphahealth.htm" TargetMode="External"/><Relationship Id="rId267" Type="http://schemas.openxmlformats.org/officeDocument/2006/relationships/hyperlink" Target="https://www.sec.gov/Archives/edgar/data/1818382/000121390021017053/fs42021ex10-18i_alphahealth.htm" TargetMode="External"/><Relationship Id="rId268" Type="http://schemas.openxmlformats.org/officeDocument/2006/relationships/hyperlink" Target="https://www.sec.gov/Archives/edgar/data/1818382/000121390021017053/fs42021ex10-18ii_alphahealth.htm" TargetMode="External"/><Relationship Id="rId269" Type="http://schemas.openxmlformats.org/officeDocument/2006/relationships/hyperlink" Target="https://www.sec.gov/Archives/edgar/data/1818382/000121390021017053/fs42021ex10-18iii_humacyte.htm" TargetMode="External"/><Relationship Id="rId270" Type="http://schemas.openxmlformats.org/officeDocument/2006/relationships/hyperlink" Target="https://www.sec.gov/Archives/edgar/data/1818382/000121390021017053/fs42021ex10-18iv_alphahealth.htm" TargetMode="External"/><Relationship Id="rId271" Type="http://schemas.openxmlformats.org/officeDocument/2006/relationships/hyperlink" Target="https://www.sec.gov/Archives/edgar/data/1818382/000121390021017053/fs42021ex10-18v_alphahealth.htm" TargetMode="External"/><Relationship Id="rId272" Type="http://schemas.openxmlformats.org/officeDocument/2006/relationships/hyperlink" Target="https://www.sec.gov/Archives/edgar/data/1818382/000121390021017053/fs42021ex10-19_alphahealth.htm" TargetMode="External"/><Relationship Id="rId273" Type="http://schemas.openxmlformats.org/officeDocument/2006/relationships/hyperlink" Target="https://www.sec.gov/Archives/edgar/data/1818382/000121390021017053/fs42021ex10-19i_alphahealth.htm" TargetMode="External"/><Relationship Id="rId274" Type="http://schemas.openxmlformats.org/officeDocument/2006/relationships/hyperlink" Target="https://www.sec.gov/Archives/edgar/data/1818382/000121390021017053/fs42021ex10-19ii_alphahealth.htm" TargetMode="External"/><Relationship Id="rId275" Type="http://schemas.openxmlformats.org/officeDocument/2006/relationships/hyperlink" Target="https://www.sec.gov/Archives/edgar/data/1818382/000121390021017053/fs42021ex10-19iii_alphahealt.htm" TargetMode="External"/><Relationship Id="rId276" Type="http://schemas.openxmlformats.org/officeDocument/2006/relationships/hyperlink" Target="https://www.sec.gov/Archives/edgar/data/1818382/000121390021017053/fs42021ex10-19iv_alphahealth.htm" TargetMode="External"/><Relationship Id="rId277" Type="http://schemas.openxmlformats.org/officeDocument/2006/relationships/hyperlink" Target="https://www.sec.gov/Archives/edgar/data/1818382/000121390021035153/fs42021a2ex10-23_alpha.htm" TargetMode="External"/><Relationship Id="rId278" Type="http://schemas.openxmlformats.org/officeDocument/2006/relationships/hyperlink" Target="https://www.sec.gov/Archives/edgar/data/1818382/000121390021017053/fs42021ex10-22_alphahealth.htm" TargetMode="External"/><Relationship Id="rId279" Type="http://schemas.openxmlformats.org/officeDocument/2006/relationships/hyperlink" Target="https://www.sec.gov/Archives/edgar/data/1818382/000121390021017053/fs42021ex10-22i_alphahealth.htm" TargetMode="External"/><Relationship Id="rId281" Type="http://schemas.openxmlformats.org/officeDocument/2006/relationships/hyperlink" Target="https://www.sec.gov/Archives/edgar/data/1818382/000121390021017053/fs42021ex10-22ii_alphahealth.htm" TargetMode="External"/><Relationship Id="rId282" Type="http://schemas.openxmlformats.org/officeDocument/2006/relationships/hyperlink" Target="https://www.sec.gov/Archives/edgar/data/1818382/000121390021017053/fs42021ex10-22iii_alphahealt.htm" TargetMode="External"/><Relationship Id="rId283" Type="http://schemas.openxmlformats.org/officeDocument/2006/relationships/hyperlink" Target="https://www.sec.gov/Archives/edgar/data/1818382/000121390021017053/fs42021ex10-22iv_alphahealth.htm" TargetMode="External"/><Relationship Id="rId284" Type="http://schemas.openxmlformats.org/officeDocument/2006/relationships/hyperlink" Target="https://www.sec.gov/Archives/edgar/data/1818382/000181838224000040/huma-20231231x10kx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2025-03-31T16:31:29Z</dcterms:created>
  <dcterms:modified xsi:type="dcterms:W3CDTF">2025-03-31T16:31:29Z</dcterms:modified>
</cp:coreProperties>
</file>