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1850d1_8k.htm"/>
      <w:bookmarkStart w:id="1" w:name="kstm262185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73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Humacyte,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2855"/>
        <w:gridCol w:w="60"/>
        <w:gridCol w:w="2615"/>
        <w:gridCol w:w="60"/>
        <w:gridCol w:w="2195"/>
      </w:tblGrid>
      <w:tr>
        <w:trPr/>
        <w:tc>
          <w:tcPr>
            <w:tcW w:w="2855" w:type="dxa"/>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b/>
              </w:rPr>
            </w:pPr>
            <w:bookmarkStart w:id="6" w:name="xdx_903_edei--EntityFileNumber_c20260731"/>
            <w:bookmarkEnd w:id="6"/>
            <w:r>
              <w:rPr>
                <w:b/>
              </w:rPr>
              <w:t>001-39532</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b/>
              </w:rPr>
            </w:pPr>
            <w:bookmarkStart w:id="7" w:name="xdx_90E_edei--EntityTaxIdentificationNum"/>
            <w:bookmarkEnd w:id="7"/>
            <w:r>
              <w:rPr>
                <w:b/>
              </w:rPr>
              <w:t>85-1763759</w:t>
            </w:r>
          </w:p>
        </w:tc>
      </w:tr>
      <w:tr>
        <w:trPr/>
        <w:tc>
          <w:tcPr>
            <w:tcW w:w="2855" w:type="dxa"/>
            <w:tcBorders/>
            <w:vAlign w:val="center"/>
          </w:tcPr>
          <w:p>
            <w:pPr>
              <w:pStyle w:val="TableContents"/>
              <w:bidi w:val="0"/>
              <w:spacing w:before="0" w:after="283"/>
              <w:jc w:val="center"/>
              <w:rPr/>
            </w:pPr>
            <w:r>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755"/>
        <w:gridCol w:w="60"/>
        <w:gridCol w:w="1025"/>
      </w:tblGrid>
      <w:tr>
        <w:trPr/>
        <w:tc>
          <w:tcPr>
            <w:tcW w:w="37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2525 East North Carolina Highway 54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Durham, </w:t>
            </w:r>
            <w:bookmarkStart w:id="10" w:name="xdx_90C_edei--EntityAddressStateOrProvin"/>
            <w:bookmarkEnd w:id="10"/>
            <w:r>
              <w:rPr>
                <w:rFonts w:ascii="Times New Roman;Times;Serif" w:hAnsi="Times New Roman;Times;Serif"/>
                <w:b/>
                <w:i w:val="false"/>
                <w:caps w:val="false"/>
                <w:smallCaps w:val="false"/>
                <w:sz w:val="20"/>
              </w:rPr>
              <w:t>NC</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11" w:name="xdx_907_edei--EntityAddressPostalZipCode"/>
            <w:bookmarkEnd w:id="11"/>
            <w:r>
              <w:rPr>
                <w:b/>
              </w:rPr>
              <w:t>27713</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0731__20"/>
      <w:bookmarkEnd w:id="12"/>
      <w:r>
        <w:rPr>
          <w:rFonts w:ascii="Times New Roman;Times;Serif" w:hAnsi="Times New Roman;Times;Serif"/>
          <w:b/>
          <w:i w:val="false"/>
          <w:caps w:val="false"/>
          <w:smallCaps w:val="false"/>
          <w:sz w:val="20"/>
        </w:rPr>
        <w:t xml:space="preserve">919) </w:t>
      </w:r>
      <w:bookmarkStart w:id="13" w:name="xdx_909_edei--LocalPhoneNumber_c20260731"/>
      <w:bookmarkEnd w:id="13"/>
      <w:r>
        <w:rPr>
          <w:rFonts w:ascii="Times New Roman;Times;Serif" w:hAnsi="Times New Roman;Times;Serif"/>
          <w:b/>
          <w:i w:val="false"/>
          <w:caps w:val="false"/>
          <w:smallCaps w:val="false"/>
          <w:sz w:val="20"/>
        </w:rPr>
        <w:t>313-9633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3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33"/>
        <w:gridCol w:w="60"/>
        <w:gridCol w:w="1461"/>
        <w:gridCol w:w="60"/>
        <w:gridCol w:w="2191"/>
      </w:tblGrid>
      <w:tr>
        <w:trPr/>
        <w:tc>
          <w:tcPr>
            <w:tcW w:w="6433"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61"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191" w:type="dxa"/>
            <w:tcBorders>
              <w:bottom w:val="single" w:sz="8" w:space="0" w:color="000000"/>
            </w:tcBorders>
            <w:vAlign w:val="center"/>
          </w:tcPr>
          <w:p>
            <w:pPr>
              <w:pStyle w:val="TableContents"/>
              <w:bidi w:val="0"/>
              <w:spacing w:before="0" w:after="283"/>
              <w:jc w:val="center"/>
              <w:rPr>
                <w:b/>
              </w:rPr>
            </w:pPr>
            <w:r>
              <w:rPr>
                <w:b/>
              </w:rPr>
              <w:t>Name of each exchange on which</w:t>
              <w:br/>
              <w:t>registered</w:t>
            </w:r>
          </w:p>
        </w:tc>
      </w:tr>
      <w:tr>
        <w:trPr/>
        <w:tc>
          <w:tcPr>
            <w:tcW w:w="6433" w:type="dxa"/>
            <w:tcBorders/>
            <w:shd w:fill="CCEEFF" w:val="clear"/>
            <w:tcMar>
              <w:bottom w:w="0" w:type="dxa"/>
            </w:tcMar>
            <w:vAlign w:val="center"/>
          </w:tcPr>
          <w:p>
            <w:pPr>
              <w:pStyle w:val="TableContents"/>
              <w:bidi w:val="0"/>
              <w:spacing w:before="0" w:after="283"/>
              <w:jc w:val="center"/>
              <w:rPr>
                <w:b/>
              </w:rPr>
            </w:pPr>
            <w:bookmarkStart w:id="18" w:name="xdx_90A_edei--Security12bTitle_c20260731"/>
            <w:bookmarkEnd w:id="18"/>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1" w:type="dxa"/>
            <w:tcBorders/>
            <w:shd w:fill="CCEEFF" w:val="clear"/>
            <w:tcMar>
              <w:bottom w:w="0" w:type="dxa"/>
            </w:tcMar>
            <w:vAlign w:val="center"/>
          </w:tcPr>
          <w:p>
            <w:pPr>
              <w:pStyle w:val="TableContents"/>
              <w:bidi w:val="0"/>
              <w:spacing w:before="0" w:after="283"/>
              <w:jc w:val="center"/>
              <w:rPr>
                <w:b/>
              </w:rPr>
            </w:pPr>
            <w:bookmarkStart w:id="19" w:name="xdx_90D_edei--TradingSymbol_c20260731__2"/>
            <w:bookmarkEnd w:id="19"/>
            <w:r>
              <w:rPr>
                <w:b/>
              </w:rPr>
              <w:t>HUMA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91" w:type="dxa"/>
            <w:tcBorders/>
            <w:shd w:fill="CCEEFF" w:val="clear"/>
            <w:tcMar>
              <w:bottom w:w="0" w:type="dxa"/>
            </w:tcMar>
            <w:vAlign w:val="center"/>
          </w:tcPr>
          <w:p>
            <w:pPr>
              <w:pStyle w:val="TableContents"/>
              <w:bidi w:val="0"/>
              <w:spacing w:before="0" w:after="283"/>
              <w:jc w:val="center"/>
              <w:rPr>
                <w:b/>
              </w:rPr>
            </w:pPr>
            <w:bookmarkStart w:id="20" w:name="xdx_909_edei--SecurityExchangeName_c2026"/>
            <w:bookmarkEnd w:id="20"/>
            <w:r>
              <w:rPr>
                <w:b/>
              </w:rPr>
              <w:t>The Nasdaq Stock Market LLC</w:t>
            </w:r>
          </w:p>
        </w:tc>
      </w:tr>
      <w:tr>
        <w:trPr/>
        <w:tc>
          <w:tcPr>
            <w:tcW w:w="6433" w:type="dxa"/>
            <w:tcBorders/>
            <w:shd w:fill="FFFFFF" w:val="clear"/>
            <w:tcMar>
              <w:bottom w:w="0" w:type="dxa"/>
            </w:tcMar>
            <w:vAlign w:val="center"/>
          </w:tcPr>
          <w:p>
            <w:pPr>
              <w:pStyle w:val="TableContents"/>
              <w:bidi w:val="0"/>
              <w:spacing w:before="0" w:after="283"/>
              <w:jc w:val="center"/>
              <w:rPr>
                <w:b/>
              </w:rPr>
            </w:pPr>
            <w:bookmarkStart w:id="21" w:name="xdx_903_edei--Security12bTitle_c20260731"/>
            <w:bookmarkEnd w:id="21"/>
            <w:r>
              <w:rPr>
                <w:b/>
              </w:rPr>
              <w:t>Redeemable Warrants, each whole warrant exercisable for one share of Common Stock at an exercise price of $11.50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1" w:type="dxa"/>
            <w:tcBorders/>
            <w:shd w:fill="FFFFFF" w:val="clear"/>
            <w:tcMar>
              <w:bottom w:w="0" w:type="dxa"/>
            </w:tcMar>
            <w:vAlign w:val="center"/>
          </w:tcPr>
          <w:p>
            <w:pPr>
              <w:pStyle w:val="TableContents"/>
              <w:bidi w:val="0"/>
              <w:spacing w:before="0" w:after="283"/>
              <w:jc w:val="center"/>
              <w:rPr>
                <w:b/>
              </w:rPr>
            </w:pPr>
            <w:bookmarkStart w:id="22" w:name="xdx_904_edei--TradingSymbol_c20260731__2"/>
            <w:bookmarkEnd w:id="22"/>
            <w:r>
              <w:rPr>
                <w:b/>
              </w:rPr>
              <w:t>HUMAW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91" w:type="dxa"/>
            <w:tcBorders/>
            <w:shd w:fill="FFFFFF" w:val="clear"/>
            <w:tcMar>
              <w:bottom w:w="0" w:type="dxa"/>
            </w:tcMar>
            <w:vAlign w:val="center"/>
          </w:tcPr>
          <w:p>
            <w:pPr>
              <w:pStyle w:val="TableContents"/>
              <w:bidi w:val="0"/>
              <w:spacing w:before="0" w:after="283"/>
              <w:jc w:val="center"/>
              <w:rPr>
                <w:b/>
              </w:rPr>
            </w:pPr>
            <w:bookmarkStart w:id="23" w:name="xdx_90F_edei--SecurityExchangeName_c2026"/>
            <w:bookmarkEnd w:id="23"/>
            <w:r>
              <w:rPr>
                <w:b/>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C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Humacyte, Inc. (the “Company”) received a letter from the staff (the “Staff”) of The Nasdaq Stock Market LLC (“Nasdaq”) providing notification that, for the 30 consecutive business days ended July 30, 2026, the bid price for the Company’s common stock, par value $0.0001 per share (the “Common Stock”), had closed below the minimum $1.00 per share requirement for continued listing on The Nasdaq Global Select Market under Nasdaq Listing Rule 5450(a)(1). In accordance with Nasdaq Listing Rule 5810(c)(3)(A), the Company has been provided an initial period of 180 calendar days, or until January 27, 2027, to regain compliance. To regain compliance, the closing bid price of the Common Stock must be $1.00 per share or more for a minimum of 10 consecutive business days at any time before January 27, 2027. This notice has no immediate effect on the listing of the Common Stock, which continues to trade on The Nasdaq Global Select Market under symbol “HUMA,” or on the Company’s business operations or its reporting obligations with the Securities and Exchange Commission. If the Company regains compliance, Nasdaq will provide the Company with written confirmation and will close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bid price of the Common Stock and will consider options available to it to achieve compliance. There can be no assurance that the Company will regain compliance during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the Company believes that it has a reasonable basis for each forward-looking statement contained in this Current Report on Form 8-K, the Company cautions you that these statements are based on a combination of facts and factors currently known by the Company and the Company’s projections of the future, about which the Company cannot be certain. Forward-looking statements in this Current Report on Form 8-K include, but are not limited to, the Company’s ability to meet the bid price requirement during any compliance period or in the future or otherwise meet Nasdaq compliance standards; that Nasdaq will grant the Company any relief from delisting as necessary or that the Company can ultimately meet applicable Nasdaq requirements for any such relief; or the potential liquidity and trading of the Company’s securities. The Company cannot assure you that the forward-looking statements in this Current Report on Form 8-K will prove to be accurate. These forward-looking statements are subject to a number of significant risks and uncertainties that could cause actual results to differ materially from expected results, including, among others, changes in applicable laws or regulations, the possibility that the Company may be adversely affected by other economic, business, competitive and/or reputational factors, and other risks and uncertainties, including those described under the header “Risk Factors” in the Company’s Annual Report on Form 10-K for the year ended December 31, 2025, as updated by the Company’s Quarterly Report on Form 10-Q for the quarter ended March 31, 2026, each as filed by the Company with the SEC, and in future SEC filings including this Current Report on Form 8-K. Most of these factors are outside of the Company’s control and are difficult to predict. Furthermore, if the forward-looking statements prove to be inaccurate, the inaccuracy may be material. In light of the significant uncertainties in these forward-looking statements, you should not regard these statements as a representation or warranty by the Company or any other person that the Company will achieve its objectives and plans in any specified time frame, or at all. Except as required by law, the Company has no current intention of updating any of the forward-looking statements in this Current Report on Form 8-K. You should, therefore, not rely on these forward-looking statements as representing the Company’s views as of any date subsequent to the date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8660" w:type="dxa"/>
        <w:jc w:val="left"/>
        <w:tblInd w:w="0" w:type="dxa"/>
        <w:tblLayout w:type="fixed"/>
        <w:tblCellMar>
          <w:top w:w="0" w:type="dxa"/>
          <w:left w:w="0" w:type="dxa"/>
          <w:bottom w:w="0" w:type="dxa"/>
          <w:right w:w="0" w:type="dxa"/>
        </w:tblCellMar>
      </w:tblPr>
      <w:tblGrid>
        <w:gridCol w:w="1625"/>
        <w:gridCol w:w="320"/>
        <w:gridCol w:w="545"/>
        <w:gridCol w:w="6170"/>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703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HUMACYTE,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7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715"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Dale A. Sander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Dale A. Sander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Chief Corporate Development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1133</Words>
  <Characters>6228</Characters>
  <CharactersWithSpaces>7364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