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273685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19"/>
                <w:szCs w:val="19"/>
                <w:b w:val="1"/>
                <w:bCs w:val="1"/>
                <w:color w:val="auto"/>
                <w:w w:val="98"/>
              </w:rPr>
              <w:t>UNITED STATES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2"/>
                <w:szCs w:val="12"/>
                <w:b w:val="1"/>
                <w:bCs w:val="1"/>
                <w:color w:val="auto"/>
                <w:w w:val="99"/>
              </w:rPr>
              <w:t>Washington, D.C. 20549</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9120" w:type="dxa"/>
            <w:vAlign w:val="bottom"/>
            <w:gridSpan w:val="3"/>
          </w:tcPr>
          <w:p>
            <w:pPr>
              <w:jc w:val="center"/>
              <w:ind w:left="2130"/>
              <w:spacing w:after="0" w:line="110" w:lineRule="exact"/>
              <w:rPr>
                <w:sz w:val="20"/>
                <w:szCs w:val="20"/>
                <w:color w:val="auto"/>
              </w:rPr>
            </w:pPr>
            <w:r>
              <w:rPr>
                <w:rFonts w:ascii="Times New Roman" w:cs="Times New Roman" w:eastAsia="Times New Roman" w:hAnsi="Times New Roman"/>
                <w:sz w:val="10"/>
                <w:szCs w:val="10"/>
                <w:b w:val="1"/>
                <w:bCs w:val="1"/>
                <w:color w:val="auto"/>
                <w:w w:val="95"/>
              </w:rPr>
              <w:t>___________________________________________________________________________________________________________________________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53"/>
        </w:trPr>
        <w:tc>
          <w:tcPr>
            <w:tcW w:w="3560" w:type="dxa"/>
            <w:vAlign w:val="bottom"/>
          </w:tcPr>
          <w:p>
            <w:pPr>
              <w:spacing w:after="0"/>
              <w:rPr>
                <w:sz w:val="22"/>
                <w:szCs w:val="22"/>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9"/>
                <w:szCs w:val="19"/>
                <w:b w:val="1"/>
                <w:bCs w:val="1"/>
                <w:color w:val="auto"/>
              </w:rPr>
              <w:t>FORM 10-Q</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3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(Mark One)</w:t>
            </w:r>
          </w:p>
        </w:tc>
        <w:tc>
          <w:tcPr>
            <w:tcW w:w="4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60" w:type="dxa"/>
            <w:vAlign w:val="bottom"/>
            <w:gridSpan w:val="2"/>
          </w:tcPr>
          <w:p>
            <w:pPr>
              <w:jc w:val="center"/>
              <w:ind w:left="3070"/>
              <w:spacing w:after="0"/>
              <w:rPr>
                <w:sz w:val="20"/>
                <w:szCs w:val="20"/>
                <w:color w:val="auto"/>
              </w:rPr>
            </w:pPr>
            <w:r>
              <w:rPr>
                <w:rFonts w:ascii="Wingdings" w:cs="Wingdings" w:eastAsia="Wingdings" w:hAnsi="Wingdings"/>
                <w:sz w:val="10"/>
                <w:szCs w:val="10"/>
                <w:b w:val="1"/>
                <w:bCs w:val="1"/>
                <w:color w:val="auto"/>
                <w:w w:val="94"/>
              </w:rPr>
              <w:t xml:space="preserve">x </w:t>
            </w:r>
            <w:r>
              <w:rPr>
                <w:rFonts w:ascii="Times New Roman" w:cs="Times New Roman" w:eastAsia="Times New Roman" w:hAnsi="Times New Roman"/>
                <w:sz w:val="10"/>
                <w:szCs w:val="10"/>
                <w:b w:val="1"/>
                <w:bCs w:val="1"/>
                <w:color w:val="auto"/>
                <w:w w:val="94"/>
              </w:rPr>
              <w:t>QUARTERLY REPORT PURSUANT TO SECTION 13 OR 15(d) OF THE SECURITIES EXCHANGE ACT OF 1934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10"/>
                <w:szCs w:val="10"/>
                <w:b w:val="1"/>
                <w:bCs w:val="1"/>
                <w:color w:val="auto"/>
                <w:w w:val="95"/>
              </w:rPr>
              <w:t>For the quarterly period ended September 30,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10"/>
                <w:szCs w:val="10"/>
                <w:b w:val="1"/>
                <w:bCs w:val="1"/>
                <w:color w:val="auto"/>
                <w:w w:val="93"/>
              </w:rPr>
              <w:t>OR</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60" w:type="dxa"/>
            <w:vAlign w:val="bottom"/>
            <w:gridSpan w:val="2"/>
          </w:tcPr>
          <w:p>
            <w:pPr>
              <w:jc w:val="center"/>
              <w:ind w:left="3070"/>
              <w:spacing w:after="0"/>
              <w:rPr>
                <w:sz w:val="20"/>
                <w:szCs w:val="20"/>
                <w:color w:val="auto"/>
              </w:rPr>
            </w:pPr>
            <w:r>
              <w:rPr>
                <w:rFonts w:ascii="Wingdings" w:cs="Wingdings" w:eastAsia="Wingdings" w:hAnsi="Wingdings"/>
                <w:sz w:val="10"/>
                <w:szCs w:val="10"/>
                <w:b w:val="1"/>
                <w:bCs w:val="1"/>
                <w:color w:val="auto"/>
                <w:highlight w:val="black"/>
                <w:w w:val="94"/>
              </w:rPr>
              <w:t xml:space="preserve">o </w:t>
            </w:r>
            <w:r>
              <w:rPr>
                <w:rFonts w:ascii="Times New Roman" w:cs="Times New Roman" w:eastAsia="Times New Roman" w:hAnsi="Times New Roman"/>
                <w:sz w:val="10"/>
                <w:szCs w:val="10"/>
                <w:b w:val="1"/>
                <w:bCs w:val="1"/>
                <w:color w:val="auto"/>
                <w:w w:val="94"/>
              </w:rPr>
              <w:t>TRANSITION REPORT PURSUANT TO SECTION 13 OR 15(d) OF THE SECURITIES EXCHANGE ACT OF 1934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0"/>
                <w:szCs w:val="10"/>
                <w:b w:val="1"/>
                <w:bCs w:val="1"/>
                <w:color w:val="auto"/>
                <w:w w:val="96"/>
              </w:rPr>
              <w:t>For the transition period from ______ to ______.</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0"/>
                <w:szCs w:val="10"/>
                <w:b w:val="1"/>
                <w:bCs w:val="1"/>
                <w:color w:val="auto"/>
                <w:w w:val="95"/>
              </w:rPr>
              <w:t>Commission File Number: 001-39532</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120" w:type="dxa"/>
            <w:vAlign w:val="bottom"/>
            <w:gridSpan w:val="3"/>
          </w:tcPr>
          <w:p>
            <w:pPr>
              <w:jc w:val="center"/>
              <w:ind w:left="2130"/>
              <w:spacing w:after="0"/>
              <w:rPr>
                <w:sz w:val="20"/>
                <w:szCs w:val="20"/>
                <w:color w:val="auto"/>
              </w:rPr>
            </w:pPr>
            <w:r>
              <w:rPr>
                <w:rFonts w:ascii="Times New Roman" w:cs="Times New Roman" w:eastAsia="Times New Roman" w:hAnsi="Times New Roman"/>
                <w:sz w:val="12"/>
                <w:szCs w:val="12"/>
                <w:color w:val="auto"/>
                <w:w w:val="99"/>
              </w:rPr>
              <w:t>___________________________________________________________________________________________________</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1"/>
                <w:szCs w:val="21"/>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19"/>
                <w:szCs w:val="19"/>
                <w:b w:val="1"/>
                <w:bCs w:val="1"/>
                <w:color w:val="auto"/>
              </w:rPr>
              <w:t>Humacyte, Inc.</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3560" w:type="dxa"/>
            <w:vAlign w:val="bottom"/>
          </w:tcPr>
          <w:p>
            <w:pPr>
              <w:spacing w:after="0"/>
              <w:rPr>
                <w:sz w:val="10"/>
                <w:szCs w:val="10"/>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0"/>
                <w:szCs w:val="10"/>
                <w:b w:val="1"/>
                <w:bCs w:val="1"/>
                <w:color w:val="auto"/>
                <w:w w:val="95"/>
              </w:rPr>
              <w:t>(Exact name of registrant as specified in its charter)</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120" w:type="dxa"/>
            <w:vAlign w:val="bottom"/>
            <w:gridSpan w:val="3"/>
          </w:tcPr>
          <w:p>
            <w:pPr>
              <w:jc w:val="center"/>
              <w:ind w:left="2130"/>
              <w:spacing w:after="0"/>
              <w:rPr>
                <w:sz w:val="20"/>
                <w:szCs w:val="20"/>
                <w:color w:val="auto"/>
              </w:rPr>
            </w:pPr>
            <w:r>
              <w:rPr>
                <w:rFonts w:ascii="Times New Roman" w:cs="Times New Roman" w:eastAsia="Times New Roman" w:hAnsi="Times New Roman"/>
                <w:sz w:val="12"/>
                <w:szCs w:val="12"/>
                <w:color w:val="auto"/>
                <w:w w:val="99"/>
              </w:rPr>
              <w:t>___________________________________________________________________________________________________</w:t>
            </w:r>
          </w:p>
        </w:tc>
        <w:tc>
          <w:tcPr>
            <w:tcW w:w="0" w:type="dxa"/>
            <w:vAlign w:val="bottom"/>
          </w:tcPr>
          <w:p>
            <w:pPr>
              <w:spacing w:after="0"/>
              <w:rPr>
                <w:sz w:val="1"/>
                <w:szCs w:val="1"/>
                <w:color w:val="auto"/>
              </w:rPr>
            </w:pPr>
          </w:p>
        </w:tc>
      </w:tr>
      <w:tr>
        <w:trPr>
          <w:trHeight w:val="217"/>
        </w:trPr>
        <w:tc>
          <w:tcPr>
            <w:tcW w:w="3560" w:type="dxa"/>
            <w:vAlign w:val="bottom"/>
          </w:tcPr>
          <w:p>
            <w:pPr>
              <w:jc w:val="center"/>
              <w:ind w:left="1930"/>
              <w:spacing w:after="0"/>
              <w:rPr>
                <w:sz w:val="20"/>
                <w:szCs w:val="20"/>
                <w:color w:val="auto"/>
              </w:rPr>
            </w:pPr>
            <w:r>
              <w:rPr>
                <w:rFonts w:ascii="Times New Roman" w:cs="Times New Roman" w:eastAsia="Times New Roman" w:hAnsi="Times New Roman"/>
                <w:sz w:val="10"/>
                <w:szCs w:val="10"/>
                <w:b w:val="1"/>
                <w:bCs w:val="1"/>
                <w:color w:val="auto"/>
                <w:w w:val="93"/>
              </w:rPr>
              <w:t>Delaware</w:t>
            </w:r>
          </w:p>
        </w:tc>
        <w:tc>
          <w:tcPr>
            <w:tcW w:w="4600" w:type="dxa"/>
            <w:vAlign w:val="bottom"/>
          </w:tcPr>
          <w:p>
            <w:pPr>
              <w:spacing w:after="0"/>
              <w:rPr>
                <w:sz w:val="18"/>
                <w:szCs w:val="18"/>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w w:val="95"/>
              </w:rPr>
              <w:t>85-1763759</w:t>
            </w:r>
          </w:p>
        </w:tc>
        <w:tc>
          <w:tcPr>
            <w:tcW w:w="0" w:type="dxa"/>
            <w:vAlign w:val="bottom"/>
          </w:tcPr>
          <w:p>
            <w:pPr>
              <w:spacing w:after="0"/>
              <w:rPr>
                <w:sz w:val="1"/>
                <w:szCs w:val="1"/>
                <w:color w:val="auto"/>
              </w:rPr>
            </w:pPr>
          </w:p>
        </w:tc>
      </w:tr>
      <w:tr>
        <w:trPr>
          <w:trHeight w:val="153"/>
        </w:trPr>
        <w:tc>
          <w:tcPr>
            <w:tcW w:w="3560" w:type="dxa"/>
            <w:vAlign w:val="bottom"/>
            <w:vMerge w:val="restart"/>
          </w:tcPr>
          <w:p>
            <w:pPr>
              <w:jc w:val="center"/>
              <w:ind w:left="1910"/>
              <w:spacing w:after="0"/>
              <w:rPr>
                <w:sz w:val="20"/>
                <w:szCs w:val="20"/>
                <w:color w:val="auto"/>
              </w:rPr>
            </w:pPr>
            <w:r>
              <w:rPr>
                <w:rFonts w:ascii="Times New Roman" w:cs="Times New Roman" w:eastAsia="Times New Roman" w:hAnsi="Times New Roman"/>
                <w:sz w:val="10"/>
                <w:szCs w:val="10"/>
                <w:color w:val="auto"/>
                <w:w w:val="96"/>
              </w:rPr>
              <w:t>(State or other jurisdiction of</w:t>
            </w:r>
          </w:p>
        </w:tc>
        <w:tc>
          <w:tcPr>
            <w:tcW w:w="5560" w:type="dxa"/>
            <w:vAlign w:val="bottom"/>
            <w:gridSpan w:val="2"/>
          </w:tcPr>
          <w:p>
            <w:pPr>
              <w:jc w:val="center"/>
              <w:ind w:left="4097"/>
              <w:spacing w:after="0"/>
              <w:rPr>
                <w:sz w:val="20"/>
                <w:szCs w:val="20"/>
                <w:color w:val="auto"/>
              </w:rPr>
            </w:pPr>
            <w:r>
              <w:rPr>
                <w:rFonts w:ascii="Times New Roman" w:cs="Times New Roman" w:eastAsia="Times New Roman" w:hAnsi="Times New Roman"/>
                <w:sz w:val="10"/>
                <w:szCs w:val="10"/>
                <w:color w:val="auto"/>
                <w:w w:val="96"/>
              </w:rPr>
              <w:t>(I.R.S. Employer Identification No.)</w:t>
            </w:r>
          </w:p>
        </w:tc>
        <w:tc>
          <w:tcPr>
            <w:tcW w:w="0" w:type="dxa"/>
            <w:vAlign w:val="bottom"/>
          </w:tcPr>
          <w:p>
            <w:pPr>
              <w:spacing w:after="0"/>
              <w:rPr>
                <w:sz w:val="1"/>
                <w:szCs w:val="1"/>
                <w:color w:val="auto"/>
              </w:rPr>
            </w:pPr>
          </w:p>
        </w:tc>
      </w:tr>
      <w:tr>
        <w:trPr>
          <w:trHeight w:val="36"/>
        </w:trPr>
        <w:tc>
          <w:tcPr>
            <w:tcW w:w="3560" w:type="dxa"/>
            <w:vAlign w:val="bottom"/>
            <w:vMerge w:val="continue"/>
          </w:tcPr>
          <w:p>
            <w:pPr>
              <w:spacing w:after="0"/>
              <w:rPr>
                <w:sz w:val="3"/>
                <w:szCs w:val="3"/>
                <w:color w:val="auto"/>
              </w:rPr>
            </w:pPr>
          </w:p>
        </w:tc>
        <w:tc>
          <w:tcPr>
            <w:tcW w:w="4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560" w:type="dxa"/>
            <w:vAlign w:val="bottom"/>
          </w:tcPr>
          <w:p>
            <w:pPr>
              <w:jc w:val="center"/>
              <w:ind w:left="1910"/>
              <w:spacing w:after="0"/>
              <w:rPr>
                <w:sz w:val="20"/>
                <w:szCs w:val="20"/>
                <w:color w:val="auto"/>
              </w:rPr>
            </w:pPr>
            <w:r>
              <w:rPr>
                <w:rFonts w:ascii="Times New Roman" w:cs="Times New Roman" w:eastAsia="Times New Roman" w:hAnsi="Times New Roman"/>
                <w:sz w:val="10"/>
                <w:szCs w:val="10"/>
                <w:color w:val="auto"/>
                <w:w w:val="96"/>
              </w:rPr>
              <w:t>incorporation or organization)</w:t>
            </w:r>
          </w:p>
        </w:tc>
        <w:tc>
          <w:tcPr>
            <w:tcW w:w="4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3560" w:type="dxa"/>
            <w:vAlign w:val="bottom"/>
          </w:tcPr>
          <w:p>
            <w:pPr>
              <w:jc w:val="center"/>
              <w:ind w:left="1910"/>
              <w:spacing w:after="0"/>
              <w:rPr>
                <w:sz w:val="20"/>
                <w:szCs w:val="20"/>
                <w:color w:val="auto"/>
              </w:rPr>
            </w:pPr>
            <w:r>
              <w:rPr>
                <w:rFonts w:ascii="Times New Roman" w:cs="Times New Roman" w:eastAsia="Times New Roman" w:hAnsi="Times New Roman"/>
                <w:sz w:val="10"/>
                <w:szCs w:val="10"/>
                <w:b w:val="1"/>
                <w:bCs w:val="1"/>
                <w:color w:val="auto"/>
                <w:w w:val="95"/>
              </w:rPr>
              <w:t>2525 East North Carolina Highway 54</w:t>
            </w:r>
          </w:p>
        </w:tc>
        <w:tc>
          <w:tcPr>
            <w:tcW w:w="4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560" w:type="dxa"/>
            <w:vAlign w:val="bottom"/>
          </w:tcPr>
          <w:p>
            <w:pPr>
              <w:ind w:left="2380"/>
              <w:spacing w:after="0"/>
              <w:rPr>
                <w:sz w:val="20"/>
                <w:szCs w:val="20"/>
                <w:color w:val="auto"/>
              </w:rPr>
            </w:pPr>
            <w:r>
              <w:rPr>
                <w:rFonts w:ascii="Times New Roman" w:cs="Times New Roman" w:eastAsia="Times New Roman" w:hAnsi="Times New Roman"/>
                <w:sz w:val="10"/>
                <w:szCs w:val="10"/>
                <w:b w:val="1"/>
                <w:bCs w:val="1"/>
                <w:color w:val="auto"/>
              </w:rPr>
              <w:t>Durham, NC</w:t>
            </w:r>
          </w:p>
        </w:tc>
        <w:tc>
          <w:tcPr>
            <w:tcW w:w="4600" w:type="dxa"/>
            <w:vAlign w:val="bottom"/>
          </w:tcPr>
          <w:p>
            <w:pPr>
              <w:spacing w:after="0"/>
              <w:rPr>
                <w:sz w:val="12"/>
                <w:szCs w:val="12"/>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27713</w:t>
            </w:r>
          </w:p>
        </w:tc>
        <w:tc>
          <w:tcPr>
            <w:tcW w:w="0" w:type="dxa"/>
            <w:vAlign w:val="bottom"/>
          </w:tcPr>
          <w:p>
            <w:pPr>
              <w:spacing w:after="0"/>
              <w:rPr>
                <w:sz w:val="1"/>
                <w:szCs w:val="1"/>
                <w:color w:val="auto"/>
              </w:rPr>
            </w:pPr>
          </w:p>
        </w:tc>
      </w:tr>
      <w:tr>
        <w:trPr>
          <w:trHeight w:val="135"/>
        </w:trPr>
        <w:tc>
          <w:tcPr>
            <w:tcW w:w="3560" w:type="dxa"/>
            <w:vAlign w:val="bottom"/>
          </w:tcPr>
          <w:p>
            <w:pPr>
              <w:jc w:val="center"/>
              <w:ind w:left="1910"/>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4600" w:type="dxa"/>
            <w:vAlign w:val="bottom"/>
          </w:tcPr>
          <w:p>
            <w:pPr>
              <w:spacing w:after="0"/>
              <w:rPr>
                <w:sz w:val="11"/>
                <w:szCs w:val="11"/>
                <w:color w:val="auto"/>
              </w:rPr>
            </w:pPr>
          </w:p>
        </w:tc>
        <w:tc>
          <w:tcPr>
            <w:tcW w:w="960" w:type="dxa"/>
            <w:vAlign w:val="bottom"/>
          </w:tcPr>
          <w:p>
            <w:pPr>
              <w:jc w:val="center"/>
              <w:ind w:right="392"/>
              <w:spacing w:after="0"/>
              <w:rPr>
                <w:sz w:val="20"/>
                <w:szCs w:val="20"/>
                <w:color w:val="auto"/>
              </w:rPr>
            </w:pPr>
            <w:r>
              <w:rPr>
                <w:rFonts w:ascii="Times New Roman" w:cs="Times New Roman" w:eastAsia="Times New Roman" w:hAnsi="Times New Roman"/>
                <w:sz w:val="10"/>
                <w:szCs w:val="10"/>
                <w:color w:val="auto"/>
                <w:w w:val="95"/>
              </w:rPr>
              <w:t>(Zip code)</w:t>
            </w:r>
          </w:p>
        </w:tc>
        <w:tc>
          <w:tcPr>
            <w:tcW w:w="0" w:type="dxa"/>
            <w:vAlign w:val="bottom"/>
          </w:tcPr>
          <w:p>
            <w:pPr>
              <w:spacing w:after="0"/>
              <w:rPr>
                <w:sz w:val="1"/>
                <w:szCs w:val="1"/>
                <w:color w:val="auto"/>
              </w:rPr>
            </w:pPr>
          </w:p>
        </w:tc>
      </w:tr>
      <w:tr>
        <w:trPr>
          <w:trHeight w:val="249"/>
        </w:trPr>
        <w:tc>
          <w:tcPr>
            <w:tcW w:w="3560" w:type="dxa"/>
            <w:vAlign w:val="bottom"/>
          </w:tcPr>
          <w:p>
            <w:pPr>
              <w:spacing w:after="0"/>
              <w:rPr>
                <w:sz w:val="21"/>
                <w:szCs w:val="21"/>
                <w:color w:val="auto"/>
              </w:rPr>
            </w:pPr>
          </w:p>
        </w:tc>
        <w:tc>
          <w:tcPr>
            <w:tcW w:w="4600" w:type="dxa"/>
            <w:vAlign w:val="bottom"/>
          </w:tcPr>
          <w:p>
            <w:pPr>
              <w:jc w:val="center"/>
              <w:ind w:right="377"/>
              <w:spacing w:after="0"/>
              <w:rPr>
                <w:sz w:val="20"/>
                <w:szCs w:val="20"/>
                <w:color w:val="auto"/>
              </w:rPr>
            </w:pPr>
            <w:r>
              <w:rPr>
                <w:rFonts w:ascii="Times New Roman" w:cs="Times New Roman" w:eastAsia="Times New Roman" w:hAnsi="Times New Roman"/>
                <w:sz w:val="10"/>
                <w:szCs w:val="10"/>
                <w:b w:val="1"/>
                <w:bCs w:val="1"/>
                <w:color w:val="auto"/>
                <w:w w:val="95"/>
              </w:rPr>
              <w:t>(919) 313-9633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4600" w:type="dxa"/>
            <w:vAlign w:val="bottom"/>
          </w:tcPr>
          <w:p>
            <w:pPr>
              <w:jc w:val="center"/>
              <w:ind w:right="357"/>
              <w:spacing w:after="0"/>
              <w:rPr>
                <w:sz w:val="20"/>
                <w:szCs w:val="20"/>
                <w:color w:val="auto"/>
              </w:rPr>
            </w:pPr>
            <w:r>
              <w:rPr>
                <w:rFonts w:ascii="Times New Roman" w:cs="Times New Roman" w:eastAsia="Times New Roman" w:hAnsi="Times New Roman"/>
                <w:sz w:val="8"/>
                <w:szCs w:val="8"/>
                <w:color w:val="auto"/>
              </w:rPr>
              <w:t>(Registrant’s telephone number, including area code)</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former address and former fiscal year, if changed since last report)</w:t>
      </w:r>
    </w:p>
    <w:p>
      <w:pPr>
        <w:spacing w:after="0" w:line="1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___________________________________________________________________________________________________</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Securities registered pursuant to 12(b)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4"/>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tcPr>
          <w:p>
            <w:pPr>
              <w:spacing w:after="0"/>
              <w:rPr>
                <w:sz w:val="11"/>
                <w:szCs w:val="11"/>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80" w:type="dxa"/>
            <w:vAlign w:val="bottom"/>
          </w:tcPr>
          <w:p>
            <w:pPr>
              <w:spacing w:after="0"/>
              <w:rPr>
                <w:sz w:val="11"/>
                <w:szCs w:val="11"/>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24"/>
        </w:trPr>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HUMA</w:t>
            </w:r>
          </w:p>
        </w:tc>
        <w:tc>
          <w:tcPr>
            <w:tcW w:w="4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127"/>
        </w:trPr>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Redeemable Warrants, each whole warrant exercisable for one share of Common Stock at an exercise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1"/>
              </w:rPr>
              <w:t>HUMAW</w:t>
            </w:r>
          </w:p>
        </w:tc>
        <w:tc>
          <w:tcPr>
            <w:tcW w:w="4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125"/>
        </w:trPr>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price of $11.50</w:t>
            </w: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40" w:type="dxa"/>
            <w:vAlign w:val="bottom"/>
          </w:tcPr>
          <w:p>
            <w:pPr>
              <w:spacing w:after="0"/>
              <w:rPr>
                <w:sz w:val="10"/>
                <w:szCs w:val="10"/>
                <w:color w:val="auto"/>
              </w:rPr>
            </w:pPr>
          </w:p>
        </w:tc>
      </w:tr>
    </w:tbl>
    <w:p>
      <w:pPr>
        <w:spacing w:after="0" w:line="138"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38"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4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188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3620" w:type="dxa"/>
            <w:vAlign w:val="bottom"/>
          </w:tcPr>
          <w:p>
            <w:pPr>
              <w:ind w:left="1020"/>
              <w:spacing w:after="0"/>
              <w:rPr>
                <w:sz w:val="20"/>
                <w:szCs w:val="20"/>
                <w:color w:val="auto"/>
              </w:rPr>
            </w:pPr>
            <w:r>
              <w:rPr>
                <w:rFonts w:ascii="Wingdings" w:cs="Wingdings" w:eastAsia="Wingdings" w:hAnsi="Wingdings"/>
                <w:sz w:val="10"/>
                <w:szCs w:val="10"/>
                <w:b w:val="1"/>
                <w:bCs w:val="1"/>
                <w:color w:val="auto"/>
              </w:rPr>
              <w:t>o</w:t>
            </w:r>
          </w:p>
        </w:tc>
        <w:tc>
          <w:tcPr>
            <w:tcW w:w="446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Accelerated filer</w:t>
            </w:r>
          </w:p>
        </w:tc>
        <w:tc>
          <w:tcPr>
            <w:tcW w:w="1020" w:type="dxa"/>
            <w:vAlign w:val="bottom"/>
          </w:tcPr>
          <w:p>
            <w:pPr>
              <w:ind w:left="920"/>
              <w:spacing w:after="0"/>
              <w:rPr>
                <w:sz w:val="20"/>
                <w:szCs w:val="20"/>
                <w:color w:val="auto"/>
              </w:rPr>
            </w:pPr>
            <w:r>
              <w:rPr>
                <w:rFonts w:ascii="Wingdings" w:cs="Wingdings" w:eastAsia="Wingdings" w:hAnsi="Wingdings"/>
                <w:sz w:val="10"/>
                <w:szCs w:val="10"/>
                <w:b w:val="1"/>
                <w:bCs w:val="1"/>
                <w:color w:val="auto"/>
                <w:w w:val="89"/>
              </w:rPr>
              <w:t>o</w:t>
            </w:r>
          </w:p>
        </w:tc>
      </w:tr>
      <w:tr>
        <w:trPr>
          <w:trHeight w:val="144"/>
        </w:trPr>
        <w:tc>
          <w:tcPr>
            <w:tcW w:w="188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620" w:type="dxa"/>
            <w:vAlign w:val="bottom"/>
          </w:tcPr>
          <w:p>
            <w:pPr>
              <w:ind w:left="1020"/>
              <w:spacing w:after="0"/>
              <w:rPr>
                <w:sz w:val="20"/>
                <w:szCs w:val="20"/>
                <w:color w:val="auto"/>
              </w:rPr>
            </w:pPr>
            <w:r>
              <w:rPr>
                <w:rFonts w:ascii="Wingdings" w:cs="Wingdings" w:eastAsia="Wingdings" w:hAnsi="Wingdings"/>
                <w:sz w:val="10"/>
                <w:szCs w:val="10"/>
                <w:b w:val="1"/>
                <w:bCs w:val="1"/>
                <w:color w:val="auto"/>
              </w:rPr>
              <w:t>x</w:t>
            </w:r>
          </w:p>
        </w:tc>
        <w:tc>
          <w:tcPr>
            <w:tcW w:w="446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020" w:type="dxa"/>
            <w:vAlign w:val="bottom"/>
          </w:tcPr>
          <w:p>
            <w:pPr>
              <w:ind w:left="920"/>
              <w:spacing w:after="0"/>
              <w:rPr>
                <w:sz w:val="20"/>
                <w:szCs w:val="20"/>
                <w:color w:val="auto"/>
              </w:rPr>
            </w:pPr>
            <w:r>
              <w:rPr>
                <w:rFonts w:ascii="Wingdings" w:cs="Wingdings" w:eastAsia="Wingdings" w:hAnsi="Wingdings"/>
                <w:sz w:val="10"/>
                <w:szCs w:val="10"/>
                <w:b w:val="1"/>
                <w:bCs w:val="1"/>
                <w:color w:val="auto"/>
                <w:w w:val="74"/>
              </w:rPr>
              <w:t>x</w:t>
            </w:r>
          </w:p>
        </w:tc>
      </w:tr>
      <w:tr>
        <w:trPr>
          <w:trHeight w:val="144"/>
        </w:trPr>
        <w:tc>
          <w:tcPr>
            <w:tcW w:w="18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460" w:type="dxa"/>
            <w:vAlign w:val="bottom"/>
          </w:tcPr>
          <w:p>
            <w:pPr>
              <w:ind w:left="2520"/>
              <w:spacing w:after="0"/>
              <w:rPr>
                <w:sz w:val="20"/>
                <w:szCs w:val="20"/>
                <w:color w:val="auto"/>
              </w:rPr>
            </w:pPr>
            <w:r>
              <w:rPr>
                <w:rFonts w:ascii="Times New Roman" w:cs="Times New Roman" w:eastAsia="Times New Roman" w:hAnsi="Times New Roman"/>
                <w:sz w:val="10"/>
                <w:szCs w:val="10"/>
                <w:color w:val="auto"/>
              </w:rPr>
              <w:t>Emerging growth company</w:t>
            </w:r>
          </w:p>
        </w:tc>
        <w:tc>
          <w:tcPr>
            <w:tcW w:w="1020" w:type="dxa"/>
            <w:vAlign w:val="bottom"/>
          </w:tcPr>
          <w:p>
            <w:pPr>
              <w:ind w:left="920"/>
              <w:spacing w:after="0"/>
              <w:rPr>
                <w:sz w:val="20"/>
                <w:szCs w:val="20"/>
                <w:color w:val="auto"/>
              </w:rPr>
            </w:pPr>
            <w:r>
              <w:rPr>
                <w:rFonts w:ascii="Wingdings" w:cs="Wingdings" w:eastAsia="Wingdings" w:hAnsi="Wingdings"/>
                <w:sz w:val="10"/>
                <w:szCs w:val="10"/>
                <w:b w:val="1"/>
                <w:bCs w:val="1"/>
                <w:color w:val="auto"/>
                <w:w w:val="74"/>
              </w:rPr>
              <w:t>x</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November 4, 2025, 187,271,321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78740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95885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5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4"/>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Humacyte, Inc.</w:t>
            </w:r>
          </w:p>
        </w:tc>
        <w:tc>
          <w:tcPr>
            <w:tcW w:w="1020" w:type="dxa"/>
            <w:vAlign w:val="bottom"/>
          </w:tcPr>
          <w:p>
            <w:pPr>
              <w:spacing w:after="0"/>
              <w:rPr>
                <w:sz w:val="24"/>
                <w:szCs w:val="24"/>
                <w:color w:val="auto"/>
              </w:rPr>
            </w:pPr>
          </w:p>
        </w:tc>
      </w:tr>
      <w:tr>
        <w:trPr>
          <w:trHeight w:val="144"/>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20" w:type="dxa"/>
            <w:vAlign w:val="bottom"/>
            <w:gridSpan w:val="4"/>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Quarterly Report on Form 10-Q</w:t>
            </w:r>
          </w:p>
        </w:tc>
        <w:tc>
          <w:tcPr>
            <w:tcW w:w="1020" w:type="dxa"/>
            <w:vAlign w:val="bottom"/>
          </w:tcPr>
          <w:p>
            <w:pPr>
              <w:spacing w:after="0"/>
              <w:rPr>
                <w:sz w:val="12"/>
                <w:szCs w:val="12"/>
                <w:color w:val="auto"/>
              </w:rPr>
            </w:pPr>
          </w:p>
        </w:tc>
      </w:tr>
      <w:tr>
        <w:trPr>
          <w:trHeight w:val="159"/>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20" w:type="dxa"/>
            <w:vAlign w:val="bottom"/>
            <w:gridSpan w:val="4"/>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1020" w:type="dxa"/>
            <w:vAlign w:val="bottom"/>
          </w:tcPr>
          <w:p>
            <w:pPr>
              <w:spacing w:after="0"/>
              <w:rPr>
                <w:sz w:val="13"/>
                <w:szCs w:val="13"/>
                <w:color w:val="auto"/>
              </w:rPr>
            </w:pPr>
          </w:p>
        </w:tc>
      </w:tr>
      <w:tr>
        <w:trPr>
          <w:trHeight w:val="315"/>
        </w:trPr>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Page No.</w:t>
            </w: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PART I – FINANCIAL INFORMATION</w:t>
            </w:r>
          </w:p>
        </w:tc>
        <w:tc>
          <w:tcPr>
            <w:tcW w:w="1020" w:type="dxa"/>
            <w:vAlign w:val="bottom"/>
            <w:shd w:val="clear" w:color="auto" w:fill="CCEEFF"/>
          </w:tcPr>
          <w:p>
            <w:pPr>
              <w:spacing w:after="0"/>
              <w:rPr>
                <w:sz w:val="11"/>
                <w:szCs w:val="11"/>
                <w:color w:val="auto"/>
              </w:rPr>
            </w:pPr>
          </w:p>
        </w:tc>
      </w:tr>
      <w:tr>
        <w:trPr>
          <w:trHeight w:val="180"/>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1.</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Financial Statements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5</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Condensed Consolidated Balance Sheets (unaudited)</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5</w:t>
            </w:r>
          </w:p>
        </w:tc>
      </w:tr>
      <w:tr>
        <w:trPr>
          <w:trHeight w:val="180"/>
        </w:trPr>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Condensed Consolidated Statements of Operations and Comprehensive Income (Loss) (unaudited)</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w:t>
            </w:r>
          </w:p>
        </w:tc>
      </w:tr>
      <w:tr>
        <w:trPr>
          <w:trHeight w:val="180"/>
        </w:trPr>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Condensed Consolidated Statements of Changes in Stockholders’ Equity (Deficit) (unaudited)</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7</w:t>
            </w:r>
          </w:p>
        </w:tc>
      </w:tr>
      <w:tr>
        <w:trPr>
          <w:trHeight w:val="180"/>
        </w:trPr>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Condensed Consolidated Statements of Cash Flows (unaudited)</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8</w:t>
            </w:r>
          </w:p>
        </w:tc>
      </w:tr>
      <w:tr>
        <w:trPr>
          <w:trHeight w:val="180"/>
        </w:trPr>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Notes to Condensed Consolidated Financial Statements (unaudited)</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9</w:t>
            </w:r>
          </w:p>
        </w:tc>
      </w:tr>
      <w:tr>
        <w:trPr>
          <w:trHeight w:val="180"/>
        </w:trPr>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2.</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44</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3.</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58</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4.</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Controls and Procedures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59</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53"/>
        </w:trPr>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tc>
        <w:tc>
          <w:tcPr>
            <w:tcW w:w="1020" w:type="dxa"/>
            <w:vAlign w:val="bottom"/>
            <w:shd w:val="clear" w:color="auto" w:fill="CCEEFF"/>
          </w:tcPr>
          <w:p>
            <w:pPr>
              <w:spacing w:after="0"/>
              <w:rPr>
                <w:sz w:val="13"/>
                <w:szCs w:val="13"/>
                <w:color w:val="auto"/>
              </w:rPr>
            </w:pPr>
          </w:p>
        </w:tc>
      </w:tr>
      <w:tr>
        <w:trPr>
          <w:trHeight w:val="180"/>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1.</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Legal Proceedings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60</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1A.</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Risk Factors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61</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2.</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Unregistered Sales of Equity Securities and Use of Proceeds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61</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3.</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Defaults Upon Senior Securities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61</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4.</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Mine Safety Disclosures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62</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5.</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Other Information</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62</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Item 6.</w:t>
            </w:r>
          </w:p>
        </w:tc>
        <w:tc>
          <w:tcPr>
            <w:tcW w:w="360" w:type="dxa"/>
            <w:vAlign w:val="bottom"/>
            <w:shd w:val="clear" w:color="auto" w:fill="CCEEFF"/>
          </w:tcPr>
          <w:p>
            <w:pPr>
              <w:spacing w:after="0"/>
              <w:rPr>
                <w:sz w:val="11"/>
                <w:szCs w:val="11"/>
                <w:color w:val="auto"/>
              </w:rPr>
            </w:pPr>
          </w:p>
        </w:tc>
        <w:tc>
          <w:tcPr>
            <w:tcW w:w="9080" w:type="dxa"/>
            <w:vAlign w:val="bottom"/>
            <w:gridSpan w:val="16"/>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0000FF"/>
              </w:rPr>
              <w:t>Exhibits</w:t>
            </w: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63</w:t>
            </w:r>
          </w:p>
        </w:tc>
      </w:tr>
      <w:tr>
        <w:trPr>
          <w:trHeight w:val="180"/>
        </w:trPr>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33"/>
        </w:trPr>
        <w:tc>
          <w:tcPr>
            <w:tcW w:w="84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0000FF"/>
              </w:rPr>
              <w:t>SIGNATURES</w:t>
            </w: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64</w:t>
            </w:r>
          </w:p>
        </w:tc>
      </w:tr>
      <w:tr>
        <w:trPr>
          <w:trHeight w:val="594"/>
        </w:trPr>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gridSpan w:val="15"/>
          </w:tcPr>
          <w:p>
            <w:pPr>
              <w:jc w:val="center"/>
              <w:ind w:left="4660"/>
              <w:spacing w:after="0"/>
              <w:rPr>
                <w:sz w:val="20"/>
                <w:szCs w:val="20"/>
                <w:color w:val="auto"/>
              </w:rPr>
            </w:pPr>
            <w:r>
              <w:rPr>
                <w:rFonts w:ascii="Times New Roman" w:cs="Times New Roman" w:eastAsia="Times New Roman" w:hAnsi="Times New Roman"/>
                <w:sz w:val="12"/>
                <w:szCs w:val="12"/>
                <w:color w:val="auto"/>
                <w:w w:val="99"/>
              </w:rPr>
              <w:t>2</w:t>
            </w:r>
          </w:p>
        </w:tc>
        <w:tc>
          <w:tcPr>
            <w:tcW w:w="20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72"/>
        </w:trPr>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2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Forward-looking statements may include, for example, statements about:</w:t>
      </w:r>
    </w:p>
    <w:p>
      <w:pPr>
        <w:spacing w:after="0" w:line="78"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our plans and ability to commercialize Symvess</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(acellular tissue engineered vessel-tyod or “ATEV</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and, if approved by regulatory authorities, our product candidates, successfully and on our anticipated timelines;</w:t>
      </w:r>
    </w:p>
    <w:p>
      <w:pPr>
        <w:spacing w:after="0" w:line="43"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the degree of market acceptance of and the availability of third-party coverage and reimbursement for Symvess and, if approved by regulatory authorities, our product candidates;</w:t>
      </w:r>
    </w:p>
    <w:p>
      <w:pPr>
        <w:spacing w:after="0" w:line="77"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our ability to manufacture Symvess and, if approved by regulatory authorities, our product candidates, in sufficient quantities to satisfy our clinical trial and commercial needs;</w:t>
      </w:r>
    </w:p>
    <w:p>
      <w:pPr>
        <w:spacing w:after="0" w:line="77"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Times New Roman" w:cs="Times New Roman" w:eastAsia="Times New Roman" w:hAnsi="Times New Roman"/>
          <w:sz w:val="12"/>
          <w:szCs w:val="12"/>
          <w:color w:val="auto"/>
        </w:rPr>
        <w:t>the expected size of the target populations for Symvess and, if approved by regulatory authorities, our product candidates;</w:t>
      </w:r>
    </w:p>
    <w:p>
      <w:pPr>
        <w:spacing w:after="0" w:line="77"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anticipated benefits of our ATEVs relative to existing alternatives;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assessment of the competitive landscape;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plans and ability to execute product development, process development and preclinical development efforts successfully and on our anticipated timelines;</w:t>
      </w:r>
    </w:p>
    <w:p>
      <w:pPr>
        <w:spacing w:after="0" w:line="78" w:lineRule="exact"/>
        <w:rPr>
          <w:rFonts w:ascii="Times New Roman" w:cs="Times New Roman" w:eastAsia="Times New Roman" w:hAnsi="Times New Roman"/>
          <w:sz w:val="12"/>
          <w:szCs w:val="12"/>
          <w:color w:val="auto"/>
        </w:rPr>
      </w:pPr>
    </w:p>
    <w:p>
      <w:pPr>
        <w:ind w:left="420" w:right="420" w:hanging="212"/>
        <w:spacing w:after="0" w:line="279"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plans, anticipated timeline and ability to file applications for, and obtain marketing approvals from, the United States (“U.S.”) Food and Drug Administration (“FDA”) and other regulatory authorities, including the European Medicines Agency (“EMA”), for our ATEVs and product candidates;</w:t>
      </w:r>
    </w:p>
    <w:p>
      <w:pPr>
        <w:spacing w:after="0" w:line="39"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and achieve the expected benefits of our cost-saving measures and whether our efforts will result in further actions or additional asset impairment charges that adversely affect our business;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our ongoing discussions with the FDA concerning the design of our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anticipated growth rate and market opportunities;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use our proprietary scientific technology platform to build a pipeline of additional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characteristics and performance of our ATEVs and the public perception thereof;</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of other third parties on which we rely, including our third-party manufacturers, our licensors, our suppliers and the organizations conducting our clinical trials;</w:t>
      </w:r>
    </w:p>
    <w:p>
      <w:pPr>
        <w:spacing w:after="0" w:line="78"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the confidentiality of our trade secrets, particularly with respect to our manufacturing process;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compliance with applicable laws and regulatory requirements, including FDA regulations, healthcare laws and regulations, and anti-corruption laws;</w:t>
      </w:r>
    </w:p>
    <w:p>
      <w:pPr>
        <w:spacing w:after="0" w:line="78" w:lineRule="exact"/>
        <w:rPr>
          <w:rFonts w:ascii="Times New Roman" w:cs="Times New Roman" w:eastAsia="Times New Roman" w:hAnsi="Times New Roman"/>
          <w:sz w:val="12"/>
          <w:szCs w:val="12"/>
          <w:color w:val="auto"/>
        </w:rPr>
      </w:pPr>
    </w:p>
    <w:p>
      <w:pPr>
        <w:ind w:left="420" w:right="40" w:hanging="212"/>
        <w:spacing w:after="0" w:line="279"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retain and motivate qualified personnel and to manage our growth effectively;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estimates regarding how long our existing cash and cash equivalents will be sufficient to fund our anticipated operating expenses, capital expenditures and debt service obligations;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financial performance and capital requirements, including our ability to raise additional capital in the future;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implement and maintain effective internal controls;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liquidity and trading of our securities;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overall global economy and increasing interest rates and inflation on our business.</w:t>
      </w:r>
    </w:p>
    <w:p>
      <w:pPr>
        <w:spacing w:after="0" w:line="123"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by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2024, which we filed with the SEC on March 31, 2025.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for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24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0"/>
        </w:trPr>
        <w:tc>
          <w:tcPr>
            <w:tcW w:w="8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0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44,937</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Inventory</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18,418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Accounts receivable</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2,367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2,742</w:t>
            </w:r>
          </w:p>
        </w:tc>
        <w:tc>
          <w:tcPr>
            <w:tcW w:w="0" w:type="dxa"/>
            <w:vAlign w:val="bottom"/>
          </w:tcPr>
          <w:p>
            <w:pPr>
              <w:spacing w:after="0"/>
              <w:rPr>
                <w:sz w:val="1"/>
                <w:szCs w:val="1"/>
                <w:color w:val="auto"/>
              </w:rPr>
            </w:pPr>
          </w:p>
        </w:tc>
      </w:tr>
      <w:tr>
        <w:trPr>
          <w:trHeight w:val="130"/>
        </w:trPr>
        <w:tc>
          <w:tcPr>
            <w:tcW w:w="8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current assets</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41,351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47,859</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50,209</w:t>
            </w: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19,857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23,063</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Finance lease right-of-use assets, net</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29,420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15,490</w:t>
            </w: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Other long-term assets</w:t>
            </w: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672</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1,251</w:t>
            </w:r>
          </w:p>
        </w:tc>
        <w:tc>
          <w:tcPr>
            <w:tcW w:w="0" w:type="dxa"/>
            <w:vAlign w:val="bottom"/>
          </w:tcPr>
          <w:p>
            <w:pPr>
              <w:spacing w:after="0"/>
              <w:rPr>
                <w:sz w:val="1"/>
                <w:szCs w:val="1"/>
                <w:color w:val="auto"/>
              </w:rPr>
            </w:pPr>
          </w:p>
        </w:tc>
      </w:tr>
      <w:tr>
        <w:trPr>
          <w:trHeight w:val="146"/>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91,509</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137,872</w:t>
            </w:r>
          </w:p>
        </w:tc>
        <w:tc>
          <w:tcPr>
            <w:tcW w:w="0" w:type="dxa"/>
            <w:vAlign w:val="bottom"/>
          </w:tcPr>
          <w:p>
            <w:pPr>
              <w:spacing w:after="0"/>
              <w:rPr>
                <w:sz w:val="1"/>
                <w:szCs w:val="1"/>
                <w:color w:val="auto"/>
              </w:rPr>
            </w:pPr>
          </w:p>
        </w:tc>
      </w:tr>
      <w:tr>
        <w:trPr>
          <w:trHeight w:val="90"/>
        </w:trPr>
        <w:tc>
          <w:tcPr>
            <w:tcW w:w="8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LIABILITIES AND STOCKHOLDERS’ EQUITY (DEFICIT)</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9,575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4,490</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Accrued expenses</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11,424</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Finance lease obligation, current portion</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2,917</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Revenue interest liability, current portion</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10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w:t>
            </w:r>
          </w:p>
        </w:tc>
        <w:tc>
          <w:tcPr>
            <w:tcW w:w="0" w:type="dxa"/>
            <w:vAlign w:val="bottom"/>
          </w:tcPr>
          <w:p>
            <w:pPr>
              <w:spacing w:after="0"/>
              <w:rPr>
                <w:sz w:val="1"/>
                <w:szCs w:val="1"/>
                <w:color w:val="auto"/>
              </w:rPr>
            </w:pPr>
          </w:p>
        </w:tc>
      </w:tr>
      <w:tr>
        <w:trPr>
          <w:trHeight w:val="118"/>
        </w:trPr>
        <w:tc>
          <w:tcPr>
            <w:tcW w:w="82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current liabilities</w:t>
            </w:r>
          </w:p>
        </w:tc>
        <w:tc>
          <w:tcPr>
            <w:tcW w:w="10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25,581</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19,954</w:t>
            </w:r>
          </w:p>
        </w:tc>
        <w:tc>
          <w:tcPr>
            <w:tcW w:w="0" w:type="dxa"/>
            <w:vAlign w:val="bottom"/>
          </w:tcPr>
          <w:p>
            <w:pPr>
              <w:spacing w:after="0"/>
              <w:rPr>
                <w:sz w:val="1"/>
                <w:szCs w:val="1"/>
                <w:color w:val="auto"/>
              </w:rPr>
            </w:pPr>
          </w:p>
        </w:tc>
      </w:tr>
      <w:tr>
        <w:trPr>
          <w:trHeight w:val="114"/>
        </w:trPr>
        <w:tc>
          <w:tcPr>
            <w:tcW w:w="8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Revenue interest liability, net of current portion</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17,674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63,354</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Contingent Earnout Liability</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21,807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70,961</w:t>
            </w: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Finance lease obligation, net of current portion</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27,155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13,620</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 warrant liabilities</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19,254</w:t>
            </w:r>
          </w:p>
        </w:tc>
        <w:tc>
          <w:tcPr>
            <w:tcW w:w="0" w:type="dxa"/>
            <w:vAlign w:val="bottom"/>
          </w:tcPr>
          <w:p>
            <w:pPr>
              <w:spacing w:after="0"/>
              <w:rPr>
                <w:sz w:val="1"/>
                <w:szCs w:val="1"/>
                <w:color w:val="auto"/>
              </w:rPr>
            </w:pPr>
          </w:p>
        </w:tc>
      </w:tr>
      <w:tr>
        <w:trPr>
          <w:trHeight w:val="129"/>
        </w:trPr>
        <w:tc>
          <w:tcPr>
            <w:tcW w:w="8240" w:type="dxa"/>
            <w:vAlign w:val="bottom"/>
          </w:tcPr>
          <w:p>
            <w:pPr>
              <w:spacing w:after="0"/>
              <w:rPr>
                <w:sz w:val="20"/>
                <w:szCs w:val="20"/>
                <w:color w:val="auto"/>
              </w:rPr>
            </w:pPr>
            <w:r>
              <w:rPr>
                <w:rFonts w:ascii="Times New Roman" w:cs="Times New Roman" w:eastAsia="Times New Roman" w:hAnsi="Times New Roman"/>
                <w:sz w:val="10"/>
                <w:szCs w:val="10"/>
                <w:color w:val="auto"/>
              </w:rPr>
              <w:t>Contingent derivative liability</w:t>
            </w:r>
          </w:p>
        </w:tc>
        <w:tc>
          <w:tcPr>
            <w:tcW w:w="10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2,415</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10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983</w:t>
            </w:r>
          </w:p>
        </w:tc>
        <w:tc>
          <w:tcPr>
            <w:tcW w:w="0" w:type="dxa"/>
            <w:vAlign w:val="bottom"/>
          </w:tcPr>
          <w:p>
            <w:pPr>
              <w:spacing w:after="0"/>
              <w:rPr>
                <w:sz w:val="1"/>
                <w:szCs w:val="1"/>
                <w:color w:val="auto"/>
              </w:rPr>
            </w:pPr>
          </w:p>
        </w:tc>
      </w:tr>
      <w:tr>
        <w:trPr>
          <w:trHeight w:val="119"/>
        </w:trPr>
        <w:tc>
          <w:tcPr>
            <w:tcW w:w="82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96,260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190,541</w:t>
            </w:r>
          </w:p>
        </w:tc>
        <w:tc>
          <w:tcPr>
            <w:tcW w:w="0" w:type="dxa"/>
            <w:vAlign w:val="bottom"/>
          </w:tcPr>
          <w:p>
            <w:pPr>
              <w:spacing w:after="0"/>
              <w:rPr>
                <w:sz w:val="1"/>
                <w:szCs w:val="1"/>
                <w:color w:val="auto"/>
              </w:rPr>
            </w:pPr>
          </w:p>
        </w:tc>
      </w:tr>
      <w:tr>
        <w:trPr>
          <w:trHeight w:val="93"/>
        </w:trPr>
        <w:tc>
          <w:tcPr>
            <w:tcW w:w="8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Commitments and contingencies (Note 12)</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Stockholders’ equity (deficit)</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Preferred stock, $0.0001 par value; 20,000,000 shares designated as of September 30, 2025 and December 31, 2024; 0 shares issued and outstanding as of September 30, 2025 and December 31, 2024</w:t>
            </w:r>
          </w:p>
        </w:tc>
        <w:tc>
          <w:tcPr>
            <w:tcW w:w="10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8240" w:type="dxa"/>
            <w:vAlign w:val="bottom"/>
          </w:tcPr>
          <w:p>
            <w:pPr>
              <w:ind w:left="120"/>
              <w:spacing w:after="0" w:line="90" w:lineRule="exact"/>
              <w:rPr>
                <w:sz w:val="20"/>
                <w:szCs w:val="20"/>
                <w:color w:val="auto"/>
              </w:rPr>
            </w:pPr>
            <w:r>
              <w:rPr>
                <w:rFonts w:ascii="Times New Roman" w:cs="Times New Roman" w:eastAsia="Times New Roman" w:hAnsi="Times New Roman"/>
                <w:sz w:val="10"/>
                <w:szCs w:val="10"/>
                <w:color w:val="auto"/>
                <w:w w:val="96"/>
              </w:rPr>
              <w:t>Common stock, $0.0001 par value; 350,000,000 and 250,000,000 shares authorized as of September 30, 2025 and December 31, 2024, respectively; 158,835,303 and 130,027,509 shares issued and outstanding</w:t>
            </w:r>
          </w:p>
        </w:tc>
        <w:tc>
          <w:tcPr>
            <w:tcW w:w="106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29"/>
        </w:trPr>
        <w:tc>
          <w:tcPr>
            <w:tcW w:w="82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as of September 30, 2025 and December 31, 2024, respectively</w:t>
            </w:r>
          </w:p>
        </w:tc>
        <w:tc>
          <w:tcPr>
            <w:tcW w:w="10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697,277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633,333</w:t>
            </w: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Accumulated deficit</w:t>
            </w: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(702,044)</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(686,015)</w:t>
            </w:r>
          </w:p>
        </w:tc>
        <w:tc>
          <w:tcPr>
            <w:tcW w:w="0" w:type="dxa"/>
            <w:vAlign w:val="bottom"/>
          </w:tcPr>
          <w:p>
            <w:pPr>
              <w:spacing w:after="0"/>
              <w:rPr>
                <w:sz w:val="1"/>
                <w:szCs w:val="1"/>
                <w:color w:val="auto"/>
              </w:rPr>
            </w:pPr>
          </w:p>
        </w:tc>
      </w:tr>
      <w:tr>
        <w:trPr>
          <w:trHeight w:val="124"/>
        </w:trPr>
        <w:tc>
          <w:tcPr>
            <w:tcW w:w="82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stockholders’ equity (deficit)</w:t>
            </w:r>
          </w:p>
        </w:tc>
        <w:tc>
          <w:tcPr>
            <w:tcW w:w="10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(4,751)</w:t>
            </w: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(52,669)</w:t>
            </w:r>
          </w:p>
        </w:tc>
        <w:tc>
          <w:tcPr>
            <w:tcW w:w="0" w:type="dxa"/>
            <w:vAlign w:val="bottom"/>
          </w:tcPr>
          <w:p>
            <w:pPr>
              <w:spacing w:after="0"/>
              <w:rPr>
                <w:sz w:val="1"/>
                <w:szCs w:val="1"/>
                <w:color w:val="auto"/>
              </w:rPr>
            </w:pPr>
          </w:p>
        </w:tc>
      </w:tr>
      <w:tr>
        <w:trPr>
          <w:trHeight w:val="130"/>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stockholders’ equity (deficit)</w:t>
            </w:r>
          </w:p>
        </w:tc>
        <w:tc>
          <w:tcPr>
            <w:tcW w:w="10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91,509</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137,872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for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gridSpan w:val="3"/>
          </w:tcPr>
          <w:p>
            <w:pPr>
              <w:jc w:val="right"/>
              <w:ind w:right="683"/>
              <w:spacing w:after="0"/>
              <w:rPr>
                <w:sz w:val="20"/>
                <w:szCs w:val="20"/>
                <w:color w:val="auto"/>
              </w:rPr>
            </w:pPr>
            <w:r>
              <w:rPr>
                <w:rFonts w:ascii="Times New Roman" w:cs="Times New Roman" w:eastAsia="Times New Roman" w:hAnsi="Times New Roman"/>
                <w:sz w:val="10"/>
                <w:szCs w:val="10"/>
                <w:b w:val="1"/>
                <w:bCs w:val="1"/>
                <w:color w:val="auto"/>
              </w:rPr>
              <w:t>For the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For the</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120" w:type="dxa"/>
            <w:vAlign w:val="bottom"/>
          </w:tcPr>
          <w:p>
            <w:pPr>
              <w:spacing w:after="0"/>
              <w:rPr>
                <w:sz w:val="11"/>
                <w:szCs w:val="11"/>
                <w:color w:val="auto"/>
              </w:rPr>
            </w:pPr>
          </w:p>
        </w:tc>
        <w:tc>
          <w:tcPr>
            <w:tcW w:w="240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24"/>
        </w:trPr>
        <w:tc>
          <w:tcPr>
            <w:tcW w:w="51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revenue, net</w:t>
            </w:r>
          </w:p>
        </w:tc>
        <w:tc>
          <w:tcPr>
            <w:tcW w:w="840" w:type="dxa"/>
            <w:vAlign w:val="bottom"/>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80" w:type="dxa"/>
            <w:vAlign w:val="bottom"/>
          </w:tcPr>
          <w:p>
            <w:pPr>
              <w:spacing w:after="0"/>
              <w:rPr>
                <w:sz w:val="13"/>
                <w:szCs w:val="13"/>
                <w:color w:val="auto"/>
              </w:rPr>
            </w:pPr>
          </w:p>
        </w:tc>
        <w:tc>
          <w:tcPr>
            <w:tcW w:w="840" w:type="dxa"/>
            <w:vAlign w:val="bottom"/>
          </w:tcPr>
          <w:p>
            <w:pPr>
              <w:jc w:val="right"/>
              <w:ind w:right="703"/>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10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Contract revenue</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8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goods sold</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22,926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67,943</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7,610</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23,555</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18,367</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25,143</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30,233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78,872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86,310</w:t>
            </w:r>
          </w:p>
        </w:tc>
        <w:tc>
          <w:tcPr>
            <w:tcW w:w="0" w:type="dxa"/>
            <w:vAlign w:val="bottom"/>
          </w:tcPr>
          <w:p>
            <w:pPr>
              <w:spacing w:after="0"/>
              <w:rPr>
                <w:sz w:val="1"/>
                <w:szCs w:val="1"/>
                <w:color w:val="auto"/>
              </w:rPr>
            </w:pPr>
          </w:p>
        </w:tc>
      </w:tr>
      <w:tr>
        <w:trPr>
          <w:trHeight w:val="14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8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(24,390)</w:t>
            </w:r>
          </w:p>
        </w:tc>
        <w:tc>
          <w:tcPr>
            <w:tcW w:w="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(30,233)</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(77,301)</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(86,310)</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3,252</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49,154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(38,653)</w:t>
            </w: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18,191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6,880</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(8,969)</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61,272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(41,451)</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and comprehensive loss</w:t>
            </w: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(17,510)</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(39,202)</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(16,029)</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(127,761)</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attributable to common stockholders, basic and diluted</w:t>
            </w: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95"/>
        </w:trPr>
        <w:tc>
          <w:tcPr>
            <w:tcW w:w="5120" w:type="dxa"/>
            <w:vAlign w:val="bottom"/>
          </w:tcPr>
          <w:p>
            <w:pPr>
              <w:spacing w:after="0" w:line="95" w:lineRule="exact"/>
              <w:rPr>
                <w:sz w:val="20"/>
                <w:szCs w:val="20"/>
                <w:color w:val="auto"/>
              </w:rPr>
            </w:pPr>
            <w:r>
              <w:rPr>
                <w:rFonts w:ascii="Times New Roman" w:cs="Times New Roman" w:eastAsia="Times New Roman" w:hAnsi="Times New Roman"/>
                <w:sz w:val="11"/>
                <w:szCs w:val="11"/>
                <w:color w:val="auto"/>
              </w:rPr>
              <w:t>Weighted-average shares outstanding used in computing net loss per share attributable to common</w:t>
            </w:r>
          </w:p>
        </w:tc>
        <w:tc>
          <w:tcPr>
            <w:tcW w:w="8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158,313,290</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119,408,565</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148,514,044</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115,623,616</w:t>
            </w:r>
          </w:p>
        </w:tc>
        <w:tc>
          <w:tcPr>
            <w:tcW w:w="0" w:type="dxa"/>
            <w:vAlign w:val="bottom"/>
          </w:tcPr>
          <w:p>
            <w:pPr>
              <w:spacing w:after="0"/>
              <w:rPr>
                <w:sz w:val="1"/>
                <w:szCs w:val="1"/>
                <w:color w:val="auto"/>
              </w:rPr>
            </w:pPr>
          </w:p>
        </w:tc>
      </w:tr>
      <w:tr>
        <w:trPr>
          <w:trHeight w:val="144"/>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stockholders, basic and diluted</w:t>
            </w: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Stockholders’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for share amounts)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60" w:type="dxa"/>
            <w:vAlign w:val="bottom"/>
          </w:tcPr>
          <w:p>
            <w:pPr>
              <w:spacing w:after="0"/>
              <w:rPr>
                <w:sz w:val="11"/>
                <w:szCs w:val="11"/>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60" w:type="dxa"/>
            <w:vAlign w:val="bottom"/>
          </w:tcPr>
          <w:p>
            <w:pPr>
              <w:spacing w:after="0"/>
              <w:rPr>
                <w:sz w:val="11"/>
                <w:szCs w:val="11"/>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4"/>
              </w:rPr>
              <w:t>Total Stockholders’</w:t>
            </w:r>
          </w:p>
        </w:tc>
      </w:tr>
      <w:tr>
        <w:trPr>
          <w:trHeight w:val="128"/>
        </w:trPr>
        <w:tc>
          <w:tcPr>
            <w:tcW w:w="4460" w:type="dxa"/>
            <w:vAlign w:val="bottom"/>
          </w:tcPr>
          <w:p>
            <w:pPr>
              <w:spacing w:after="0"/>
              <w:rPr>
                <w:sz w:val="11"/>
                <w:szCs w:val="11"/>
                <w:color w:val="auto"/>
              </w:rPr>
            </w:pP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7"/>
              </w:rPr>
              <w:t>Paid-in Capital</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160" w:type="dxa"/>
            <w:vAlign w:val="bottom"/>
          </w:tcPr>
          <w:p>
            <w:pPr>
              <w:spacing w:after="0"/>
              <w:rPr>
                <w:sz w:val="11"/>
                <w:szCs w:val="11"/>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Equity (Deficit)</w:t>
            </w:r>
          </w:p>
        </w:tc>
      </w:tr>
      <w:tr>
        <w:trPr>
          <w:trHeight w:val="128"/>
        </w:trPr>
        <w:tc>
          <w:tcPr>
            <w:tcW w:w="44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130,027,509</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w:t>
            </w: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633,333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(686,015)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(52,669)</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stock in public offering, net of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25,000,000</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46,657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46,660</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stock under ATM Facility, net of issuance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75,793</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370</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the exercise 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15,514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2,487</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39,139</w:t>
            </w:r>
          </w:p>
        </w:tc>
      </w:tr>
      <w:tr>
        <w:trPr>
          <w:trHeight w:val="130"/>
        </w:trPr>
        <w:tc>
          <w:tcPr>
            <w:tcW w:w="44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155,118,816</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w:t>
            </w: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682,903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(646,876)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36,043</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stock under ATM Facility, net of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1,224,077</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3,233</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2,434</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(37,658)</w:t>
            </w:r>
          </w:p>
        </w:tc>
      </w:tr>
      <w:tr>
        <w:trPr>
          <w:trHeight w:val="130"/>
        </w:trPr>
        <w:tc>
          <w:tcPr>
            <w:tcW w:w="44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June 30,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156,342,893</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w:t>
            </w: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688,570</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(684,534)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4,052</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stock under ATM Facility, net of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2,492,410</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6,197</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2,510</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(17,510)</w:t>
            </w:r>
          </w:p>
        </w:tc>
      </w:tr>
      <w:tr>
        <w:trPr>
          <w:trHeight w:val="13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158,835,303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697,277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(702,044)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(4,751)</w:t>
            </w:r>
          </w:p>
        </w:tc>
      </w:tr>
      <w:tr>
        <w:trPr>
          <w:trHeight w:val="20"/>
        </w:trPr>
        <w:tc>
          <w:tcPr>
            <w:tcW w:w="4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6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4"/>
              </w:rPr>
              <w:t>Total Stockholders’</w:t>
            </w:r>
          </w:p>
        </w:tc>
      </w:tr>
      <w:tr>
        <w:trPr>
          <w:trHeight w:val="129"/>
        </w:trPr>
        <w:tc>
          <w:tcPr>
            <w:tcW w:w="4460" w:type="dxa"/>
            <w:vAlign w:val="bottom"/>
          </w:tcPr>
          <w:p>
            <w:pPr>
              <w:spacing w:after="0"/>
              <w:rPr>
                <w:sz w:val="11"/>
                <w:szCs w:val="11"/>
                <w:color w:val="auto"/>
              </w:rPr>
            </w:pPr>
          </w:p>
        </w:tc>
        <w:tc>
          <w:tcPr>
            <w:tcW w:w="1380" w:type="dxa"/>
            <w:vAlign w:val="bottom"/>
            <w:gridSpan w:val="2"/>
          </w:tcPr>
          <w:p>
            <w:pPr>
              <w:ind w:left="5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7"/>
              </w:rPr>
              <w:t>Paid-in Capital</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160" w:type="dxa"/>
            <w:vAlign w:val="bottom"/>
          </w:tcPr>
          <w:p>
            <w:pPr>
              <w:spacing w:after="0"/>
              <w:rPr>
                <w:sz w:val="11"/>
                <w:szCs w:val="11"/>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28"/>
        </w:trPr>
        <w:tc>
          <w:tcPr>
            <w:tcW w:w="44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103,673,728</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w:t>
            </w: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550,850</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(537,314)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13,546</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Issuance of stock in public offering, net of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15,410,000</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43,044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43,046</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the exercise of 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1,454</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13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(31,896)</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(31,896)</w:t>
            </w:r>
          </w:p>
        </w:tc>
      </w:tr>
      <w:tr>
        <w:trPr>
          <w:trHeight w:val="119"/>
        </w:trPr>
        <w:tc>
          <w:tcPr>
            <w:tcW w:w="446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119,084,353</w:t>
            </w:r>
          </w:p>
        </w:tc>
        <w:tc>
          <w:tcPr>
            <w:tcW w:w="80" w:type="dxa"/>
            <w:vAlign w:val="bottom"/>
          </w:tcPr>
          <w:p>
            <w:pPr>
              <w:spacing w:after="0"/>
              <w:rPr>
                <w:sz w:val="10"/>
                <w:szCs w:val="10"/>
                <w:color w:val="auto"/>
              </w:rPr>
            </w:pPr>
          </w:p>
        </w:tc>
        <w:tc>
          <w:tcPr>
            <w:tcW w:w="920" w:type="dxa"/>
            <w:vAlign w:val="bottom"/>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w:t>
            </w:r>
          </w:p>
        </w:tc>
        <w:tc>
          <w:tcPr>
            <w:tcW w:w="60" w:type="dxa"/>
            <w:vAlign w:val="bottom"/>
          </w:tcPr>
          <w:p>
            <w:pPr>
              <w:spacing w:after="0"/>
              <w:rPr>
                <w:sz w:val="10"/>
                <w:szCs w:val="10"/>
                <w:color w:val="auto"/>
              </w:rPr>
            </w:pP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595,350</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(569,210)</w:t>
            </w:r>
          </w:p>
        </w:tc>
        <w:tc>
          <w:tcPr>
            <w:tcW w:w="8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26,152</w:t>
            </w:r>
          </w:p>
        </w:tc>
      </w:tr>
      <w:tr>
        <w:trPr>
          <w:trHeight w:val="14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the exercise of 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263,335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787</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w:t>
            </w:r>
          </w:p>
        </w:tc>
      </w:tr>
      <w:tr>
        <w:trPr>
          <w:trHeight w:val="13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(56,663)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(56,663)</w:t>
            </w:r>
          </w:p>
        </w:tc>
      </w:tr>
      <w:tr>
        <w:trPr>
          <w:trHeight w:val="162"/>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119,347,688</w:t>
            </w:r>
          </w:p>
        </w:tc>
        <w:tc>
          <w:tcPr>
            <w:tcW w:w="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w:t>
            </w:r>
          </w:p>
        </w:tc>
        <w:tc>
          <w:tcPr>
            <w:tcW w:w="6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597,574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(625,873)</w:t>
            </w: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(28,287)</w:t>
            </w:r>
          </w:p>
        </w:tc>
      </w:tr>
      <w:tr>
        <w:trPr>
          <w:trHeight w:val="124"/>
        </w:trPr>
        <w:tc>
          <w:tcPr>
            <w:tcW w:w="446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Issuance of commitment shares pursuant to Common Stock Purchase Agreement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115,705</w:t>
            </w: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708</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708</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Proceeds from sale of stock under Common Stock Purchase Agreement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200,000</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w:t>
            </w:r>
          </w:p>
        </w:tc>
      </w:tr>
      <w:tr>
        <w:trPr>
          <w:trHeight w:val="14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the exercise of 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179,547</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w:t>
            </w:r>
          </w:p>
        </w:tc>
      </w:tr>
      <w:tr>
        <w:trPr>
          <w:trHeight w:val="129"/>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1,552</w:t>
            </w:r>
          </w:p>
        </w:tc>
      </w:tr>
      <w:tr>
        <w:trPr>
          <w:trHeight w:val="13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13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(39,202)</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(39,202)</w:t>
            </w:r>
          </w:p>
        </w:tc>
      </w:tr>
      <w:tr>
        <w:trPr>
          <w:trHeight w:val="130"/>
        </w:trPr>
        <w:tc>
          <w:tcPr>
            <w:tcW w:w="4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119,842,940</w:t>
            </w: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12</w:t>
            </w:r>
          </w:p>
        </w:tc>
        <w:tc>
          <w:tcPr>
            <w:tcW w:w="60" w:type="dxa"/>
            <w:vAlign w:val="bottom"/>
          </w:tcPr>
          <w:p>
            <w:pPr>
              <w:spacing w:after="0"/>
              <w:rPr>
                <w:sz w:val="11"/>
                <w:szCs w:val="11"/>
                <w:color w:val="auto"/>
              </w:rPr>
            </w:pPr>
          </w:p>
        </w:tc>
        <w:tc>
          <w:tcPr>
            <w:tcW w:w="100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601,342</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(665,075)</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(63,721)</w:t>
            </w: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00" w:type="dxa"/>
            <w:vAlign w:val="bottom"/>
          </w:tcPr>
          <w:p>
            <w:pPr>
              <w:spacing w:after="0"/>
              <w:rPr>
                <w:sz w:val="11"/>
                <w:szCs w:val="11"/>
                <w:color w:val="auto"/>
              </w:rPr>
            </w:pPr>
          </w:p>
        </w:tc>
        <w:tc>
          <w:tcPr>
            <w:tcW w:w="29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For the Nine Months Ended September 30,</w:t>
            </w:r>
          </w:p>
        </w:tc>
        <w:tc>
          <w:tcPr>
            <w:tcW w:w="580" w:type="dxa"/>
            <w:vAlign w:val="bottom"/>
            <w:tcBorders>
              <w:bottom w:val="single" w:sz="8" w:color="auto"/>
            </w:tcBorders>
          </w:tcPr>
          <w:p>
            <w:pPr>
              <w:spacing w:after="0"/>
              <w:rPr>
                <w:sz w:val="11"/>
                <w:szCs w:val="11"/>
                <w:color w:val="auto"/>
              </w:rPr>
            </w:pPr>
          </w:p>
        </w:tc>
      </w:tr>
      <w:tr>
        <w:trPr>
          <w:trHeight w:val="128"/>
        </w:trPr>
        <w:tc>
          <w:tcPr>
            <w:tcW w:w="780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r>
      <w:tr>
        <w:trPr>
          <w:trHeight w:val="120"/>
        </w:trPr>
        <w:tc>
          <w:tcPr>
            <w:tcW w:w="78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9"/>
        </w:trPr>
        <w:tc>
          <w:tcPr>
            <w:tcW w:w="78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160" w:type="dxa"/>
            <w:vAlign w:val="bottom"/>
          </w:tcPr>
          <w:p>
            <w:pPr>
              <w:jc w:val="right"/>
              <w:ind w:right="105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(16,029)</w:t>
            </w:r>
          </w:p>
        </w:tc>
        <w:tc>
          <w:tcPr>
            <w:tcW w:w="80" w:type="dxa"/>
            <w:vAlign w:val="bottom"/>
          </w:tcPr>
          <w:p>
            <w:pPr>
              <w:spacing w:after="0"/>
              <w:rPr>
                <w:sz w:val="11"/>
                <w:szCs w:val="11"/>
                <w:color w:val="auto"/>
              </w:rPr>
            </w:pPr>
          </w:p>
        </w:tc>
        <w:tc>
          <w:tcPr>
            <w:tcW w:w="1140" w:type="dxa"/>
            <w:vAlign w:val="bottom"/>
          </w:tcPr>
          <w:p>
            <w:pPr>
              <w:jc w:val="right"/>
              <w:ind w:right="10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(127,761)</w:t>
            </w:r>
          </w:p>
        </w:tc>
      </w:tr>
      <w:tr>
        <w:trPr>
          <w:trHeight w:val="14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Depreciation expense</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3,987</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3,819</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7,283</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4,443</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Change in fair value of Contingent Earnout Liability</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(49,154)</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38,653</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Non-cash interest expense</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5,606</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Change in fair value of derivatives</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(18,191)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Amortization expense</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1,563</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Non-cash operating lease costs</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29"/>
        </w:trPr>
        <w:tc>
          <w:tcPr>
            <w:tcW w:w="78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Accounts receivable</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(898)</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Inventory</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(18,270)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8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441</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396</w:t>
            </w:r>
          </w:p>
        </w:tc>
      </w:tr>
      <w:tr>
        <w:trPr>
          <w:trHeight w:val="14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Accounts payable</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5,134</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w:t>
            </w:r>
          </w:p>
        </w:tc>
      </w:tr>
      <w:tr>
        <w:trPr>
          <w:trHeight w:val="129"/>
        </w:trPr>
        <w:tc>
          <w:tcPr>
            <w:tcW w:w="78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Accrued expenses</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1,980</w:t>
            </w:r>
          </w:p>
        </w:tc>
      </w:tr>
      <w:tr>
        <w:trPr>
          <w:trHeight w:val="14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Operating lease obligation</w:t>
            </w:r>
          </w:p>
        </w:tc>
        <w:tc>
          <w:tcPr>
            <w:tcW w:w="1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18"/>
        </w:trPr>
        <w:tc>
          <w:tcPr>
            <w:tcW w:w="78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1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(78,918)</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(71,545)</w:t>
            </w:r>
          </w:p>
        </w:tc>
      </w:tr>
      <w:tr>
        <w:trPr>
          <w:trHeight w:val="114"/>
        </w:trPr>
        <w:tc>
          <w:tcPr>
            <w:tcW w:w="78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0"/>
        </w:trPr>
        <w:tc>
          <w:tcPr>
            <w:tcW w:w="78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0"/>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1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(845)</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(1,509)</w:t>
            </w:r>
          </w:p>
        </w:tc>
      </w:tr>
      <w:tr>
        <w:trPr>
          <w:trHeight w:val="118"/>
        </w:trPr>
        <w:tc>
          <w:tcPr>
            <w:tcW w:w="78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1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(845)</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(1,509)</w:t>
            </w:r>
          </w:p>
        </w:tc>
      </w:tr>
      <w:tr>
        <w:trPr>
          <w:trHeight w:val="114"/>
        </w:trPr>
        <w:tc>
          <w:tcPr>
            <w:tcW w:w="78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30"/>
        </w:trPr>
        <w:tc>
          <w:tcPr>
            <w:tcW w:w="78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0"/>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Proceeds from issuance of stock in public offering, net of underwriting fees</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47,000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43,396</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Payments of costs related to public offering</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(340)</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Proceeds from issuance of stock under ATM Facility, net of issuance costs</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Proceeds from sale of stock under Common Stock Purchase Agreement</w:t>
            </w:r>
          </w:p>
        </w:tc>
        <w:tc>
          <w:tcPr>
            <w:tcW w:w="11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Proceeds from the exercise of stock options</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1,284</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Proceeds from JDRF Agreement</w:t>
            </w:r>
          </w:p>
        </w:tc>
        <w:tc>
          <w:tcPr>
            <w:tcW w:w="11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Payments of finance lease principal</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(1,906)</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Payments on revenue interest liability</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Partial call payment under amended Revenue Interest Purchase Agreement</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Proceeds from Revenue Interest Purchase Agreement</w:t>
            </w:r>
          </w:p>
        </w:tc>
        <w:tc>
          <w:tcPr>
            <w:tcW w:w="11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Payments of transaction costs related to Revenue Interest Purchase Agreement</w:t>
            </w:r>
          </w:p>
        </w:tc>
        <w:tc>
          <w:tcPr>
            <w:tcW w:w="1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r>
      <w:tr>
        <w:trPr>
          <w:trHeight w:val="118"/>
        </w:trPr>
        <w:tc>
          <w:tcPr>
            <w:tcW w:w="78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1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4,314</w:t>
            </w:r>
          </w:p>
        </w:tc>
        <w:tc>
          <w:tcPr>
            <w:tcW w:w="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63,177</w:t>
            </w:r>
          </w:p>
        </w:tc>
      </w:tr>
      <w:tr>
        <w:trPr>
          <w:trHeight w:val="114"/>
        </w:trPr>
        <w:tc>
          <w:tcPr>
            <w:tcW w:w="78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9"/>
        </w:trPr>
        <w:tc>
          <w:tcPr>
            <w:tcW w:w="7800" w:type="dxa"/>
            <w:vAlign w:val="bottom"/>
          </w:tcPr>
          <w:p>
            <w:pPr>
              <w:spacing w:after="0"/>
              <w:rPr>
                <w:sz w:val="20"/>
                <w:szCs w:val="20"/>
                <w:color w:val="auto"/>
              </w:rPr>
            </w:pPr>
            <w:r>
              <w:rPr>
                <w:rFonts w:ascii="Times New Roman" w:cs="Times New Roman" w:eastAsia="Times New Roman" w:hAnsi="Times New Roman"/>
                <w:sz w:val="10"/>
                <w:szCs w:val="10"/>
                <w:color w:val="auto"/>
              </w:rPr>
              <w:t>Net decrease in cash, cash equivalents and restricted cash</w:t>
            </w:r>
          </w:p>
        </w:tc>
        <w:tc>
          <w:tcPr>
            <w:tcW w:w="1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(75,449)</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(9,877)</w:t>
            </w:r>
          </w:p>
        </w:tc>
      </w:tr>
      <w:tr>
        <w:trPr>
          <w:trHeight w:val="135"/>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cash equivalents and restricted cash at the beginning of the period</w:t>
            </w:r>
          </w:p>
        </w:tc>
        <w:tc>
          <w:tcPr>
            <w:tcW w:w="1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95,290</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80,801</w:t>
            </w:r>
          </w:p>
        </w:tc>
      </w:tr>
      <w:tr>
        <w:trPr>
          <w:trHeight w:val="146"/>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at the end of the period</w:t>
            </w:r>
          </w:p>
        </w:tc>
        <w:tc>
          <w:tcPr>
            <w:tcW w:w="116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19,841</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70,924</w:t>
            </w:r>
          </w:p>
        </w:tc>
      </w:tr>
      <w:tr>
        <w:trPr>
          <w:trHeight w:val="126"/>
        </w:trPr>
        <w:tc>
          <w:tcPr>
            <w:tcW w:w="7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30"/>
        </w:trPr>
        <w:tc>
          <w:tcPr>
            <w:tcW w:w="78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activities:</w:t>
            </w: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0"/>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Increase in right-of-use assets and lease liabilities</w:t>
            </w:r>
          </w:p>
        </w:tc>
        <w:tc>
          <w:tcPr>
            <w:tcW w:w="116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14,965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8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Debt discount from embedded contingent derivative liability</w:t>
            </w:r>
          </w:p>
        </w:tc>
        <w:tc>
          <w:tcPr>
            <w:tcW w:w="1160" w:type="dxa"/>
            <w:vAlign w:val="bottom"/>
          </w:tcPr>
          <w:p>
            <w:pPr>
              <w:jc w:val="right"/>
              <w:ind w:right="10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10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1,552</w:t>
            </w:r>
          </w:p>
        </w:tc>
      </w:tr>
      <w:tr>
        <w:trPr>
          <w:trHeight w:val="141"/>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Issuance of commitment shares pursuant to Common Stock Purchase Agreement</w:t>
            </w:r>
          </w:p>
        </w:tc>
        <w:tc>
          <w:tcPr>
            <w:tcW w:w="116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708</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 w:right="9000" w:hanging="8"/>
        <w:spacing w:after="0" w:line="465" w:lineRule="auto"/>
        <w:tabs>
          <w:tab w:leader="none" w:pos="12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Organization and Description of Business Organization</w:t>
      </w:r>
    </w:p>
    <w:p>
      <w:pPr>
        <w:ind w:left="8" w:right="20" w:firstLine="216"/>
        <w:spacing w:after="0" w:line="265" w:lineRule="auto"/>
        <w:rPr>
          <w:sz w:val="20"/>
          <w:szCs w:val="20"/>
          <w:color w:val="auto"/>
        </w:rPr>
      </w:pPr>
      <w:r>
        <w:rPr>
          <w:rFonts w:ascii="Times New Roman" w:cs="Times New Roman" w:eastAsia="Times New Roman" w:hAnsi="Times New Roman"/>
          <w:sz w:val="12"/>
          <w:szCs w:val="12"/>
          <w:color w:val="auto"/>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127" w:lineRule="exact"/>
        <w:rPr>
          <w:sz w:val="20"/>
          <w:szCs w:val="20"/>
          <w:color w:val="auto"/>
        </w:rPr>
      </w:pPr>
    </w:p>
    <w:p>
      <w:pPr>
        <w:ind w:left="8" w:right="100" w:firstLine="216"/>
        <w:spacing w:after="0" w:line="256" w:lineRule="auto"/>
        <w:rPr>
          <w:sz w:val="20"/>
          <w:szCs w:val="20"/>
          <w:color w:val="auto"/>
        </w:rPr>
      </w:pPr>
      <w:r>
        <w:rPr>
          <w:rFonts w:ascii="Times New Roman" w:cs="Times New Roman" w:eastAsia="Times New Roman" w:hAnsi="Times New Roman"/>
          <w:sz w:val="12"/>
          <w:szCs w:val="12"/>
          <w:color w:val="auto"/>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described below, borrowings under loan facilities, proceeds from a revenue interest purchase agreement and, to a lesser extent, through governmental and other grants. At September 30, 2025 and December 31, 2024, the Company had an accumulated deficit of $702.0 million and $686.0 million, respectively. The Company’s operating losses were $77.3 million and $86.3 million for the nine months ended September 30, 2025 and 2024, respectively. Net cash flows used in operating activities were $78.9 million and $71.5 million during the nine months ended September 30, 2025 and 2024, respectively. Substantially all of the Company’s operating losses resulted from costs incurred in connection with the Company’s research and development programs and from general and administrative costs associated with the Company’s commercial launch and other operations. The Company expects to incur substantial operating losses and negative cash flows from operations for the foreseeable future as the Company advances its product candidates and commercial operations.</w:t>
      </w:r>
    </w:p>
    <w:p>
      <w:pPr>
        <w:spacing w:after="0" w:line="107" w:lineRule="exact"/>
        <w:rPr>
          <w:sz w:val="20"/>
          <w:szCs w:val="20"/>
          <w:color w:val="auto"/>
        </w:rPr>
      </w:pPr>
    </w:p>
    <w:p>
      <w:pPr>
        <w:ind w:left="8" w:right="140" w:firstLine="216"/>
        <w:spacing w:after="0" w:line="260" w:lineRule="auto"/>
        <w:rPr>
          <w:sz w:val="20"/>
          <w:szCs w:val="20"/>
          <w:color w:val="auto"/>
        </w:rPr>
      </w:pPr>
      <w:r>
        <w:rPr>
          <w:rFonts w:ascii="Times New Roman" w:cs="Times New Roman" w:eastAsia="Times New Roman" w:hAnsi="Times New Roman"/>
          <w:sz w:val="12"/>
          <w:szCs w:val="12"/>
          <w:color w:val="auto"/>
        </w:rPr>
        <w:t>As further disclosed in Note 7, on May 12, 2023, Humacyte, Inc. and Global (defined in Note 2 — Summary of Significant Accounting Policies)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As of September 30, 2025, $20.7 million was recorded as a revenue interest liability on the condensed consolidated balance sheets.</w:t>
      </w:r>
    </w:p>
    <w:p>
      <w:pPr>
        <w:spacing w:after="0" w:line="95" w:lineRule="exact"/>
        <w:rPr>
          <w:sz w:val="20"/>
          <w:szCs w:val="20"/>
          <w:color w:val="auto"/>
        </w:rPr>
      </w:pPr>
    </w:p>
    <w:p>
      <w:pPr>
        <w:ind w:left="8" w:right="40" w:firstLine="216"/>
        <w:spacing w:after="0" w:line="256" w:lineRule="auto"/>
        <w:rPr>
          <w:sz w:val="20"/>
          <w:szCs w:val="20"/>
          <w:color w:val="auto"/>
        </w:rPr>
      </w:pPr>
      <w:r>
        <w:rPr>
          <w:rFonts w:ascii="Times New Roman" w:cs="Times New Roman" w:eastAsia="Times New Roman" w:hAnsi="Times New Roman"/>
          <w:sz w:val="12"/>
          <w:szCs w:val="12"/>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to remove requirements related to the leasehold mortgage. In exchange for removing this requirement, the Company agreed to fund an account in the amount of $54.0 million, over which the Agent has certain consent and other rights to $50.0 million of the funds. The Company funded an account with the required $54.0 million on August 14, 2024.</w:t>
      </w:r>
    </w:p>
    <w:p>
      <w:pPr>
        <w:spacing w:after="0" w:line="98" w:lineRule="exact"/>
        <w:rPr>
          <w:sz w:val="20"/>
          <w:szCs w:val="20"/>
          <w:color w:val="auto"/>
        </w:rPr>
      </w:pPr>
    </w:p>
    <w:p>
      <w:pPr>
        <w:ind w:left="8" w:firstLine="216"/>
        <w:spacing w:after="0" w:line="257" w:lineRule="auto"/>
        <w:rPr>
          <w:sz w:val="20"/>
          <w:szCs w:val="20"/>
          <w:color w:val="auto"/>
        </w:rPr>
      </w:pPr>
      <w:r>
        <w:rPr>
          <w:rFonts w:ascii="Times New Roman" w:cs="Times New Roman" w:eastAsia="Times New Roman" w:hAnsi="Times New Roman"/>
          <w:sz w:val="12"/>
          <w:szCs w:val="12"/>
          <w:color w:val="auto"/>
        </w:rPr>
        <w:t>On September 17, 2025, Humacyte, Inc. and Global entered into a second amendment to the Purchase Agreement (the “Purchase Agreement Amendment”) with the Purchasers and the Agent to amend the Purchase Agreement. In connection with the Purchase Agreement Amendment, the Company made a $50.0 million repayment under the Purchase Agreement (the “Purchase Agreement Amendment Payment”), funded from the restricted cash previously maintained for the benefit of the Agent. As a result of the Purchase Agreement Amendment Payment, the Company is no longer obligated to maintain $50.0 million of restricted cash in an account for the benefit of the Agent unless the Purchase Agreement has not been repaid in full by December 31, 2025, at which point the Company will be required to maintain $12.5 million in such account. As of September 30, 2025, no restricted cash related to the Purchase Agreement remains on the accompanying condensed consolidated balance sheets.</w:t>
      </w:r>
    </w:p>
    <w:p>
      <w:pPr>
        <w:spacing w:after="0" w:line="37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390" w:right="35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 w:right="20" w:firstLine="216"/>
        <w:spacing w:after="0" w:line="257" w:lineRule="auto"/>
        <w:rPr>
          <w:sz w:val="20"/>
          <w:szCs w:val="20"/>
          <w:color w:val="auto"/>
        </w:rPr>
      </w:pPr>
      <w:r>
        <w:rPr>
          <w:rFonts w:ascii="Times New Roman" w:cs="Times New Roman" w:eastAsia="Times New Roman" w:hAnsi="Times New Roman"/>
          <w:sz w:val="12"/>
          <w:szCs w:val="12"/>
          <w:color w:val="auto"/>
        </w:rPr>
        <w:t>As further disclosed in Note 9, 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The Company controls the timing and amount of any sales of Purchase Shares to Lincoln Park pursuant to the Common Stock Purchase Agreement in its sole discretion. As of September 30, 2025, the Company had $47.5 million in remaining availability for sales of Common Stock under the Common Stock Purchase Agreement.</w:t>
      </w:r>
    </w:p>
    <w:p>
      <w:pPr>
        <w:spacing w:after="0" w:line="98" w:lineRule="exact"/>
        <w:rPr>
          <w:sz w:val="20"/>
          <w:szCs w:val="20"/>
          <w:color w:val="auto"/>
        </w:rPr>
      </w:pPr>
    </w:p>
    <w:p>
      <w:pPr>
        <w:ind w:left="8" w:right="80" w:firstLine="216"/>
        <w:spacing w:after="0" w:line="279" w:lineRule="auto"/>
        <w:rPr>
          <w:sz w:val="20"/>
          <w:szCs w:val="20"/>
          <w:color w:val="auto"/>
        </w:rPr>
      </w:pPr>
      <w:r>
        <w:rPr>
          <w:rFonts w:ascii="Times New Roman" w:cs="Times New Roman" w:eastAsia="Times New Roman" w:hAnsi="Times New Roman"/>
          <w:sz w:val="12"/>
          <w:szCs w:val="12"/>
          <w:color w:val="auto"/>
        </w:rPr>
        <w:t>As further disclosed in Note 9, o</w:t>
      </w:r>
      <w:r>
        <w:rPr>
          <w:rFonts w:ascii="Times New Roman" w:cs="Times New Roman" w:eastAsia="Times New Roman" w:hAnsi="Times New Roman"/>
          <w:sz w:val="12"/>
          <w:szCs w:val="12"/>
          <w:color w:val="231F20"/>
        </w:rPr>
        <w:t>n September 1, 2022, the Company entered into an agreement with Jefferies LLC for the sale from time to time of up to</w:t>
      </w:r>
      <w:r>
        <w:rPr>
          <w:rFonts w:ascii="Times New Roman" w:cs="Times New Roman" w:eastAsia="Times New Roman" w:hAnsi="Times New Roman"/>
          <w:sz w:val="12"/>
          <w:szCs w:val="12"/>
          <w:color w:val="auto"/>
        </w:rPr>
        <w:t xml:space="preserve"> $80.0 million </w:t>
      </w:r>
      <w:r>
        <w:rPr>
          <w:rFonts w:ascii="Times New Roman" w:cs="Times New Roman" w:eastAsia="Times New Roman" w:hAnsi="Times New Roman"/>
          <w:sz w:val="12"/>
          <w:szCs w:val="12"/>
          <w:color w:val="231F20"/>
        </w:rPr>
        <w:t>of shares of Common Stock pursuant to a sales agreement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“ATM Facility”). As of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$62.7 million</w:t>
      </w:r>
      <w:r>
        <w:rPr>
          <w:rFonts w:ascii="Times New Roman" w:cs="Times New Roman" w:eastAsia="Times New Roman" w:hAnsi="Times New Roman"/>
          <w:sz w:val="12"/>
          <w:szCs w:val="12"/>
          <w:color w:val="231F20"/>
        </w:rPr>
        <w:t xml:space="preserve"> remained available under the ATM Facility.</w:t>
      </w:r>
    </w:p>
    <w:p>
      <w:pPr>
        <w:spacing w:after="0" w:line="93" w:lineRule="exact"/>
        <w:rPr>
          <w:sz w:val="20"/>
          <w:szCs w:val="20"/>
          <w:color w:val="auto"/>
        </w:rPr>
      </w:pPr>
    </w:p>
    <w:p>
      <w:pPr>
        <w:ind w:left="8" w:firstLine="216"/>
        <w:spacing w:after="0" w:line="255" w:lineRule="auto"/>
        <w:rPr>
          <w:sz w:val="20"/>
          <w:szCs w:val="20"/>
          <w:color w:val="auto"/>
        </w:rPr>
      </w:pPr>
      <w:r>
        <w:rPr>
          <w:rFonts w:ascii="Times New Roman" w:cs="Times New Roman" w:eastAsia="Times New Roman" w:hAnsi="Times New Roman"/>
          <w:sz w:val="12"/>
          <w:szCs w:val="12"/>
          <w:color w:val="auto"/>
        </w:rPr>
        <w:t>As of September 30, 2025, the Company had available cash and cash equivalents of $19.5 million. As further disclosed in Note 12, on April 28, 2025, the Company implemented a cost reduction action to reduce its workforce by 30 employees, cease recruitment of additional planned new hires, and reduce other operating expenses. The Company undertook these cost reductions to improve its cash runway and to better align the Company’s organizational structure with its top business objectives. The Company believes its cash and cash equivalents on hand and existing capacity under its Common Stock Purchase Agreement will be sufficient to fund operations for at least twelve months from the issuance date of these interim financial statements. The future viability of the Company beyond that point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the Company is unable to raise capital, it could be forced to delay, reduce, suspend or cease certain of its planned research and development programs or any future commercialization efforts, which would have a negative impact on its business, prospects, operating results and financial condition.</w:t>
      </w:r>
    </w:p>
    <w:p>
      <w:pPr>
        <w:spacing w:after="0" w:line="95" w:lineRule="exact"/>
        <w:rPr>
          <w:sz w:val="20"/>
          <w:szCs w:val="20"/>
          <w:color w:val="auto"/>
        </w:rPr>
      </w:pPr>
    </w:p>
    <w:p>
      <w:pPr>
        <w:ind w:left="8" w:right="8940" w:hanging="8"/>
        <w:spacing w:after="0" w:line="465" w:lineRule="auto"/>
        <w:tabs>
          <w:tab w:leader="none" w:pos="1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Basis of Presentation</w:t>
      </w:r>
    </w:p>
    <w:p>
      <w:pPr>
        <w:ind w:left="8" w:right="180" w:firstLine="216"/>
        <w:spacing w:after="0" w:line="279" w:lineRule="auto"/>
        <w:rPr>
          <w:sz w:val="20"/>
          <w:szCs w:val="20"/>
          <w:color w:val="auto"/>
        </w:rPr>
      </w:pPr>
      <w:r>
        <w:rPr>
          <w:rFonts w:ascii="Times New Roman" w:cs="Times New Roman" w:eastAsia="Times New Roman" w:hAnsi="Times New Roman"/>
          <w:sz w:val="12"/>
          <w:szCs w:val="12"/>
          <w:color w:val="auto"/>
        </w:rPr>
        <w:t>The Company has prepared the accompanying financial statements in conformity with accounting principles generally accepted in the United States of America (“U.S. GAAP”). The Company’s condensed consolidated financial statements reflect the operations of the Company and its wholly owned subsidiaries. All intercompany accounts and transactions have been eliminated in consolidation.</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Reverse Recapitalization</w:t>
      </w:r>
    </w:p>
    <w:p>
      <w:pPr>
        <w:spacing w:after="0" w:line="172" w:lineRule="exact"/>
        <w:rPr>
          <w:sz w:val="20"/>
          <w:szCs w:val="20"/>
          <w:color w:val="auto"/>
        </w:rPr>
      </w:pPr>
    </w:p>
    <w:p>
      <w:pPr>
        <w:ind w:left="8" w:right="140" w:firstLine="216"/>
        <w:spacing w:after="0" w:line="265" w:lineRule="auto"/>
        <w:rPr>
          <w:sz w:val="20"/>
          <w:szCs w:val="20"/>
          <w:color w:val="auto"/>
        </w:rPr>
      </w:pPr>
      <w:r>
        <w:rPr>
          <w:rFonts w:ascii="Times New Roman" w:cs="Times New Roman" w:eastAsia="Times New Roman" w:hAnsi="Times New Roman"/>
          <w:sz w:val="12"/>
          <w:szCs w:val="12"/>
          <w:color w:val="auto"/>
        </w:rPr>
        <w:t>On August 26, 2021 (the “Closing Date”), Hunter Merger Sub, Inc. (“Merger Sub”), a wholly owned subsidiary of Alpha Healthcare Acquisition Corp. (“AHAC”) merged with Humacyte, Inc. (“Legacy Humacyte”), with Legacy Humacyte continuing as the surviving corporation and as a wholly-owned subsidiary of AHAC (the “Merger”). The Merger was accounted for as a reverse recapitalization in accordance with U.S. GAAP. As a result of the Merger, AHAC changed its name to Humacyte, Inc. and Legacy Humacyte changed its name to Humacyte Global, Inc. (“Global”).</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36" w:lineRule="exact"/>
        <w:rPr>
          <w:sz w:val="20"/>
          <w:szCs w:val="20"/>
          <w:color w:val="auto"/>
        </w:rPr>
      </w:pPr>
    </w:p>
    <w:p>
      <w:pPr>
        <w:ind w:left="8" w:firstLine="216"/>
        <w:spacing w:after="0" w:line="260"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Interim Condensed Consolidated Financial Statements</w:t>
      </w:r>
    </w:p>
    <w:p>
      <w:pPr>
        <w:spacing w:after="0" w:line="12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September 30, 2025 and its results of operations for the three and nine months ended September 30, 2025 and 2024, and cash flows for the nine months ended September 30, 2025 and 2024. The results of operations for the three and nine months ended September 30, 2025 are not necessarily indicative of the results to be expected for the year ending December 31, 2025 or any other period. The December 31, 2024 year-end condensed consolidated balance sheet was derived from audited annual financial statements but does not include all disclosures from the annual financial statements.</w:t>
      </w:r>
    </w:p>
    <w:p>
      <w:pPr>
        <w:spacing w:after="0" w:line="10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2024 and the related notes included in the Company’s Annual Report on Form 10-K, filed with the SEC on March 31, 2025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2024 and 2023 included in the Company’s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Reclassifications</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Certain amounts from prior periods have been reclassified to conform to the current period’s presentation. None of these reclassifications had a material impact on the Company’s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Segments</w:t>
      </w:r>
    </w:p>
    <w:p>
      <w:pPr>
        <w:spacing w:after="0" w:line="127"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231F20"/>
        </w:rPr>
        <w:t xml:space="preserve">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condensed consolidated statements of operations. The measure of segment assets provided to and reviewed by the CODM is reported on the condensed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w:t>
      </w:r>
      <w:r>
        <w:rPr>
          <w:rFonts w:ascii="Times New Roman" w:cs="Times New Roman" w:eastAsia="Times New Roman" w:hAnsi="Times New Roman"/>
          <w:sz w:val="12"/>
          <w:szCs w:val="12"/>
          <w:color w:val="000000"/>
        </w:rPr>
        <w:t>one</w:t>
      </w:r>
      <w:r>
        <w:rPr>
          <w:rFonts w:ascii="Times New Roman" w:cs="Times New Roman" w:eastAsia="Times New Roman" w:hAnsi="Times New Roman"/>
          <w:sz w:val="12"/>
          <w:szCs w:val="12"/>
          <w:color w:val="231F20"/>
        </w:rPr>
        <w:t xml:space="preserve"> reportable and operating segment.</w:t>
      </w:r>
    </w:p>
    <w:p>
      <w:pPr>
        <w:spacing w:after="0" w:line="98"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 xml:space="preserve">As a single reportable segment entity, the Company’s segment performance measure is </w:t>
      </w:r>
      <w:r>
        <w:rPr>
          <w:rFonts w:ascii="Times New Roman" w:cs="Times New Roman" w:eastAsia="Times New Roman" w:hAnsi="Times New Roman"/>
          <w:sz w:val="12"/>
          <w:szCs w:val="12"/>
          <w:color w:val="231F20"/>
        </w:rPr>
        <w:t>consolidated net loss. Consolidated net loss is used to monitor the budget versus actual results and to help make key operating decisions such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as the allocation of budget between research and development and selling, general and administrative expenses. Significant segment expenses within net income (loss) include cost of goods sold, research and development and selling, general and administrative expenses, which are each separately presented on the Company’s condensed consolidated statements of operations. Other segment items within net income (loss) include interest income, interest expense, the change in fair value of the Company’s Contingent Earnout Liability and the change in fair value of derivatives.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Additional disaggregated significant segment expenses that are not separately presented on the Company’s condensed consolidated statements of operations are presented below.</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60" w:type="dxa"/>
            <w:vAlign w:val="bottom"/>
          </w:tcPr>
          <w:p>
            <w:pPr>
              <w:spacing w:after="0"/>
              <w:rPr>
                <w:sz w:val="11"/>
                <w:szCs w:val="11"/>
                <w:color w:val="auto"/>
              </w:rPr>
            </w:pPr>
          </w:p>
        </w:tc>
        <w:tc>
          <w:tcPr>
            <w:tcW w:w="2720" w:type="dxa"/>
            <w:vAlign w:val="bottom"/>
            <w:gridSpan w:val="4"/>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30"/>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Direct Expenses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5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Vascular Trauma</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1,904</w:t>
            </w:r>
          </w:p>
        </w:tc>
      </w:tr>
      <w:tr>
        <w:trPr>
          <w:trHeight w:val="153"/>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 Access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1,927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4,356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4,952</w:t>
            </w:r>
          </w:p>
        </w:tc>
      </w:tr>
      <w:tr>
        <w:trPr>
          <w:trHeight w:val="153"/>
        </w:trPr>
        <w:tc>
          <w:tcPr>
            <w:tcW w:w="5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PAD</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161</w:t>
            </w:r>
          </w:p>
        </w:tc>
      </w:tr>
      <w:tr>
        <w:trPr>
          <w:trHeight w:val="142"/>
        </w:trPr>
        <w:tc>
          <w:tcPr>
            <w:tcW w:w="5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2,388</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5,046</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7,017</w:t>
            </w:r>
          </w:p>
        </w:tc>
      </w:tr>
      <w:tr>
        <w:trPr>
          <w:trHeight w:val="153"/>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Unallocated Expenses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External services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4,466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5,340</w:t>
            </w:r>
          </w:p>
        </w:tc>
      </w:tr>
      <w:tr>
        <w:trPr>
          <w:trHeight w:val="153"/>
        </w:trPr>
        <w:tc>
          <w:tcPr>
            <w:tcW w:w="5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Materials and supplies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5,451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17,470</w:t>
            </w:r>
          </w:p>
        </w:tc>
      </w:tr>
      <w:tr>
        <w:trPr>
          <w:trHeight w:val="153"/>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Payroll and personnel expenses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9,621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26,948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27,763</w:t>
            </w:r>
          </w:p>
        </w:tc>
      </w:tr>
      <w:tr>
        <w:trPr>
          <w:trHeight w:val="153"/>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research and development expenses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3,551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4,948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10,353</w:t>
            </w:r>
          </w:p>
        </w:tc>
      </w:tr>
      <w:tr>
        <w:trPr>
          <w:trHeight w:val="142"/>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15,383</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20,538</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49,651</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60,926</w:t>
            </w:r>
          </w:p>
        </w:tc>
      </w:tr>
      <w:tr>
        <w:trPr>
          <w:trHeight w:val="142"/>
        </w:trPr>
        <w:tc>
          <w:tcPr>
            <w:tcW w:w="5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research and development expenses</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17,273</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22,926</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54,697</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67,943</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231F20"/>
        </w:rPr>
        <w:t>Direct expenses for the Company’s vascular trauma, arteriovenous (“AV”) access for hemodialysis and peripheral artery disease (“PAD”) indications include costs related to the Company’s clinical trials, including fees paid to clinical research organizations (“CROs”), consultants, clinical sites and investigators. Costs related to development activities which broadly support multiple programs using the Company’s technology platform, including personnel, materials and supplies cost prior to inventory capitalization,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 manufacturing analytics and preclinical research and development for prospective product candidates and new technologies.</w:t>
      </w:r>
    </w:p>
    <w:p>
      <w:pPr>
        <w:spacing w:after="0" w:line="1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Non-cash Operating Expenses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680" w:type="dxa"/>
            <w:vAlign w:val="bottom"/>
          </w:tcPr>
          <w:p>
            <w:pPr>
              <w:spacing w:after="0"/>
              <w:rPr>
                <w:sz w:val="11"/>
                <w:szCs w:val="11"/>
                <w:color w:val="auto"/>
              </w:rPr>
            </w:pPr>
          </w:p>
        </w:tc>
        <w:tc>
          <w:tcPr>
            <w:tcW w:w="268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Nine Months Ended September 30,</w:t>
            </w:r>
          </w:p>
        </w:tc>
        <w:tc>
          <w:tcPr>
            <w:tcW w:w="960" w:type="dxa"/>
            <w:vAlign w:val="bottom"/>
            <w:tcBorders>
              <w:bottom w:val="single" w:sz="8" w:color="auto"/>
            </w:tcBorders>
          </w:tcPr>
          <w:p>
            <w:pPr>
              <w:spacing w:after="0"/>
              <w:rPr>
                <w:sz w:val="11"/>
                <w:szCs w:val="11"/>
                <w:color w:val="auto"/>
              </w:rPr>
            </w:pPr>
          </w:p>
        </w:tc>
      </w:tr>
      <w:tr>
        <w:trPr>
          <w:trHeight w:val="13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0"/>
                <w:szCs w:val="10"/>
                <w:b w:val="1"/>
                <w:bCs w:val="1"/>
                <w:color w:val="auto"/>
                <w:w w:val="89"/>
              </w:rPr>
              <w:t>2024</w:t>
            </w:r>
          </w:p>
        </w:tc>
      </w:tr>
      <w:tr>
        <w:trPr>
          <w:trHeight w:val="14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expense</w:t>
            </w:r>
          </w:p>
        </w:tc>
        <w:tc>
          <w:tcPr>
            <w:tcW w:w="10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3,819</w:t>
            </w: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4,443</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Inventory</w:t>
      </w:r>
    </w:p>
    <w:p>
      <w:pPr>
        <w:spacing w:after="0" w:line="12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income (loss) in the period incurred. The determination to capitalize inventory costs is based on various factors, including the product’s historical shelf life, the product’s current status in the development and regulatory approval process, results from related clinical trials, results from meetings with relevant regulatory agencies, potential obstacles to the approval process and viability of commercialization and market trends.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In early 2025, based on the Company’s assessment of the legal and regulatory process related to Symvess, the Company concluded that it met the criteria to capitalize expenditures as inventory. The Company capitalized $18.4 million of inventory as of September 30, 2025 and none as of December 31, 2024. Inventory is stated at the lower of cost or net realizable value. The Company’s inventory is valued under the first in, first out method. The Company does not have an allowance for inventory obsolescence as of September 30, 2025. Cost of goods sold was $0.3 million and $0.6 million for the three and nine months ended September 30, 2025, respectively, and includes overhead related to unused production capacity, which was recorded as an expense during the period, as well as royalty expense related to the Company’s product sales. There was no cost of goods sold recognized during the three and nine months ended September 30,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Revenue Recognition</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231F20"/>
        </w:rPr>
        <w:t>Revenue from Customers</w:t>
      </w:r>
    </w:p>
    <w:p>
      <w:pPr>
        <w:spacing w:after="0" w:line="12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231F20"/>
        </w:rPr>
        <w:t>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In addition, ASC 606 requires disclosure of the nature, amount, timing, and uncertainty of revenue and cash flows arising from contracts with customers.</w:t>
      </w:r>
    </w:p>
    <w:p>
      <w:pPr>
        <w:spacing w:after="0" w:line="132"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Product Revenue</w:t>
      </w:r>
    </w:p>
    <w:p>
      <w:pPr>
        <w:spacing w:after="0" w:line="12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Company’s current source of product revenue has been from U.S. sales of Symvess. The Company recognizes product revenue upon delivery of Symvess to the customer. Revenue is recognized based on the price stated in the approved contract or purchase order. There are no contractual rights of returns and replacements for damaged products are provided free of charge. Accounts receivable related to product sales was approximately $0.4 million as of September 30, 2025.</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Contract Revenue</w:t>
      </w:r>
    </w:p>
    <w:p>
      <w:pPr>
        <w:spacing w:after="0" w:line="125"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income (loss).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was approximately $0.1 million and $0.2 million as of September 30, 2025 and December 31, 2024, respectively.</w:t>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39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Concentration of Credit Risk</w:t>
      </w:r>
    </w:p>
    <w:p>
      <w:pPr>
        <w:spacing w:after="0" w:line="12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Financial instruments which potentially subject the Company to concentrations of credit risk consist principally of cash and cash equivalents, including amounts classified as restricted cash. Total cash balances exceeded insured balances by the Federal Deposit Insurance Corporation as of September 30, 2025 and December 31, 2024.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believes that credit risks associated with its customers and contractual partners are not significant and has not recorded an allowance for credit loss as of September 30,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Cash</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classifies as restricted cash all cash pledged as collateral to secure long-term obligations and all cash whose use is otherwise limited by contractual provisions. As of September 30, 2025 and December 31,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$0.2 million in funds maintained in a separate deposit account to secure a letter of credit for the benefit of the lessor of the Company’s headquarters lease, and $0.1 million in cash balances held as collateral for the Company’s employee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credit card program.</w:t>
      </w:r>
    </w:p>
    <w:p>
      <w:pPr>
        <w:spacing w:after="0" w:line="11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As of December 31, 2024, restricted cash consisted of $50.0 million maintained in an account that was not subject to the Company’s unilateral control, in accordance with the amended Purchase Agreement. On September 17, 2025, Humacyte, Inc. and Global entered into the Purchase Agreement Amendment with the Purchasers and the Agent to further amend the Purchase Agreement. In connection with the Purchase Agreement Amendment, the Company made the Purchase Agreement Amendment Payment of $50.0 million, funded from the restricted cash previously maintained for the benefit of the Agent. As a result of the Purchase Agreement Amendment Payment, the Company is no longer obligated to maintain $50.0 million of restricted cash in an account for the benefit of the Agent unless the Purchase Agreement has not been repaid in full by December 31, 2025, at which point the Company will be required to maintain $12.5 million in such account. As of September 30, 2025, no restricted cash related to the Purchase Agreement remains on the accompanying condensed consolidated balance sheets.</w:t>
      </w:r>
    </w:p>
    <w:p>
      <w:pPr>
        <w:spacing w:after="0" w:line="107"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provides a reconciliation of cash, cash equivalents and restricted cash reported within the condensed consolidated balance sheets to the total of the amounts shown in the condensed consolidated statements of cash flows as of September 30, 2025 and December 31,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240" w:type="dxa"/>
            <w:vAlign w:val="bottom"/>
            <w:gridSpan w:val="2"/>
            <w:vMerge w:val="continue"/>
          </w:tcPr>
          <w:p>
            <w:pPr>
              <w:spacing w:after="0"/>
              <w:rPr>
                <w:sz w:val="11"/>
                <w:szCs w:val="11"/>
                <w:color w:val="auto"/>
              </w:rPr>
            </w:pPr>
          </w:p>
        </w:tc>
        <w:tc>
          <w:tcPr>
            <w:tcW w:w="10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65"/>
        </w:trPr>
        <w:tc>
          <w:tcPr>
            <w:tcW w:w="8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8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44,937</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Restricted cash included in prepaid expenses and other current assets</w:t>
            </w:r>
          </w:p>
        </w:tc>
        <w:tc>
          <w:tcPr>
            <w:tcW w:w="10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 included in long-term assets</w:t>
            </w:r>
          </w:p>
        </w:tc>
        <w:tc>
          <w:tcPr>
            <w:tcW w:w="10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50,209</w:t>
            </w:r>
          </w:p>
        </w:tc>
        <w:tc>
          <w:tcPr>
            <w:tcW w:w="0" w:type="dxa"/>
            <w:vAlign w:val="bottom"/>
          </w:tcPr>
          <w:p>
            <w:pPr>
              <w:spacing w:after="0"/>
              <w:rPr>
                <w:sz w:val="1"/>
                <w:szCs w:val="1"/>
                <w:color w:val="auto"/>
              </w:rPr>
            </w:pPr>
          </w:p>
        </w:tc>
      </w:tr>
      <w:tr>
        <w:trPr>
          <w:trHeight w:val="142"/>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cash, cash equivalents and restricted cash</w:t>
            </w:r>
          </w:p>
        </w:tc>
        <w:tc>
          <w:tcPr>
            <w:tcW w:w="1080" w:type="dxa"/>
            <w:vAlign w:val="bottom"/>
            <w:tcBorders>
              <w:bottom w:val="single" w:sz="8" w:color="auto"/>
            </w:tcBorders>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19,841</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95,290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Leases</w:t>
      </w:r>
    </w:p>
    <w:p>
      <w:pPr>
        <w:spacing w:after="0" w:line="136" w:lineRule="exact"/>
        <w:rPr>
          <w:sz w:val="20"/>
          <w:szCs w:val="20"/>
          <w:color w:val="auto"/>
        </w:rPr>
      </w:pPr>
    </w:p>
    <w:p>
      <w:pPr>
        <w:ind w:right="60" w:firstLine="216"/>
        <w:spacing w:after="0" w:line="148" w:lineRule="exact"/>
        <w:rPr>
          <w:sz w:val="20"/>
          <w:szCs w:val="20"/>
          <w:color w:val="auto"/>
        </w:rPr>
      </w:pPr>
      <w:r>
        <w:rPr>
          <w:rFonts w:ascii="Times New Roman" w:cs="Times New Roman" w:eastAsia="Times New Roman" w:hAnsi="Times New Roman"/>
          <w:sz w:val="12"/>
          <w:szCs w:val="12"/>
          <w:color w:val="auto"/>
        </w:rPr>
        <w:t>During the third quarter of 2025, the Company executed an amendment to its lease agreements that extended the lease term and modified key financial terms, including rent and related provisions. The amendment also resulted in a remeasurement of the related lease liability and right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of</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use asset as of September 30, 2025, using the Company’s incremental borrowing rate at that date. See Note 8 — Leases for additional details regarding the amendment and its impact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 per Share Attributable to Common Stockholders</w:t>
      </w:r>
    </w:p>
    <w:p>
      <w:pPr>
        <w:spacing w:after="0" w:line="127"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Basic net loss per share attributable to common stockholders is computed by dividing net loss attributable to common stockholders by the weighted-average number of shares of Common Stock outstanding during the period without consideration of potentially dilutive shares of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The calculation of net loss per share also considers the effect of participating securities. The Common Stock warrants issued in the Company’s October 2024 and November 2024 registered direct offerings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 As the Company has incurred losses for the three and nine months ended September 30, 2025 and 2024, basic and diluted net loss per share is the same for each period.</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potential shares of Common Stock were excluded from the computation of diluted net loss per share for each period because including them would have had an antidilutive effect.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120" w:type="dxa"/>
            <w:vAlign w:val="bottom"/>
          </w:tcPr>
          <w:p>
            <w:pPr>
              <w:spacing w:after="0"/>
              <w:rPr>
                <w:sz w:val="11"/>
                <w:szCs w:val="11"/>
                <w:color w:val="auto"/>
              </w:rPr>
            </w:pPr>
          </w:p>
        </w:tc>
        <w:tc>
          <w:tcPr>
            <w:tcW w:w="24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8"/>
        </w:trPr>
        <w:tc>
          <w:tcPr>
            <w:tcW w:w="5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65"/>
        </w:trPr>
        <w:tc>
          <w:tcPr>
            <w:tcW w:w="51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53"/>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options under stock plan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16,537,950</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12,287,369</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16,537,950</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12,287,369</w:t>
            </w:r>
          </w:p>
        </w:tc>
      </w:tr>
      <w:tr>
        <w:trPr>
          <w:trHeight w:val="153"/>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9,833,910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5,588,506</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11,527,441</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5,588,506</w:t>
            </w:r>
          </w:p>
        </w:tc>
      </w:tr>
      <w:tr>
        <w:trPr>
          <w:trHeight w:val="153"/>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option by underwriters</w:t>
            </w:r>
          </w:p>
        </w:tc>
        <w:tc>
          <w:tcPr>
            <w:tcW w:w="15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412,088</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69" w:lineRule="exact"/>
        <w:rPr>
          <w:sz w:val="20"/>
          <w:szCs w:val="20"/>
          <w:color w:val="auto"/>
        </w:rPr>
      </w:pPr>
    </w:p>
    <w:p>
      <w:pPr>
        <w:ind w:right="80" w:firstLine="216"/>
        <w:spacing w:after="0" w:line="300" w:lineRule="auto"/>
        <w:rPr>
          <w:sz w:val="20"/>
          <w:szCs w:val="20"/>
          <w:color w:val="auto"/>
        </w:rPr>
      </w:pPr>
      <w:r>
        <w:rPr>
          <w:rFonts w:ascii="Times New Roman" w:cs="Times New Roman" w:eastAsia="Times New Roman" w:hAnsi="Times New Roman"/>
          <w:sz w:val="11"/>
          <w:szCs w:val="11"/>
          <w:color w:val="auto"/>
        </w:rPr>
        <w:t>The 15,000,000 Contingent Earnout Shares, as defined in Note 9, are excluded from the anti-dilutive table for all periods presented, as such shares are contingently issuable until the share price of the Company exceeds specified thresholds that have not yet been achieved, or upon the occurrence of a change in control. The shares subject to the Option Agreement, as defined in Note 7 — Revenue Interest Purchase Agreement, are excluded from the anti-dilutive table for all periods presented based on the Company’s assumption that the Option Agreement will not be exercised unless the Company’s stock price exceeds $7.50 per share, the minimum purchase price under the Option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Risks and Uncertainties</w:t>
      </w:r>
    </w:p>
    <w:p>
      <w:pPr>
        <w:spacing w:after="0" w:line="127"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its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27"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 xml:space="preserve">In December 2023, the Financial Accounting Standards Board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The enhanced disclosures required by ASU 2023-09 are effective for the Company beginning with its Annual Report on Form 10-K for the fiscal year ending December 31, 2025. The Company is currently evaluating the impact of adopting ASU 2023-09 </w:t>
      </w:r>
      <w:r>
        <w:rPr>
          <w:rFonts w:ascii="Times New Roman" w:cs="Times New Roman" w:eastAsia="Times New Roman" w:hAnsi="Times New Roman"/>
          <w:sz w:val="12"/>
          <w:szCs w:val="12"/>
          <w:color w:val="231F20"/>
        </w:rPr>
        <w:t>on its consolidated financial statements and related disclosures</w:t>
      </w:r>
      <w:r>
        <w:rPr>
          <w:rFonts w:ascii="Times New Roman" w:cs="Times New Roman" w:eastAsia="Times New Roman" w:hAnsi="Times New Roman"/>
          <w:sz w:val="12"/>
          <w:szCs w:val="12"/>
          <w:color w:val="auto"/>
        </w:rPr>
        <w:t>.</w:t>
      </w:r>
    </w:p>
    <w:p>
      <w:pPr>
        <w:spacing w:after="0" w:line="10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November 2024, the FASB issued ASU No. 2024-03, “Income Statement — Reporting Comprehensive Income — Expense Disaggregation Disclosures (Subtopic 220-40), Disaggregation of Income Statement Expenses” (“ASU 2024-03”). In January 2025, the FASB issued ASU No. 2025-01, “Income Statement — Reporting Comprehensive Income — 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w:t>
      </w:r>
      <w:r>
        <w:rPr>
          <w:rFonts w:ascii="Times New Roman" w:cs="Times New Roman" w:eastAsia="Times New Roman" w:hAnsi="Times New Roman"/>
          <w:sz w:val="12"/>
          <w:szCs w:val="12"/>
          <w:color w:val="231F20"/>
        </w:rPr>
        <w:t>on its consolidated financial statements and related disclosures</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231F20"/>
        </w:rPr>
        <w:t xml:space="preserve">In September 2025, </w:t>
      </w:r>
      <w:r>
        <w:rPr>
          <w:rFonts w:ascii="Times New Roman" w:cs="Times New Roman" w:eastAsia="Times New Roman" w:hAnsi="Times New Roman"/>
          <w:sz w:val="12"/>
          <w:szCs w:val="12"/>
          <w:color w:val="000000"/>
        </w:rPr>
        <w:t>the FASB</w:t>
      </w:r>
      <w:r>
        <w:rPr>
          <w:rFonts w:ascii="Times New Roman" w:cs="Times New Roman" w:eastAsia="Times New Roman" w:hAnsi="Times New Roman"/>
          <w:sz w:val="12"/>
          <w:szCs w:val="12"/>
          <w:color w:val="231F20"/>
        </w:rPr>
        <w:t xml:space="preserve"> issued ASU No. 2025-07, “Derivatives and Hedging (Topic 815) and Revenue from Contracts with Customers (Topics 606): Derivatives Scope Refinements and Scope Clarification for Share-based Noncash Consideration from a Customer in a Revenue Contract” (“ASU 2025-07”). The amendments in this update are intended to reduce the cost and complexity of evaluating whether contracts with features based on the operations or activities of one of the parties to the contract are derivatives, improve the representation of the economics of those contracts in the financial statements, and reduce diversity in practice. This ASU also clarifies that share-based noncash consideration from a customer should initially be accounted for under Topic 606 until the right to receive or retain such consideration becomes unconditional, at which point financial instruments guidance may apply. This standard is effective for fiscal years beginning after December 15, 2026, including interim periods within those fiscal years. Early adoption is permitted. Entities may apply the amendments prospectively or on a modified retrospective basis. The Company is currently evaluating the impact of adopting ASU 2025-07 on its consolidated financial statements and related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Fair Value Measurements</w:t>
      </w:r>
    </w:p>
    <w:p>
      <w:pPr>
        <w:spacing w:after="0" w:line="12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2"/>
          <w:szCs w:val="12"/>
          <w:i w:val="1"/>
          <w:iCs w:val="1"/>
          <w:color w:val="auto"/>
        </w:rPr>
        <w:t>Fair Value Measurement and Disclosures</w:t>
      </w:r>
      <w:r>
        <w:rPr>
          <w:rFonts w:ascii="Times New Roman" w:cs="Times New Roman" w:eastAsia="Times New Roman" w:hAnsi="Times New Roman"/>
          <w:sz w:val="12"/>
          <w:szCs w:val="12"/>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01" w:lineRule="exact"/>
        <w:rPr>
          <w:sz w:val="20"/>
          <w:szCs w:val="20"/>
          <w:color w:val="auto"/>
        </w:rPr>
      </w:pPr>
    </w:p>
    <w:p>
      <w:pPr>
        <w:ind w:left="5580" w:right="5280" w:hanging="5372"/>
        <w:spacing w:after="0" w:line="968"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Observable inputs that reflect unadjusted quoted prices for identical assets or liabilities in active markets.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-231775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right="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Unobservable inputs in which little or no market data exists, therefore requiring the Company to develop its own assumptions.</w:t>
      </w:r>
    </w:p>
    <w:p>
      <w:pPr>
        <w:spacing w:after="0" w:line="13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Company’s money market funds are classified within Level 1 of the fair value hierarchy because they are valued using quoted market prices. The carrying values of cash, accounts receivable, prepaid expenses and other current assets, accounts payable, accrued expenses and other current liabilities as of September 30, 2025 and December 31, 2024 approximated their fair values due to the short-term nature of these items.</w:t>
      </w:r>
    </w:p>
    <w:p>
      <w:pPr>
        <w:spacing w:after="0" w:line="84"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Company’s assets and liabilities that were measured at fair value on a recurring basis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Fair Value Measured as of September 30, 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30"/>
        </w:trPr>
        <w:tc>
          <w:tcPr>
            <w:tcW w:w="5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200" w:type="dxa"/>
            <w:vAlign w:val="bottom"/>
          </w:tcPr>
          <w:p>
            <w:pPr>
              <w:spacing w:after="0"/>
              <w:rPr>
                <w:sz w:val="11"/>
                <w:szCs w:val="11"/>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2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 equivalents (money market funds)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12,166</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12,166</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Purchase Agreement derivative asset</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672</w:t>
            </w:r>
          </w:p>
        </w:tc>
      </w:tr>
      <w:tr>
        <w:trPr>
          <w:trHeight w:val="158"/>
        </w:trPr>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 financial assets</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12,166</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12,838</w:t>
            </w:r>
          </w:p>
        </w:tc>
      </w:tr>
      <w:tr>
        <w:trPr>
          <w:trHeight w:val="135"/>
        </w:trPr>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Liabilities:</w:t>
            </w: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Contingent Earnout Liability</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21,807</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Contingent derivative liability</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289</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Private Placement Warrants liability</w:t>
            </w: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October 2024 RDO Warrants liability</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2,083</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November 2024 RDO Warrants liability</w:t>
            </w: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1,050</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Option Agreement liability</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JDRF Agreement derivative liability</w:t>
            </w: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w:t>
            </w:r>
          </w:p>
        </w:tc>
      </w:tr>
      <w:tr>
        <w:trPr>
          <w:trHeight w:val="158"/>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financial liabilities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25,470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25,470</w:t>
            </w:r>
          </w:p>
        </w:tc>
      </w:tr>
      <w:tr>
        <w:trPr>
          <w:trHeight w:val="603"/>
        </w:trPr>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41"/>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2"/>
        </w:trPr>
        <w:tc>
          <w:tcPr>
            <w:tcW w:w="5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Fair Value Measured as of December 31, 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30"/>
        </w:trPr>
        <w:tc>
          <w:tcPr>
            <w:tcW w:w="5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20" w:type="dxa"/>
            <w:vAlign w:val="bottom"/>
          </w:tcPr>
          <w:p>
            <w:pPr>
              <w:spacing w:after="0"/>
              <w:rPr>
                <w:sz w:val="11"/>
                <w:szCs w:val="11"/>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20" w:type="dxa"/>
            <w:vAlign w:val="bottom"/>
          </w:tcPr>
          <w:p>
            <w:pPr>
              <w:spacing w:after="0"/>
              <w:rPr>
                <w:sz w:val="11"/>
                <w:szCs w:val="11"/>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 equivalents (money market funds)</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32,044</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32,044</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Purchase Agreement derivative asset</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672</w:t>
            </w:r>
          </w:p>
        </w:tc>
      </w:tr>
      <w:tr>
        <w:trPr>
          <w:trHeight w:val="158"/>
        </w:trPr>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 financial assets</w:t>
            </w: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32,044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672</w:t>
            </w:r>
          </w:p>
        </w:tc>
        <w:tc>
          <w:tcPr>
            <w:tcW w:w="8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32,716</w:t>
            </w:r>
          </w:p>
        </w:tc>
      </w:tr>
      <w:tr>
        <w:trPr>
          <w:trHeight w:val="135"/>
        </w:trPr>
        <w:tc>
          <w:tcPr>
            <w:tcW w:w="5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Liabilities:</w:t>
            </w: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Contingent Earnout Liability</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70,961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70,961</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Contingent derivative liability</w:t>
            </w: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2,415</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Private Placement Warrants liability</w:t>
            </w:r>
          </w:p>
        </w:tc>
        <w:tc>
          <w:tcPr>
            <w:tcW w:w="3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385</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October 2024 RDO Warrants liability</w:t>
            </w: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12,437</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November 2024 RDO Warrants liability</w:t>
            </w:r>
          </w:p>
        </w:tc>
        <w:tc>
          <w:tcPr>
            <w:tcW w:w="3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6,432</w:t>
            </w:r>
          </w:p>
        </w:tc>
      </w:tr>
      <w:tr>
        <w:trPr>
          <w:trHeight w:val="15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Option Agreement liability</w:t>
            </w: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64</w:t>
            </w:r>
          </w:p>
        </w:tc>
      </w:tr>
      <w:tr>
        <w:trPr>
          <w:trHeight w:val="15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JDRF Agreement derivative liability</w:t>
            </w:r>
          </w:p>
        </w:tc>
        <w:tc>
          <w:tcPr>
            <w:tcW w:w="32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r>
      <w:tr>
        <w:trPr>
          <w:trHeight w:val="158"/>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financial liabilities</w:t>
            </w: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92,815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92,815</w:t>
            </w:r>
          </w:p>
        </w:tc>
      </w:tr>
    </w:tbl>
    <w:p>
      <w:pPr>
        <w:spacing w:after="0" w:line="187"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The fair value of the Contingent Earnout Liability (defined in Note 9 — Stockholders’ Equity (Deficit) and Warrants), contingent derivative liability related to the Put Option (as defined in Note 7 — Revenue Interest Purchase Agreement and discussed below), Private Placement Warrants liability, liabilities associated with the Registered Direct Offering Warrants (each as defined in Note 9 — Stockholders’ Equity (Deficit) and Warrants), Option Agreement liability (as defined in Note 7 — Revenue Interest Purchase Agreement), and the derivative liability associated with the JDRF Agreement Disposition Payment (defined in Note 12 — Commitments and Contingencies) are based on significant unobservable inputs, which represent Level 3 measurements within the fair value hierarchy. The fair values of the Private Placement Warrants liability and the liabilities associated with the Registered Direct Offering Warrants are included in common stock warrant liabilities on the condensed consolidated balance sheets. The fair values of the Option Agreement liability and the derivative liability associated with the JDRF Agreement Disposition Payment are included in other long-term liabilities on the condensed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 Purchase Agreement</w:t>
      </w:r>
    </w:p>
    <w:p>
      <w:pPr>
        <w:spacing w:after="0" w:line="134"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The Company evaluated the Common Stock Purchase Agreement and determined that the agreement should be accounted for in accordance with ASC 815-40, “Derivatives and Hedging — Contracts on an Entity’s Own Equity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within Change in fair value of derivatives in the condensed consolidated statements of operations and comprehensive loss. There was no change in fair value of the derivative asset between December 31, 2024 and September 30, 2025 and the fair value of the Commitment Shares as of both September 30, 2025 and December 31, 2024 was $0.7 million.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Earnout Liability</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a summary of the changes in the fair value of the Contingent Earnout Liability: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Contingent Earnout Liability</w:t>
            </w: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23"/>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9"/>
        </w:trPr>
        <w:tc>
          <w:tcPr>
            <w:tcW w:w="5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beginning of period</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(26,700)</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(68,080)</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center"/>
              <w:ind w:left="405"/>
              <w:spacing w:after="0"/>
              <w:rPr>
                <w:sz w:val="20"/>
                <w:szCs w:val="20"/>
                <w:color w:val="auto"/>
              </w:rPr>
            </w:pPr>
            <w:r>
              <w:rPr>
                <w:rFonts w:ascii="Times New Roman" w:cs="Times New Roman" w:eastAsia="Times New Roman" w:hAnsi="Times New Roman"/>
                <w:sz w:val="12"/>
                <w:szCs w:val="12"/>
                <w:color w:val="auto"/>
              </w:rPr>
              <w:t>(70,961)</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(37,916)</w:t>
            </w:r>
          </w:p>
        </w:tc>
      </w:tr>
      <w:tr>
        <w:trPr>
          <w:trHeight w:val="153"/>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Change in fair value included in other income (expense), net</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(8,489)</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425"/>
              <w:spacing w:after="0"/>
              <w:rPr>
                <w:sz w:val="20"/>
                <w:szCs w:val="20"/>
                <w:color w:val="auto"/>
              </w:rPr>
            </w:pPr>
            <w:r>
              <w:rPr>
                <w:rFonts w:ascii="Times New Roman" w:cs="Times New Roman" w:eastAsia="Times New Roman" w:hAnsi="Times New Roman"/>
                <w:sz w:val="12"/>
                <w:szCs w:val="12"/>
                <w:color w:val="auto"/>
                <w:w w:val="96"/>
              </w:rPr>
              <w:t>49,154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(38,653)</w:t>
            </w:r>
          </w:p>
        </w:tc>
      </w:tr>
      <w:tr>
        <w:trPr>
          <w:trHeight w:val="158"/>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end of period</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(21,807)</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(76,569)</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center"/>
              <w:ind w:left="405"/>
              <w:spacing w:after="0"/>
              <w:rPr>
                <w:sz w:val="20"/>
                <w:szCs w:val="20"/>
                <w:color w:val="auto"/>
              </w:rPr>
            </w:pPr>
            <w:r>
              <w:rPr>
                <w:rFonts w:ascii="Times New Roman" w:cs="Times New Roman" w:eastAsia="Times New Roman" w:hAnsi="Times New Roman"/>
                <w:sz w:val="12"/>
                <w:szCs w:val="12"/>
                <w:color w:val="auto"/>
              </w:rPr>
              <w:t>(21,807)</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(76,569)</w:t>
            </w:r>
          </w:p>
        </w:tc>
      </w:tr>
    </w:tbl>
    <w:p>
      <w:pPr>
        <w:spacing w:after="0" w:line="19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9 — Stockholders’ Equity (Deficit) and Warrants). Contingent earnout payments involve certain assumptions requiring significant judgment and actual results can differ from assumed and estimated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Derivative Liability</w:t>
      </w:r>
    </w:p>
    <w:p>
      <w:pPr>
        <w:spacing w:after="0" w:line="127"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debt pursuant to the Purchase Agreement, as defined in Note 7, contains an embedded derivative related to the Put Option, as defined in Note 7,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98" w:lineRule="exact"/>
        <w:rPr>
          <w:sz w:val="20"/>
          <w:szCs w:val="20"/>
          <w:color w:val="auto"/>
        </w:rPr>
      </w:pPr>
    </w:p>
    <w:p>
      <w:pPr>
        <w:jc w:val="both"/>
        <w:ind w:right="100" w:firstLine="216"/>
        <w:spacing w:after="0" w:line="260" w:lineRule="auto"/>
        <w:rPr>
          <w:sz w:val="20"/>
          <w:szCs w:val="20"/>
          <w:color w:val="auto"/>
        </w:rPr>
      </w:pPr>
      <w:r>
        <w:rPr>
          <w:rFonts w:ascii="Times New Roman" w:cs="Times New Roman" w:eastAsia="Times New Roman" w:hAnsi="Times New Roman"/>
          <w:sz w:val="12"/>
          <w:szCs w:val="12"/>
          <w:color w:val="auto"/>
        </w:rPr>
        <w:t>As of September 30, 2025, the discount rates used to calculate the value of the contingent derivative liability were 12.6% to calculate the present-value of the revenue forecast and 12.2% to calculate the present-value of the payoff of the Put Option. As of December 31, 2024, the discount rates used to calculate the value of the contingent derivative liability were 14.2% to calculate the present-value of the revenue forecast and 11.8% to calculate the present-value of the payoff of the Put Option. Changes in fair value of the contingent derivative liability are recognized as other income (expense) in the condensed consolidated statements of operations and comprehensive loss, classified in Change in fair value of derivatives.</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a summary of the changes in the fair value of the contingent derivative liability, which is classified as a Level 3 financial instrument: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Contingent Derivative Liability</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r>
        <w:trPr>
          <w:trHeight w:val="123"/>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8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w w:val="97"/>
              </w:rPr>
              <w:t>Nine Months Ended September 30,</w:t>
            </w:r>
          </w:p>
        </w:tc>
        <w:tc>
          <w:tcPr>
            <w:tcW w:w="560" w:type="dxa"/>
            <w:vAlign w:val="bottom"/>
            <w:tcBorders>
              <w:bottom w:val="single" w:sz="8" w:color="auto"/>
            </w:tcBorders>
          </w:tcPr>
          <w:p>
            <w:pPr>
              <w:spacing w:after="0"/>
              <w:rPr>
                <w:sz w:val="10"/>
                <w:szCs w:val="10"/>
                <w:color w:val="auto"/>
              </w:rPr>
            </w:pPr>
          </w:p>
        </w:tc>
      </w:tr>
      <w:tr>
        <w:trPr>
          <w:trHeight w:val="129"/>
        </w:trPr>
        <w:tc>
          <w:tcPr>
            <w:tcW w:w="4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Pr>
          <w:p>
            <w:pPr>
              <w:spacing w:after="0"/>
              <w:rPr>
                <w:sz w:val="11"/>
                <w:szCs w:val="11"/>
                <w:color w:val="auto"/>
              </w:rPr>
            </w:pPr>
          </w:p>
        </w:tc>
      </w:tr>
      <w:tr>
        <w:trPr>
          <w:trHeight w:val="147"/>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beginning of period</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(3,161)</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(4,266)</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w:t>
            </w:r>
          </w:p>
        </w:tc>
        <w:tc>
          <w:tcPr>
            <w:tcW w:w="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2"/>
                <w:szCs w:val="12"/>
                <w:color w:val="auto"/>
              </w:rPr>
              <w:t>(2,636)</w:t>
            </w:r>
          </w:p>
        </w:tc>
      </w:tr>
      <w:tr>
        <w:trPr>
          <w:trHeight w:val="153"/>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Fair value of embedded derivative upon issuance of debt</w:t>
            </w:r>
          </w:p>
        </w:tc>
        <w:tc>
          <w:tcPr>
            <w:tcW w:w="9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spacing w:after="0"/>
              <w:rPr>
                <w:sz w:val="13"/>
                <w:szCs w:val="13"/>
                <w:color w:val="auto"/>
              </w:rPr>
            </w:pPr>
          </w:p>
        </w:tc>
        <w:tc>
          <w:tcPr>
            <w:tcW w:w="56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(1,552)</w:t>
            </w:r>
          </w:p>
        </w:tc>
      </w:tr>
      <w:tr>
        <w:trPr>
          <w:trHeight w:val="153"/>
        </w:trPr>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included in other income (expense), net</w:t>
            </w:r>
          </w:p>
        </w:tc>
        <w:tc>
          <w:tcPr>
            <w:tcW w:w="9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2,872</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w:t>
            </w: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2,126</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6"/>
              </w:rPr>
              <w:t>1,083</w:t>
            </w:r>
          </w:p>
        </w:tc>
      </w:tr>
      <w:tr>
        <w:trPr>
          <w:trHeight w:val="142"/>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Fair value as of end of period</w:t>
            </w:r>
          </w:p>
        </w:tc>
        <w:tc>
          <w:tcPr>
            <w:tcW w:w="980" w:type="dxa"/>
            <w:vAlign w:val="bottom"/>
            <w:tcBorders>
              <w:bottom w:val="single" w:sz="8" w:color="auto"/>
            </w:tcBorders>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(3,105)</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rPr>
              <w:t>(3,105)</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570"/>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2"/>
                <w:szCs w:val="12"/>
                <w:color w:val="auto"/>
              </w:rPr>
              <w:t>19</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2"/>
        </w:trPr>
        <w:tc>
          <w:tcPr>
            <w:tcW w:w="4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Registered Direct Offering Warrants Liabilities</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 xml:space="preserve">The following table presents a summary of the changes in the fair value of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liabilities, as defined in Note 9, during the </w:t>
      </w:r>
      <w:r>
        <w:rPr>
          <w:rFonts w:ascii="Times New Roman" w:cs="Times New Roman" w:eastAsia="Times New Roman" w:hAnsi="Times New Roman"/>
          <w:sz w:val="12"/>
          <w:szCs w:val="12"/>
          <w:color w:val="000000"/>
        </w:rPr>
        <w:t>three and nine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October 2024 RDO Warrants</w:t>
            </w: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November 2024 RDO Warrants</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80" w:type="dxa"/>
            <w:vAlign w:val="bottom"/>
          </w:tcPr>
          <w:p>
            <w:pPr>
              <w:spacing w:after="0"/>
              <w:rPr>
                <w:sz w:val="7"/>
                <w:szCs w:val="7"/>
                <w:color w:val="auto"/>
              </w:rPr>
            </w:pPr>
          </w:p>
        </w:tc>
        <w:tc>
          <w:tcPr>
            <w:tcW w:w="1380" w:type="dxa"/>
            <w:vAlign w:val="bottom"/>
            <w:gridSpan w:val="2"/>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480" w:type="dxa"/>
            <w:vAlign w:val="bottom"/>
            <w:gridSpan w:val="2"/>
          </w:tcPr>
          <w:p>
            <w:pPr>
              <w:jc w:val="right"/>
              <w:spacing w:after="0" w:line="89" w:lineRule="exact"/>
              <w:rPr>
                <w:sz w:val="20"/>
                <w:szCs w:val="20"/>
                <w:color w:val="auto"/>
              </w:rPr>
            </w:pPr>
            <w:r>
              <w:rPr>
                <w:rFonts w:ascii="Times New Roman" w:cs="Times New Roman" w:eastAsia="Times New Roman" w:hAnsi="Times New Roman"/>
                <w:sz w:val="10"/>
                <w:szCs w:val="10"/>
                <w:b w:val="1"/>
                <w:bCs w:val="1"/>
                <w:color w:val="auto"/>
                <w:w w:val="96"/>
              </w:rPr>
              <w:t>Nine Months Ended September 30,</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280"/>
              <w:spacing w:after="0" w:line="89" w:lineRule="exact"/>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480" w:type="dxa"/>
            <w:vAlign w:val="bottom"/>
            <w:gridSpan w:val="2"/>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5"/>
              </w:rPr>
              <w:t>Nine Months Ended September 30,</w:t>
            </w:r>
          </w:p>
        </w:tc>
        <w:tc>
          <w:tcPr>
            <w:tcW w:w="0" w:type="dxa"/>
            <w:vAlign w:val="bottom"/>
          </w:tcPr>
          <w:p>
            <w:pPr>
              <w:spacing w:after="0"/>
              <w:rPr>
                <w:sz w:val="1"/>
                <w:szCs w:val="1"/>
                <w:color w:val="auto"/>
              </w:rPr>
            </w:pPr>
          </w:p>
        </w:tc>
      </w:tr>
      <w:tr>
        <w:trPr>
          <w:trHeight w:val="129"/>
        </w:trPr>
        <w:tc>
          <w:tcPr>
            <w:tcW w:w="5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September 30, 2025</w:t>
            </w:r>
          </w:p>
        </w:tc>
        <w:tc>
          <w:tcPr>
            <w:tcW w:w="600" w:type="dxa"/>
            <w:vAlign w:val="bottom"/>
          </w:tcPr>
          <w:p>
            <w:pPr>
              <w:spacing w:after="0"/>
              <w:rPr>
                <w:sz w:val="11"/>
                <w:szCs w:val="11"/>
                <w:color w:val="auto"/>
              </w:rPr>
            </w:pPr>
          </w:p>
        </w:tc>
        <w:tc>
          <w:tcPr>
            <w:tcW w:w="88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September 30, 2025</w:t>
            </w:r>
          </w:p>
        </w:tc>
        <w:tc>
          <w:tcPr>
            <w:tcW w:w="620" w:type="dxa"/>
            <w:vAlign w:val="bottom"/>
          </w:tcPr>
          <w:p>
            <w:pPr>
              <w:spacing w:after="0"/>
              <w:rPr>
                <w:sz w:val="11"/>
                <w:szCs w:val="11"/>
                <w:color w:val="auto"/>
              </w:rPr>
            </w:pPr>
          </w:p>
        </w:tc>
        <w:tc>
          <w:tcPr>
            <w:tcW w:w="86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0" w:type="dxa"/>
            <w:vAlign w:val="bottom"/>
          </w:tcPr>
          <w:p>
            <w:pPr>
              <w:spacing w:after="0"/>
              <w:rPr>
                <w:sz w:val="1"/>
                <w:szCs w:val="1"/>
                <w:color w:val="auto"/>
              </w:rPr>
            </w:pPr>
          </w:p>
        </w:tc>
      </w:tr>
      <w:tr>
        <w:trPr>
          <w:trHeight w:val="146"/>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beginning of period</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(2,811)</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(12,437)</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center"/>
              <w:ind w:left="403"/>
              <w:spacing w:after="0"/>
              <w:rPr>
                <w:sz w:val="20"/>
                <w:szCs w:val="20"/>
                <w:color w:val="auto"/>
              </w:rPr>
            </w:pPr>
            <w:r>
              <w:rPr>
                <w:rFonts w:ascii="Times New Roman" w:cs="Times New Roman" w:eastAsia="Times New Roman" w:hAnsi="Times New Roman"/>
                <w:sz w:val="12"/>
                <w:szCs w:val="12"/>
                <w:color w:val="auto"/>
              </w:rPr>
              <w:t>(6,432)</w:t>
            </w:r>
          </w:p>
        </w:tc>
        <w:tc>
          <w:tcPr>
            <w:tcW w:w="0" w:type="dxa"/>
            <w:vAlign w:val="bottom"/>
          </w:tcPr>
          <w:p>
            <w:pPr>
              <w:spacing w:after="0"/>
              <w:rPr>
                <w:sz w:val="1"/>
                <w:szCs w:val="1"/>
                <w:color w:val="auto"/>
              </w:rPr>
            </w:pPr>
          </w:p>
        </w:tc>
      </w:tr>
      <w:tr>
        <w:trPr>
          <w:trHeight w:val="153"/>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Change in fair value included in other income (expense), net</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2"/>
                <w:szCs w:val="12"/>
                <w:color w:val="auto"/>
                <w:w w:val="96"/>
              </w:rPr>
              <w:t>5,382</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end of period</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center"/>
              <w:ind w:left="403"/>
              <w:spacing w:after="0"/>
              <w:rPr>
                <w:sz w:val="20"/>
                <w:szCs w:val="20"/>
                <w:color w:val="auto"/>
              </w:rPr>
            </w:pPr>
            <w:r>
              <w:rPr>
                <w:rFonts w:ascii="Times New Roman" w:cs="Times New Roman" w:eastAsia="Times New Roman" w:hAnsi="Times New Roman"/>
                <w:sz w:val="12"/>
                <w:szCs w:val="12"/>
                <w:color w:val="auto"/>
              </w:rPr>
              <w:t>(1,050)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231F20"/>
        </w:rPr>
        <w:t xml:space="preserve">In determining the fair value of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liabilities, the Company used the Black-Scholes valuation model to estimate the fair value utilizing assumptions including the current Company stock price, expected volatility, risk-free rate, expected term and expected dividend yield (see </w:t>
      </w:r>
      <w:r>
        <w:rPr>
          <w:rFonts w:ascii="Times New Roman" w:cs="Times New Roman" w:eastAsia="Times New Roman" w:hAnsi="Times New Roman"/>
          <w:sz w:val="12"/>
          <w:szCs w:val="12"/>
          <w:color w:val="000000"/>
        </w:rPr>
        <w:t>Note 9 — Stockholders’ Equity (Deficit) and Warrants</w:t>
      </w:r>
      <w:r>
        <w:rPr>
          <w:rFonts w:ascii="Times New Roman" w:cs="Times New Roman" w:eastAsia="Times New Roman" w:hAnsi="Times New Roman"/>
          <w:sz w:val="12"/>
          <w:szCs w:val="12"/>
          <w:color w:val="231F20"/>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Private Placement Warrants Liability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a summary of the changes in the fair value of the Private Placement Warrants liability: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Private Placement Warrants</w:t>
            </w: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23"/>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29"/>
        </w:trPr>
        <w:tc>
          <w:tcPr>
            <w:tcW w:w="5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beginning of period</w:t>
            </w: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center"/>
              <w:ind w:left="565"/>
              <w:spacing w:after="0"/>
              <w:rPr>
                <w:sz w:val="20"/>
                <w:szCs w:val="20"/>
                <w:color w:val="auto"/>
              </w:rPr>
            </w:pPr>
            <w:r>
              <w:rPr>
                <w:rFonts w:ascii="Times New Roman" w:cs="Times New Roman" w:eastAsia="Times New Roman" w:hAnsi="Times New Roman"/>
                <w:sz w:val="12"/>
                <w:szCs w:val="12"/>
                <w:color w:val="auto"/>
                <w:w w:val="99"/>
              </w:rPr>
              <w:t>(385)</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3"/>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Change in fair value included in other income (expense), net</w:t>
            </w: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565"/>
              <w:spacing w:after="0"/>
              <w:rPr>
                <w:sz w:val="20"/>
                <w:szCs w:val="20"/>
                <w:color w:val="auto"/>
              </w:rPr>
            </w:pPr>
            <w:r>
              <w:rPr>
                <w:rFonts w:ascii="Times New Roman" w:cs="Times New Roman" w:eastAsia="Times New Roman" w:hAnsi="Times New Roman"/>
                <w:sz w:val="12"/>
                <w:szCs w:val="12"/>
                <w:color w:val="auto"/>
                <w:w w:val="99"/>
              </w:rPr>
              <w:t>284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w:t>
            </w:r>
          </w:p>
        </w:tc>
      </w:tr>
      <w:tr>
        <w:trPr>
          <w:trHeight w:val="158"/>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as of end of period</w:t>
            </w: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center"/>
              <w:ind w:left="565"/>
              <w:spacing w:after="0"/>
              <w:rPr>
                <w:sz w:val="20"/>
                <w:szCs w:val="20"/>
                <w:color w:val="auto"/>
              </w:rPr>
            </w:pPr>
            <w:r>
              <w:rPr>
                <w:rFonts w:ascii="Times New Roman" w:cs="Times New Roman" w:eastAsia="Times New Roman" w:hAnsi="Times New Roman"/>
                <w:sz w:val="12"/>
                <w:szCs w:val="12"/>
                <w:color w:val="auto"/>
                <w:w w:val="99"/>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r>
    </w:tbl>
    <w:p>
      <w:pPr>
        <w:spacing w:after="0" w:line="16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9 — Stockholders’ Equity (Deficit) and Warrants).</w:t>
      </w:r>
    </w:p>
    <w:p>
      <w:pPr>
        <w:sectPr>
          <w:pgSz w:w="11900" w:h="16838" w:orient="portrait"/>
          <w:cols w:equalWidth="0" w:num="1">
            <w:col w:w="11300"/>
          </w:cols>
          <w:pgMar w:left="300" w:top="390" w:right="29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Inventory</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Inventory is stated at the lower of cost or net realizable value and consisted of the following: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Raw materials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Finished goods</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60" w:type="dxa"/>
            <w:vAlign w:val="bottom"/>
          </w:tcPr>
          <w:p>
            <w:pPr>
              <w:spacing w:after="0"/>
              <w:rPr>
                <w:sz w:val="10"/>
                <w:szCs w:val="10"/>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4"/>
        </w:trPr>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5,679</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18,418</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ectPr>
          <w:pgSz w:w="11900" w:h="16838" w:orient="portrait"/>
          <w:cols w:equalWidth="0" w:num="2">
            <w:col w:w="7520" w:space="720"/>
            <w:col w:w="3060"/>
          </w:cols>
          <w:pgMar w:left="300" w:top="390" w:right="299" w:bottom="1440" w:gutter="0" w:footer="0" w:header="0"/>
          <w:type w:val="continuous"/>
        </w:sect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As of September 30, 2025, the Company capitalized costs of $18.4 million associated with the manufacturing of Symvess as a result of regulatory approval and the Company’s determination that subsequent commercialization and future economic benefit from the sales of Symvess was probable.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type w:val="continuous"/>
        </w:sectPr>
      </w:pPr>
    </w:p>
    <w:bookmarkStart w:id="20" w:name="page21"/>
    <w:bookmarkEnd w:id="2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5. Property and Equipment, Net</w:t>
      </w:r>
    </w:p>
    <w:p>
      <w:pPr>
        <w:spacing w:after="0" w:line="1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Property and equipment, net consisted of the following:</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260" w:type="dxa"/>
            <w:vAlign w:val="bottom"/>
          </w:tcPr>
          <w:p>
            <w:pPr>
              <w:spacing w:after="0"/>
              <w:rPr>
                <w:sz w:val="10"/>
                <w:szCs w:val="1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60" w:type="dxa"/>
            <w:vAlign w:val="bottom"/>
          </w:tcPr>
          <w:p>
            <w:pPr>
              <w:spacing w:after="0"/>
              <w:rPr>
                <w:sz w:val="10"/>
                <w:szCs w:val="10"/>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46"/>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Scientific and manufacturing equipment</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29,758</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29,059</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1,024</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1,066</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27,901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59,150</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(40,064)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(36,087)</w:t>
            </w:r>
          </w:p>
        </w:tc>
        <w:tc>
          <w:tcPr>
            <w:tcW w:w="0" w:type="dxa"/>
            <w:vAlign w:val="bottom"/>
          </w:tcPr>
          <w:p>
            <w:pPr>
              <w:spacing w:after="0"/>
              <w:rPr>
                <w:sz w:val="1"/>
                <w:szCs w:val="1"/>
                <w:color w:val="auto"/>
              </w:rPr>
            </w:pPr>
          </w:p>
        </w:tc>
      </w:tr>
      <w:tr>
        <w:trPr>
          <w:trHeight w:val="142"/>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19,857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23,063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8" w:right="440" w:firstLine="216"/>
        <w:spacing w:after="0" w:line="279" w:lineRule="auto"/>
        <w:rPr>
          <w:sz w:val="20"/>
          <w:szCs w:val="20"/>
          <w:color w:val="auto"/>
        </w:rPr>
      </w:pPr>
      <w:r>
        <w:rPr>
          <w:rFonts w:ascii="Times New Roman" w:cs="Times New Roman" w:eastAsia="Times New Roman" w:hAnsi="Times New Roman"/>
          <w:sz w:val="12"/>
          <w:szCs w:val="12"/>
          <w:color w:val="auto"/>
        </w:rPr>
        <w:t>Depreciation expense totaled $1.3 million and $4.0 million for the three and nine months ended September 30, 2025, respectively, and $1.3 million and $3.8 million for the three and nine months ended September 30, 2024, respectively. All long-lived assets are maintained in the United States.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6. Accrued Expenses</w:t>
      </w:r>
    </w:p>
    <w:p>
      <w:pPr>
        <w:spacing w:after="0" w:line="13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Accrued expenses consisted of the following:</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240" w:type="dxa"/>
            <w:vAlign w:val="bottom"/>
            <w:gridSpan w:val="2"/>
            <w:vMerge w:val="continue"/>
          </w:tcPr>
          <w:p>
            <w:pPr>
              <w:spacing w:after="0"/>
              <w:rPr>
                <w:sz w:val="11"/>
                <w:szCs w:val="11"/>
                <w:color w:val="auto"/>
              </w:rPr>
            </w:pPr>
          </w:p>
        </w:tc>
        <w:tc>
          <w:tcPr>
            <w:tcW w:w="10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47"/>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external research, development and manufacturing costs</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4,889</w:t>
            </w: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employee compensation and benefits</w:t>
            </w:r>
          </w:p>
        </w:tc>
        <w:tc>
          <w:tcPr>
            <w:tcW w:w="10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6,242</w:t>
            </w: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professional fees</w:t>
            </w: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293</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Accrued royalties</w:t>
            </w: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80" w:type="dxa"/>
            <w:vAlign w:val="bottom"/>
            <w:tcBorders>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11,424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8" w:right="9220" w:hanging="8"/>
        <w:spacing w:after="0" w:line="507" w:lineRule="auto"/>
        <w:tabs>
          <w:tab w:leader="none" w:pos="128"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Revenue Interest Purchase Agreement Revenue Interest Purchase Agreement</w:t>
      </w:r>
    </w:p>
    <w:p>
      <w:pPr>
        <w:spacing w:after="0" w:line="1" w:lineRule="exact"/>
        <w:rPr>
          <w:sz w:val="20"/>
          <w:szCs w:val="20"/>
          <w:color w:val="auto"/>
        </w:rPr>
      </w:pPr>
    </w:p>
    <w:p>
      <w:pPr>
        <w:ind w:left="8" w:right="120" w:firstLine="216"/>
        <w:spacing w:after="0" w:line="286" w:lineRule="auto"/>
        <w:rPr>
          <w:sz w:val="20"/>
          <w:szCs w:val="20"/>
          <w:color w:val="auto"/>
        </w:rPr>
      </w:pPr>
      <w:r>
        <w:rPr>
          <w:rFonts w:ascii="Times New Roman" w:cs="Times New Roman" w:eastAsia="Times New Roman" w:hAnsi="Times New Roman"/>
          <w:sz w:val="11"/>
          <w:szCs w:val="11"/>
          <w:color w:val="auto"/>
        </w:rPr>
        <w:t>On May 12, 2023, the Company and Global entered into the Purchase Agreement with the Purchasers, and another affiliate of Oberland, as agent for the Purchasers, to obtain financing with respect to the further development and commercialization of the Company’s ATEV,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former loan agreement with SVB. In February 2024, the FDA accepted the Company’s Biologics License Application (“BLA”) for an indication in vascular trauma, and in accordance with the Purchase Agreement, on March 11, 2024, the Company drew a subsequent installment of $20.0 million.</w:t>
      </w:r>
    </w:p>
    <w:p>
      <w:pPr>
        <w:spacing w:after="0" w:line="83" w:lineRule="exact"/>
        <w:rPr>
          <w:sz w:val="20"/>
          <w:szCs w:val="20"/>
          <w:color w:val="auto"/>
        </w:rPr>
      </w:pPr>
    </w:p>
    <w:p>
      <w:pPr>
        <w:ind w:left="8" w:right="20" w:firstLine="216"/>
        <w:spacing w:after="0" w:line="265" w:lineRule="auto"/>
        <w:rPr>
          <w:sz w:val="20"/>
          <w:szCs w:val="20"/>
          <w:color w:val="auto"/>
        </w:rPr>
      </w:pPr>
      <w:r>
        <w:rPr>
          <w:rFonts w:ascii="Times New Roman" w:cs="Times New Roman" w:eastAsia="Times New Roman" w:hAnsi="Times New Roman"/>
          <w:sz w:val="12"/>
          <w:szCs w:val="12"/>
          <w:color w:val="auto"/>
        </w:rPr>
        <w:t>The FDA granted full approval for the Company’s BLA on December 19, 2024, and the Company elected not to draw the additional $40.0 million that became available under the Purchase Agreement. As of December 31, 2024, the Company was not entitled to draw on any further installments under the Purchase Agreement. On September 17, 2025, the Company entered into the Purchase Agreement Amendment, which modified certain terms of the agreement and the Company made a partial call payment of $50.0 million to the Purchasers. The Company analyzed the changes to the agreement and concluded the amendment resulted in a modification for accounting purposes.</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8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107"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Pursuant to the Purchase Agreement Amendment,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and the amount of the Purchase Agreement Amendment Payment. If a Put Option or Call Option is exercised after May 12, 2026, the required repurchase price will be 195% of the Cumulative Purchaser Payments, subject to the same deductions and conditions described above. Additionally, the Company is permitted, at its option, to exercise its Call Option at a discounted repurchase price of $95.5 million, subject to the same deductions and conditions described above, so long as it is exercised on or prior to December 31, 2025, up to $7.5 million of which may be satisfied through the issuance of shares of the Company’s common stock, subject to the satisfaction of certain conditions.</w:t>
      </w:r>
    </w:p>
    <w:p>
      <w:pPr>
        <w:spacing w:after="0" w:line="99"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was to remove requirements related to the leasehold mortgage. In exchange for the removal of these requirements, the Company funded an account in an amount of $54.0 million on August 14, 2024, over which the Agent has certain consent and other rights to $50.0 million of the funds. In connection with the Purchase Agreement Amendment, the Company made the Purchase Agreement Amendment Payment of $50.0 million, funded from the restricted cash previously maintained for the benefit of the Agent. As a result of the Purchase Agreement Amendment Payment, the Company is no longer obligated to maintain $50.0 million of restricted cash in an account for the benefit of the Agent unless the Purchase Agreement has not been repaid in full by December 31, 2025, at which point the Company will be required to maintain $12.5 million in such account. As of September 30, 2025 and December 31, 2024, $0 and $50.0 million, respectively, were classified as restricted cash on the accompanying condensed consolidated balance sheets.</w:t>
      </w:r>
    </w:p>
    <w:p>
      <w:pPr>
        <w:spacing w:after="0" w:line="9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Company has agreed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its subsidiaries’ assets.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Purchase Agreement is considered a sale of future revenues and accounted for as long-term debt recorded at amortized cost using the interest method.</w:t>
      </w:r>
    </w:p>
    <w:p>
      <w:pPr>
        <w:spacing w:after="0" w:line="123"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 $0.1 million fair value allocated to the Option Agreement, defined below, and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08" w:lineRule="exact"/>
        <w:rPr>
          <w:sz w:val="20"/>
          <w:szCs w:val="20"/>
          <w:color w:val="auto"/>
        </w:rPr>
      </w:pPr>
    </w:p>
    <w:p>
      <w:pPr>
        <w:ind w:right="140" w:firstLine="216"/>
        <w:spacing w:after="0" w:line="286" w:lineRule="auto"/>
        <w:rPr>
          <w:sz w:val="20"/>
          <w:szCs w:val="20"/>
          <w:color w:val="auto"/>
        </w:rPr>
      </w:pPr>
      <w:r>
        <w:rPr>
          <w:rFonts w:ascii="Times New Roman" w:cs="Times New Roman" w:eastAsia="Times New Roman" w:hAnsi="Times New Roman"/>
          <w:sz w:val="11"/>
          <w:szCs w:val="11"/>
          <w:color w:val="auto"/>
        </w:rPr>
        <w:t>As of September 30, 2025 and December 31, 2024, $20.7 million and $64.2 million, respectively, was recorded as a revenue interest liability. As of September 30, 2025 and December 31, 2024, the current portion of the revenue interest liability was $3.1 million and $0.9 million, respectively. The estimated effective annual interest rate as of September 30, 2025 and December 31, 2024 was 52.1% and 13.7%, respectively. The Company recorded $2.3 million and $6.6 million in interest expense related to the Purchase Agreement for the three and nine months ended September 30, 2025, respectively, and recorded $2.0 million and $5.6 million in interest expense related to the Purchase Agreement for the three and nine months ended September 30, 2024, respectively. The Company incurred and paid $0.5 million of transaction costs during the nine months ended September 30, 2024 in connection with the Purchase Agreement. The transaction costs were capitalized to debt discount and are being amortized to interest expense over the estimated term of the debt, consistent with the issuance and transaction costs incurred in 2023 discussed above.</w:t>
      </w:r>
    </w:p>
    <w:p>
      <w:pPr>
        <w:spacing w:after="0" w:line="8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95"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Revenue Interest Payments made as a result of the Company’s net product sales will reduce the revenue interest liability. During the three and nine months ended September 30, 2025, the Company recorded $0.7 million and $0.9 million of product sales revenue, respectively, and made revenue interest payments totaling $45 thousand across both periods. During the three and nine months ended September 30, 2024, the Company did not record any product sales revenue.</w:t>
      </w:r>
    </w:p>
    <w:p>
      <w:pPr>
        <w:spacing w:after="0" w:line="101"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In addition, during the three and nine months ended September 30, 2025, the Company made a $50.0 million partial call payment on revenue interest liability in connection with the Purchase Agreement Amendment, reducing the revenue interest liability to $20.7 million as of September 30, 2025.</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0000FF"/>
        </w:rPr>
        <w:t>Table of Contents</w:t>
      </w:r>
    </w:p>
    <w:tbl>
      <w:tblPr>
        <w:tblLayout w:type="fixed"/>
        <w:tblInd w:w="0" w:type="dxa"/>
        <w:tblCellMar>
          <w:top w:w="0" w:type="dxa"/>
          <w:left w:w="0" w:type="dxa"/>
          <w:bottom w:w="0" w:type="dxa"/>
          <w:right w:w="0" w:type="dxa"/>
        </w:tblCellMar>
      </w:tblPr>
      <w:tr>
        <w:trPr>
          <w:trHeight w:val="136"/>
        </w:trPr>
        <w:tc>
          <w:tcPr>
            <w:tcW w:w="840" w:type="dxa"/>
            <w:vAlign w:val="bottom"/>
            <w:tcBorders>
              <w:top w:val="single" w:sz="8" w:color="0000FF"/>
            </w:tcBorders>
          </w:tcPr>
          <w:p>
            <w:pPr>
              <w:spacing w:after="0"/>
              <w:rPr>
                <w:sz w:val="11"/>
                <w:szCs w:val="11"/>
                <w:color w:val="auto"/>
              </w:rPr>
            </w:pPr>
          </w:p>
        </w:tc>
        <w:tc>
          <w:tcPr>
            <w:tcW w:w="8980" w:type="dxa"/>
            <w:vAlign w:val="bottom"/>
            <w:gridSpan w:val="2"/>
          </w:tcPr>
          <w:p>
            <w:pPr>
              <w:jc w:val="center"/>
              <w:ind w:left="580"/>
              <w:spacing w:after="0" w:line="136" w:lineRule="exact"/>
              <w:rPr>
                <w:sz w:val="20"/>
                <w:szCs w:val="20"/>
                <w:color w:val="auto"/>
              </w:rPr>
            </w:pPr>
            <w:r>
              <w:rPr>
                <w:rFonts w:ascii="Times New Roman" w:cs="Times New Roman" w:eastAsia="Times New Roman" w:hAnsi="Times New Roman"/>
                <w:sz w:val="12"/>
                <w:szCs w:val="12"/>
                <w:b w:val="1"/>
                <w:bCs w:val="1"/>
                <w:color w:val="auto"/>
                <w:w w:val="99"/>
              </w:rPr>
              <w:t>Humacyte, Inc.</w:t>
            </w: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840" w:type="dxa"/>
            <w:vAlign w:val="bottom"/>
          </w:tcPr>
          <w:p>
            <w:pPr>
              <w:spacing w:after="0"/>
              <w:rPr>
                <w:sz w:val="12"/>
                <w:szCs w:val="12"/>
                <w:color w:val="auto"/>
              </w:rPr>
            </w:pPr>
          </w:p>
        </w:tc>
        <w:tc>
          <w:tcPr>
            <w:tcW w:w="8980" w:type="dxa"/>
            <w:vAlign w:val="bottom"/>
            <w:gridSpan w:val="2"/>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Notes to Condensed Consolidated Financial Statements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8980" w:type="dxa"/>
            <w:vAlign w:val="bottom"/>
            <w:gridSpan w:val="2"/>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765"/>
        </w:trPr>
        <w:tc>
          <w:tcPr>
            <w:tcW w:w="982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revenue interest liability activity during the three and nine months ended September 30, 2025:</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2"/>
        </w:trPr>
        <w:tc>
          <w:tcPr>
            <w:tcW w:w="98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50"/>
        </w:trPr>
        <w:tc>
          <w:tcPr>
            <w:tcW w:w="9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interest liability at December 31, 2024</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64,239</w:t>
            </w:r>
          </w:p>
        </w:tc>
      </w:tr>
      <w:tr>
        <w:trPr>
          <w:trHeight w:val="153"/>
        </w:trPr>
        <w:tc>
          <w:tcPr>
            <w:tcW w:w="9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2"/>
                <w:szCs w:val="12"/>
                <w:color w:val="auto"/>
              </w:rPr>
              <w:t>Interest expense recognized</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2,123</w:t>
            </w:r>
          </w:p>
        </w:tc>
      </w:tr>
      <w:tr>
        <w:trPr>
          <w:trHeight w:val="142"/>
        </w:trPr>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interest liability at March 31, 2025</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66,362</w:t>
            </w:r>
          </w:p>
        </w:tc>
      </w:tr>
      <w:tr>
        <w:trPr>
          <w:trHeight w:val="153"/>
        </w:trPr>
        <w:tc>
          <w:tcPr>
            <w:tcW w:w="9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2"/>
                <w:szCs w:val="12"/>
                <w:color w:val="auto"/>
              </w:rPr>
              <w:t>Interest expense recognized</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2,179</w:t>
            </w:r>
          </w:p>
        </w:tc>
      </w:tr>
      <w:tr>
        <w:trPr>
          <w:trHeight w:val="142"/>
        </w:trPr>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interest liability at June 30, 2025</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68,541</w:t>
            </w:r>
          </w:p>
        </w:tc>
      </w:tr>
      <w:tr>
        <w:trPr>
          <w:trHeight w:val="153"/>
        </w:trPr>
        <w:tc>
          <w:tcPr>
            <w:tcW w:w="98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Interest expense recognized</w:t>
            </w: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r>
      <w:tr>
        <w:trPr>
          <w:trHeight w:val="153"/>
        </w:trPr>
        <w:tc>
          <w:tcPr>
            <w:tcW w:w="9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 interest payments</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3"/>
        </w:trPr>
        <w:tc>
          <w:tcPr>
            <w:tcW w:w="9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2"/>
                <w:szCs w:val="12"/>
                <w:color w:val="auto"/>
              </w:rPr>
              <w:t>Payment under amended Purchase Agreement</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(50,000)</w:t>
            </w:r>
          </w:p>
        </w:tc>
      </w:tr>
      <w:tr>
        <w:trPr>
          <w:trHeight w:val="142"/>
        </w:trPr>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interest liability at September 30, 2025</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20,746</w:t>
            </w:r>
          </w:p>
        </w:tc>
      </w:tr>
      <w:tr>
        <w:trPr>
          <w:trHeight w:val="153"/>
        </w:trPr>
        <w:tc>
          <w:tcPr>
            <w:tcW w:w="9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2"/>
                <w:szCs w:val="12"/>
                <w:color w:val="auto"/>
              </w:rPr>
              <w:t>Less current portion of revenue interest liability</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(3,072)</w:t>
            </w:r>
          </w:p>
        </w:tc>
      </w:tr>
      <w:tr>
        <w:trPr>
          <w:trHeight w:val="158"/>
        </w:trPr>
        <w:tc>
          <w:tcPr>
            <w:tcW w:w="9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interest liability, net of current portion at September 30, 2025</w:t>
            </w: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17,674</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Agreement</w:t>
      </w:r>
    </w:p>
    <w:p>
      <w:pPr>
        <w:spacing w:after="0" w:line="136"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of shares of Common Stock in the 2024 Public Offering, as defined in Note 9, and as of September 30, 2025 and December 31, 2024, the Holders have the right to purchase up to $8,050,000 of shares of Common Stock under the Option Agreement.</w:t>
      </w:r>
    </w:p>
    <w:p>
      <w:pPr>
        <w:spacing w:after="0" w:line="98"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and subsequent changes in the fair value are recognized in the condensed consolidated statements of operations and comprehensive loss at each reporting date. The fair value of the Option Agreement liability as of September 30, 2025 and December 31, 2024 was $6 thousand and $64 thousand,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8. Leases</w:t>
      </w:r>
    </w:p>
    <w:p>
      <w:pPr>
        <w:spacing w:after="0" w:line="99" w:lineRule="exact"/>
        <w:rPr>
          <w:sz w:val="20"/>
          <w:szCs w:val="20"/>
          <w:color w:val="auto"/>
        </w:rPr>
      </w:pPr>
    </w:p>
    <w:p>
      <w:pPr>
        <w:jc w:val="both"/>
        <w:ind w:right="440" w:firstLine="216"/>
        <w:spacing w:after="0" w:line="163" w:lineRule="exact"/>
        <w:rPr>
          <w:sz w:val="20"/>
          <w:szCs w:val="20"/>
          <w:color w:val="auto"/>
        </w:rPr>
      </w:pPr>
      <w:r>
        <w:rPr>
          <w:rFonts w:ascii="Times New Roman" w:cs="Times New Roman" w:eastAsia="Times New Roman" w:hAnsi="Times New Roman"/>
          <w:sz w:val="12"/>
          <w:szCs w:val="12"/>
          <w:color w:val="231F20"/>
        </w:rPr>
        <w:t>On September 29, 2025, we executed a Sixth Amendment to our lease agreements. The amendment extends the non</w:t>
      </w:r>
      <w:r>
        <w:rPr>
          <w:rFonts w:ascii="MS PGothic" w:cs="MS PGothic" w:eastAsia="MS PGothic" w:hAnsi="MS PGothic"/>
          <w:sz w:val="12"/>
          <w:szCs w:val="12"/>
          <w:color w:val="231F20"/>
        </w:rPr>
        <w:t>‑</w:t>
      </w:r>
      <w:r>
        <w:rPr>
          <w:rFonts w:ascii="Times New Roman" w:cs="Times New Roman" w:eastAsia="Times New Roman" w:hAnsi="Times New Roman"/>
          <w:sz w:val="12"/>
          <w:szCs w:val="12"/>
          <w:color w:val="231F20"/>
        </w:rPr>
        <w:t xml:space="preserve">cancelable term to March 31, 2037, resets base rent effective January 1, 2026 with </w:t>
      </w:r>
      <w:r>
        <w:rPr>
          <w:rFonts w:ascii="Times New Roman" w:cs="Times New Roman" w:eastAsia="Times New Roman" w:hAnsi="Times New Roman"/>
          <w:sz w:val="12"/>
          <w:szCs w:val="12"/>
          <w:color w:val="000000"/>
        </w:rPr>
        <w:t>3%</w:t>
      </w:r>
      <w:r>
        <w:rPr>
          <w:rFonts w:ascii="Times New Roman" w:cs="Times New Roman" w:eastAsia="Times New Roman" w:hAnsi="Times New Roman"/>
          <w:sz w:val="12"/>
          <w:szCs w:val="12"/>
          <w:color w:val="231F20"/>
        </w:rPr>
        <w:t xml:space="preserve"> annual escalations thereafter, and provides </w:t>
      </w:r>
      <w:r>
        <w:rPr>
          <w:rFonts w:ascii="Times New Roman" w:cs="Times New Roman" w:eastAsia="Times New Roman" w:hAnsi="Times New Roman"/>
          <w:sz w:val="12"/>
          <w:szCs w:val="12"/>
          <w:color w:val="000000"/>
        </w:rPr>
        <w:t>two</w:t>
      </w:r>
      <w:r>
        <w:rPr>
          <w:rFonts w:ascii="Times New Roman" w:cs="Times New Roman" w:eastAsia="Times New Roman" w:hAnsi="Times New Roman"/>
          <w:sz w:val="12"/>
          <w:szCs w:val="12"/>
          <w:color w:val="231F20"/>
        </w:rPr>
        <w:t xml:space="preserve"> rent abatement periods (January 1, 2026, through March 31, 2026, and January 1, 2027, through March 31, 2027). Accounting for the amendment resulted in remeasurement of the lease liability and </w:t>
      </w:r>
      <w:r>
        <w:rPr>
          <w:rFonts w:ascii="Times New Roman" w:cs="Times New Roman" w:eastAsia="Times New Roman" w:hAnsi="Times New Roman"/>
          <w:sz w:val="12"/>
          <w:szCs w:val="12"/>
          <w:color w:val="000000"/>
        </w:rPr>
        <w:t>right</w:t>
      </w:r>
      <w:r>
        <w:rPr>
          <w:rFonts w:ascii="MS PGothic" w:cs="MS PGothic" w:eastAsia="MS PGothic" w:hAnsi="MS PGothic"/>
          <w:sz w:val="12"/>
          <w:szCs w:val="12"/>
          <w:color w:val="000000"/>
        </w:rPr>
        <w:t>‑</w:t>
      </w:r>
      <w:r>
        <w:rPr>
          <w:rFonts w:ascii="Times New Roman" w:cs="Times New Roman" w:eastAsia="Times New Roman" w:hAnsi="Times New Roman"/>
          <w:sz w:val="12"/>
          <w:szCs w:val="12"/>
          <w:color w:val="000000"/>
        </w:rPr>
        <w:t>of</w:t>
      </w:r>
      <w:r>
        <w:rPr>
          <w:rFonts w:ascii="MS PGothic" w:cs="MS PGothic" w:eastAsia="MS PGothic" w:hAnsi="MS PGothic"/>
          <w:sz w:val="12"/>
          <w:szCs w:val="12"/>
          <w:color w:val="000000"/>
        </w:rPr>
        <w:t>‑</w:t>
      </w:r>
      <w:r>
        <w:rPr>
          <w:rFonts w:ascii="Times New Roman" w:cs="Times New Roman" w:eastAsia="Times New Roman" w:hAnsi="Times New Roman"/>
          <w:sz w:val="12"/>
          <w:szCs w:val="12"/>
          <w:color w:val="000000"/>
        </w:rPr>
        <w:t xml:space="preserve">use asset </w:t>
      </w:r>
      <w:r>
        <w:rPr>
          <w:rFonts w:ascii="Times New Roman" w:cs="Times New Roman" w:eastAsia="Times New Roman" w:hAnsi="Times New Roman"/>
          <w:sz w:val="12"/>
          <w:szCs w:val="12"/>
          <w:color w:val="231F20"/>
        </w:rPr>
        <w:t>as of</w:t>
      </w:r>
      <w:r>
        <w:rPr>
          <w:rFonts w:ascii="Times New Roman" w:cs="Times New Roman" w:eastAsia="Times New Roman" w:hAnsi="Times New Roman"/>
          <w:sz w:val="12"/>
          <w:szCs w:val="12"/>
          <w:color w:val="000000"/>
        </w:rPr>
        <w:t xml:space="preserve"> September 30, 2025 </w:t>
      </w:r>
      <w:r>
        <w:rPr>
          <w:rFonts w:ascii="Times New Roman" w:cs="Times New Roman" w:eastAsia="Times New Roman" w:hAnsi="Times New Roman"/>
          <w:sz w:val="12"/>
          <w:szCs w:val="12"/>
          <w:color w:val="231F20"/>
        </w:rPr>
        <w:t>using our incremental borrowing rate at that date.</w:t>
      </w:r>
    </w:p>
    <w:p>
      <w:pPr>
        <w:spacing w:after="0" w:line="70" w:lineRule="exact"/>
        <w:rPr>
          <w:sz w:val="20"/>
          <w:szCs w:val="20"/>
          <w:color w:val="auto"/>
        </w:rPr>
      </w:pPr>
    </w:p>
    <w:p>
      <w:pPr>
        <w:ind w:right="220" w:firstLine="216"/>
        <w:spacing w:after="0" w:line="164" w:lineRule="exact"/>
        <w:rPr>
          <w:sz w:val="20"/>
          <w:szCs w:val="20"/>
          <w:color w:val="auto"/>
        </w:rPr>
      </w:pPr>
      <w:r>
        <w:rPr>
          <w:rFonts w:ascii="Times New Roman" w:cs="Times New Roman" w:eastAsia="Times New Roman" w:hAnsi="Times New Roman"/>
          <w:sz w:val="12"/>
          <w:szCs w:val="12"/>
          <w:color w:val="auto"/>
        </w:rPr>
        <w:t>As a result, during the three and nine months ended September 30, 2025, the Company recorded a net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cash increase of </w:t>
      </w:r>
      <w:r>
        <w:rPr>
          <w:rFonts w:ascii="Times New Roman" w:cs="Times New Roman" w:eastAsia="Times New Roman" w:hAnsi="Times New Roman"/>
          <w:sz w:val="12"/>
          <w:szCs w:val="12"/>
          <w:color w:val="231F20"/>
        </w:rPr>
        <w:t>$15.0 million</w:t>
      </w:r>
      <w:r>
        <w:rPr>
          <w:rFonts w:ascii="Times New Roman" w:cs="Times New Roman" w:eastAsia="Times New Roman" w:hAnsi="Times New Roman"/>
          <w:sz w:val="12"/>
          <w:szCs w:val="12"/>
          <w:color w:val="auto"/>
        </w:rPr>
        <w:t xml:space="preserve"> to right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of</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use assets and lease liabilities resulting from lease remeasurements associated with the lease modification.</w:t>
      </w:r>
    </w:p>
    <w:p>
      <w:pPr>
        <w:spacing w:after="0" w:line="107"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231F20"/>
        </w:rPr>
        <w:t xml:space="preserve">As of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xml:space="preserve"> and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color w:val="231F20"/>
        </w:rPr>
        <w:t xml:space="preserve">, the Company had finance lease liabilities of $29.8 million and $16.5 million, respectively, and right-of-use assets of $29.4 million and $15.5 million, respectively. As of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color w:val="231F20"/>
        </w:rPr>
        <w:t>, the Company had operating lease liabilities of $0.6 million, primarily included in other long-term liabilities with the remaining balance classified in other current liabilities, and related right-of-use assets of $0.6</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 xml:space="preserve">million included in other long-term assets on the consolidated balance sheets. As of </w:t>
      </w:r>
      <w:r>
        <w:rPr>
          <w:rFonts w:ascii="Times New Roman" w:cs="Times New Roman" w:eastAsia="Times New Roman" w:hAnsi="Times New Roman"/>
          <w:sz w:val="12"/>
          <w:szCs w:val="12"/>
          <w:color w:val="000000"/>
        </w:rPr>
        <w:t>September 30, 2025, the Company had no operating lease liabilities or right-of-use assets on the condensed consolidated balance sheets.</w:t>
      </w:r>
    </w:p>
    <w:p>
      <w:pPr>
        <w:spacing w:after="0" w:line="92"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231F20"/>
        </w:rPr>
        <w:t>The Company’s lease does not require any contingent rental payments, impose any financial restrictions, or contain any residual value guarantees. The Company’s lease includes renewal options and escalation clauses; renewal options have been included in the calculation of the lease liabilities and right-of-use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The following summarizes quantitative information about the Company’s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Borders>
              <w:bottom w:val="single" w:sz="8" w:color="auto"/>
            </w:tcBorders>
            <w:gridSpan w:val="6"/>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6"/>
          </w:tcPr>
          <w:p>
            <w:pPr>
              <w:jc w:val="right"/>
              <w:ind w:right="743"/>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47"/>
        </w:trPr>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lease cost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Amortization of right-of-use assets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1,570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1,563</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on lease liabilities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142"/>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 finance lease 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2,725</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lease cost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7"/>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42"/>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lease 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085"/>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827"/>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2,643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2,804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Nine Months Ended September 30, 2025</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703"/>
              <w:spacing w:after="0"/>
              <w:rPr>
                <w:sz w:val="20"/>
                <w:szCs w:val="20"/>
                <w:color w:val="auto"/>
              </w:rPr>
            </w:pPr>
            <w:r>
              <w:rPr>
                <w:rFonts w:ascii="Times New Roman" w:cs="Times New Roman" w:eastAsia="Times New Roman" w:hAnsi="Times New Roman"/>
                <w:sz w:val="10"/>
                <w:szCs w:val="10"/>
                <w:b w:val="1"/>
                <w:bCs w:val="1"/>
                <w:color w:val="auto"/>
              </w:rPr>
              <w:t>Nine Months Ended September 30, 2024</w:t>
            </w:r>
          </w:p>
        </w:tc>
        <w:tc>
          <w:tcPr>
            <w:tcW w:w="0" w:type="dxa"/>
            <w:vAlign w:val="bottom"/>
          </w:tcPr>
          <w:p>
            <w:pPr>
              <w:spacing w:after="0"/>
              <w:rPr>
                <w:sz w:val="1"/>
                <w:szCs w:val="1"/>
                <w:color w:val="auto"/>
              </w:rPr>
            </w:pPr>
          </w:p>
        </w:tc>
      </w:tr>
      <w:tr>
        <w:trPr>
          <w:trHeight w:val="107"/>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right"/>
              <w:ind w:right="485"/>
              <w:spacing w:after="0" w:line="107" w:lineRule="exact"/>
              <w:rPr>
                <w:sz w:val="20"/>
                <w:szCs w:val="20"/>
                <w:color w:val="auto"/>
              </w:rPr>
            </w:pPr>
            <w:r>
              <w:rPr>
                <w:rFonts w:ascii="Times New Roman" w:cs="Times New Roman" w:eastAsia="Times New Roman" w:hAnsi="Times New Roman"/>
                <w:sz w:val="10"/>
                <w:szCs w:val="10"/>
                <w:b w:val="1"/>
                <w:bCs w:val="1"/>
                <w:color w:val="auto"/>
              </w:rPr>
              <w:t>Finance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right"/>
              <w:ind w:right="107"/>
              <w:spacing w:after="0" w:line="107"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tcPr>
          <w:p>
            <w:pPr>
              <w:jc w:val="right"/>
              <w:ind w:right="680"/>
              <w:spacing w:after="0" w:line="107" w:lineRule="exact"/>
              <w:rPr>
                <w:sz w:val="20"/>
                <w:szCs w:val="20"/>
                <w:color w:val="auto"/>
              </w:rPr>
            </w:pPr>
            <w:r>
              <w:rPr>
                <w:rFonts w:ascii="Times New Roman" w:cs="Times New Roman" w:eastAsia="Times New Roman" w:hAnsi="Times New Roman"/>
                <w:sz w:val="10"/>
                <w:szCs w:val="10"/>
                <w:b w:val="1"/>
                <w:bCs w:val="1"/>
                <w:color w:val="auto"/>
              </w:rPr>
              <w:t>Finance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503"/>
              <w:spacing w:after="0" w:line="107" w:lineRule="exact"/>
              <w:rPr>
                <w:sz w:val="20"/>
                <w:szCs w:val="20"/>
                <w:color w:val="auto"/>
              </w:rPr>
            </w:pPr>
            <w:r>
              <w:rPr>
                <w:rFonts w:ascii="Times New Roman" w:cs="Times New Roman" w:eastAsia="Times New Roman" w:hAnsi="Times New Roman"/>
                <w:sz w:val="10"/>
                <w:szCs w:val="10"/>
                <w:b w:val="1"/>
                <w:bCs w:val="1"/>
                <w:color w:val="auto"/>
              </w:rPr>
              <w:t>Operating</w:t>
            </w:r>
          </w:p>
        </w:tc>
        <w:tc>
          <w:tcPr>
            <w:tcW w:w="0" w:type="dxa"/>
            <w:vAlign w:val="bottom"/>
          </w:tcPr>
          <w:p>
            <w:pPr>
              <w:spacing w:after="0"/>
              <w:rPr>
                <w:sz w:val="1"/>
                <w:szCs w:val="1"/>
                <w:color w:val="auto"/>
              </w:rPr>
            </w:pPr>
          </w:p>
        </w:tc>
      </w:tr>
      <w:tr>
        <w:trPr>
          <w:trHeight w:val="129"/>
        </w:trPr>
        <w:tc>
          <w:tcPr>
            <w:tcW w:w="4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ind w:right="505"/>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0" w:type="dxa"/>
            <w:vAlign w:val="bottom"/>
          </w:tcPr>
          <w:p>
            <w:pPr>
              <w:spacing w:after="0"/>
              <w:rPr>
                <w:sz w:val="1"/>
                <w:szCs w:val="1"/>
                <w:color w:val="auto"/>
              </w:rPr>
            </w:pPr>
          </w:p>
        </w:tc>
      </w:tr>
      <w:tr>
        <w:trPr>
          <w:trHeight w:val="146"/>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cash flows from leases</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color w:val="auto"/>
              </w:rPr>
              <w:t>994</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1,162</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 cash flows from leases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3"/>
                <w:szCs w:val="13"/>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(1,906)</w:t>
            </w:r>
          </w:p>
        </w:tc>
        <w:tc>
          <w:tcPr>
            <w:tcW w:w="60" w:type="dxa"/>
            <w:vAlign w:val="bottom"/>
          </w:tcPr>
          <w:p>
            <w:pPr>
              <w:spacing w:after="0"/>
              <w:rPr>
                <w:sz w:val="13"/>
                <w:szCs w:val="13"/>
                <w:color w:val="auto"/>
              </w:rPr>
            </w:pPr>
          </w:p>
        </w:tc>
        <w:tc>
          <w:tcPr>
            <w:tcW w:w="3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lease term</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55"/>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Weighted-average discount rate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8.50 %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8.50 %</w:t>
            </w:r>
          </w:p>
        </w:tc>
        <w:tc>
          <w:tcPr>
            <w:tcW w:w="0" w:type="dxa"/>
            <w:vAlign w:val="bottom"/>
          </w:tcPr>
          <w:p>
            <w:pPr>
              <w:spacing w:after="0"/>
              <w:rPr>
                <w:sz w:val="1"/>
                <w:szCs w:val="1"/>
                <w:color w:val="auto"/>
              </w:rPr>
            </w:pPr>
          </w:p>
        </w:tc>
      </w:tr>
      <w:tr>
        <w:trPr>
          <w:trHeight w:val="601"/>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605"/>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color w:val="0000FF"/>
        </w:rPr>
        <w:t>Table of Contents</w:t>
      </w:r>
    </w:p>
    <w:tbl>
      <w:tblPr>
        <w:tblLayout w:type="fixed"/>
        <w:tblInd w:w="8" w:type="dxa"/>
        <w:tblCellMar>
          <w:top w:w="0" w:type="dxa"/>
          <w:left w:w="0" w:type="dxa"/>
          <w:bottom w:w="0" w:type="dxa"/>
          <w:right w:w="0" w:type="dxa"/>
        </w:tblCellMar>
      </w:tblPr>
      <w:tr>
        <w:trPr>
          <w:trHeight w:val="136"/>
        </w:trPr>
        <w:tc>
          <w:tcPr>
            <w:tcW w:w="840" w:type="dxa"/>
            <w:vAlign w:val="bottom"/>
            <w:tcBorders>
              <w:top w:val="single" w:sz="8" w:color="0000FF"/>
            </w:tcBorders>
          </w:tcPr>
          <w:p>
            <w:pPr>
              <w:spacing w:after="0"/>
              <w:rPr>
                <w:sz w:val="11"/>
                <w:szCs w:val="11"/>
                <w:color w:val="auto"/>
              </w:rPr>
            </w:pPr>
          </w:p>
        </w:tc>
        <w:tc>
          <w:tcPr>
            <w:tcW w:w="8620" w:type="dxa"/>
            <w:vAlign w:val="bottom"/>
            <w:gridSpan w:val="2"/>
          </w:tcPr>
          <w:p>
            <w:pPr>
              <w:jc w:val="center"/>
              <w:ind w:left="9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Humacyte, Inc.</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44"/>
        </w:trPr>
        <w:tc>
          <w:tcPr>
            <w:tcW w:w="840" w:type="dxa"/>
            <w:vAlign w:val="bottom"/>
          </w:tcPr>
          <w:p>
            <w:pPr>
              <w:spacing w:after="0"/>
              <w:rPr>
                <w:sz w:val="12"/>
                <w:szCs w:val="12"/>
                <w:color w:val="auto"/>
              </w:rPr>
            </w:pPr>
          </w:p>
        </w:tc>
        <w:tc>
          <w:tcPr>
            <w:tcW w:w="8620" w:type="dxa"/>
            <w:vAlign w:val="bottom"/>
            <w:gridSpan w:val="2"/>
          </w:tcPr>
          <w:p>
            <w:pPr>
              <w:jc w:val="center"/>
              <w:ind w:left="940"/>
              <w:spacing w:after="0"/>
              <w:rPr>
                <w:sz w:val="20"/>
                <w:szCs w:val="20"/>
                <w:color w:val="auto"/>
              </w:rPr>
            </w:pPr>
            <w:r>
              <w:rPr>
                <w:rFonts w:ascii="Times New Roman" w:cs="Times New Roman" w:eastAsia="Times New Roman" w:hAnsi="Times New Roman"/>
                <w:sz w:val="12"/>
                <w:szCs w:val="12"/>
                <w:b w:val="1"/>
                <w:bCs w:val="1"/>
                <w:color w:val="auto"/>
                <w:w w:val="99"/>
              </w:rPr>
              <w:t>Notes to Condensed Consolidated Financial Statements</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8620" w:type="dxa"/>
            <w:vAlign w:val="bottom"/>
            <w:gridSpan w:val="2"/>
          </w:tcPr>
          <w:p>
            <w:pPr>
              <w:jc w:val="center"/>
              <w:ind w:left="92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765"/>
        </w:trPr>
        <w:tc>
          <w:tcPr>
            <w:tcW w:w="946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231F20"/>
              </w:rPr>
              <w:t xml:space="preserve">As of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the maturities of the Company’s finance lease liabilities were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2"/>
        </w:trPr>
        <w:tc>
          <w:tcPr>
            <w:tcW w:w="94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260" w:type="dxa"/>
            <w:vAlign w:val="bottom"/>
          </w:tcPr>
          <w:p>
            <w:pPr>
              <w:spacing w:after="0"/>
              <w:rPr>
                <w:sz w:val="22"/>
                <w:szCs w:val="22"/>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Finance Leases</w:t>
            </w:r>
          </w:p>
        </w:tc>
      </w:tr>
      <w:tr>
        <w:trPr>
          <w:trHeight w:val="151"/>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8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1,052</w:t>
            </w:r>
          </w:p>
        </w:tc>
        <w:tc>
          <w:tcPr>
            <w:tcW w:w="340" w:type="dxa"/>
            <w:vAlign w:val="bottom"/>
            <w:tcBorders>
              <w:top w:val="single" w:sz="8" w:color="CCEEFF"/>
            </w:tcBorders>
            <w:shd w:val="clear" w:color="auto" w:fill="CCEEFF"/>
          </w:tcPr>
          <w:p>
            <w:pPr>
              <w:spacing w:after="0"/>
              <w:rPr>
                <w:sz w:val="13"/>
                <w:szCs w:val="13"/>
                <w:color w:val="auto"/>
              </w:rPr>
            </w:pP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8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2,428</w:t>
            </w:r>
          </w:p>
        </w:tc>
        <w:tc>
          <w:tcPr>
            <w:tcW w:w="340" w:type="dxa"/>
            <w:vAlign w:val="bottom"/>
          </w:tcPr>
          <w:p>
            <w:pPr>
              <w:spacing w:after="0"/>
              <w:rPr>
                <w:sz w:val="13"/>
                <w:szCs w:val="13"/>
                <w:color w:val="auto"/>
              </w:rPr>
            </w:pPr>
          </w:p>
        </w:tc>
      </w:tr>
      <w:tr>
        <w:trPr>
          <w:trHeight w:val="15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8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2"/>
                <w:szCs w:val="12"/>
                <w:color w:val="auto"/>
              </w:rPr>
              <w:t xml:space="preserve">(301) </w:t>
            </w:r>
            <w:r>
              <w:rPr>
                <w:rFonts w:ascii="Times New Roman" w:cs="Times New Roman" w:eastAsia="Times New Roman" w:hAnsi="Times New Roman"/>
                <w:sz w:val="15"/>
                <w:szCs w:val="15"/>
                <w:color w:val="auto"/>
                <w:vertAlign w:val="superscript"/>
              </w:rPr>
              <w:t>(1)</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8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2,500</w:t>
            </w:r>
          </w:p>
        </w:tc>
        <w:tc>
          <w:tcPr>
            <w:tcW w:w="340" w:type="dxa"/>
            <w:vAlign w:val="bottom"/>
          </w:tcPr>
          <w:p>
            <w:pPr>
              <w:spacing w:after="0"/>
              <w:rPr>
                <w:sz w:val="13"/>
                <w:szCs w:val="13"/>
                <w:color w:val="auto"/>
              </w:rPr>
            </w:pPr>
          </w:p>
        </w:tc>
      </w:tr>
      <w:tr>
        <w:trPr>
          <w:trHeight w:val="15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8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3,537</w:t>
            </w:r>
          </w:p>
        </w:tc>
        <w:tc>
          <w:tcPr>
            <w:tcW w:w="340" w:type="dxa"/>
            <w:vAlign w:val="bottom"/>
            <w:shd w:val="clear" w:color="auto" w:fill="CCEEFF"/>
          </w:tcPr>
          <w:p>
            <w:pPr>
              <w:spacing w:after="0"/>
              <w:rPr>
                <w:sz w:val="13"/>
                <w:szCs w:val="13"/>
                <w:color w:val="auto"/>
              </w:rPr>
            </w:pPr>
          </w:p>
        </w:tc>
      </w:tr>
      <w:tr>
        <w:trPr>
          <w:trHeight w:val="153"/>
        </w:trPr>
        <w:tc>
          <w:tcPr>
            <w:tcW w:w="9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53,001</w:t>
            </w:r>
          </w:p>
        </w:tc>
        <w:tc>
          <w:tcPr>
            <w:tcW w:w="340" w:type="dxa"/>
            <w:vAlign w:val="bottom"/>
            <w:tcBorders>
              <w:bottom w:val="single" w:sz="8" w:color="CCEEFF"/>
            </w:tcBorders>
          </w:tcPr>
          <w:p>
            <w:pPr>
              <w:spacing w:after="0"/>
              <w:rPr>
                <w:sz w:val="13"/>
                <w:szCs w:val="13"/>
                <w:color w:val="auto"/>
              </w:rPr>
            </w:pPr>
          </w:p>
        </w:tc>
      </w:tr>
      <w:tr>
        <w:trPr>
          <w:trHeight w:val="142"/>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62,217</w:t>
            </w:r>
          </w:p>
        </w:tc>
        <w:tc>
          <w:tcPr>
            <w:tcW w:w="340" w:type="dxa"/>
            <w:vAlign w:val="bottom"/>
            <w:shd w:val="clear" w:color="auto" w:fill="CCEEFF"/>
          </w:tcPr>
          <w:p>
            <w:pPr>
              <w:spacing w:after="0"/>
              <w:rPr>
                <w:sz w:val="12"/>
                <w:szCs w:val="12"/>
                <w:color w:val="auto"/>
              </w:rPr>
            </w:pPr>
          </w:p>
        </w:tc>
      </w:tr>
      <w:tr>
        <w:trPr>
          <w:trHeight w:val="153"/>
        </w:trPr>
        <w:tc>
          <w:tcPr>
            <w:tcW w:w="9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Less: present value discount</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(32,392)</w:t>
            </w:r>
          </w:p>
        </w:tc>
        <w:tc>
          <w:tcPr>
            <w:tcW w:w="340" w:type="dxa"/>
            <w:vAlign w:val="bottom"/>
            <w:tcBorders>
              <w:bottom w:val="single" w:sz="8" w:color="CCEEFF"/>
            </w:tcBorders>
          </w:tcPr>
          <w:p>
            <w:pPr>
              <w:spacing w:after="0"/>
              <w:rPr>
                <w:sz w:val="13"/>
                <w:szCs w:val="13"/>
                <w:color w:val="auto"/>
              </w:rPr>
            </w:pPr>
          </w:p>
        </w:tc>
      </w:tr>
      <w:tr>
        <w:trPr>
          <w:trHeight w:val="158"/>
        </w:trPr>
        <w:tc>
          <w:tcPr>
            <w:tcW w:w="9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29,825</w:t>
            </w:r>
          </w:p>
        </w:tc>
        <w:tc>
          <w:tcPr>
            <w:tcW w:w="340" w:type="dxa"/>
            <w:vAlign w:val="bottom"/>
            <w:tcBorders>
              <w:bottom w:val="single" w:sz="8" w:color="CCEEFF"/>
            </w:tcBorders>
            <w:shd w:val="clear" w:color="auto" w:fill="CCEEFF"/>
          </w:tcPr>
          <w:p>
            <w:pPr>
              <w:spacing w:after="0"/>
              <w:rPr>
                <w:sz w:val="13"/>
                <w:szCs w:val="13"/>
                <w:color w:val="auto"/>
              </w:rPr>
            </w:pPr>
          </w:p>
        </w:tc>
      </w:tr>
    </w:tbl>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w:t>
      </w:r>
    </w:p>
    <w:p>
      <w:pPr>
        <w:spacing w:after="0" w:line="13"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year ending 2027, the negative amount reflects a reimbursement from the lessor for tenant improvement costs. The reimbursement exceeds the scheduled lease payments for that period.</w:t>
      </w:r>
    </w:p>
    <w:p>
      <w:pPr>
        <w:spacing w:after="0" w:line="111" w:lineRule="exact"/>
        <w:rPr>
          <w:sz w:val="20"/>
          <w:szCs w:val="20"/>
          <w:color w:val="auto"/>
        </w:rPr>
      </w:pPr>
    </w:p>
    <w:p>
      <w:pPr>
        <w:ind w:left="8" w:right="8900" w:hanging="8"/>
        <w:spacing w:after="0" w:line="457" w:lineRule="auto"/>
        <w:tabs>
          <w:tab w:leader="none" w:pos="12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(Deficit) and Warrants Public Offerings</w:t>
      </w:r>
    </w:p>
    <w:p>
      <w:pPr>
        <w:jc w:val="both"/>
        <w:ind w:left="8" w:right="120" w:firstLine="216"/>
        <w:spacing w:after="0" w:line="300" w:lineRule="auto"/>
        <w:rPr>
          <w:sz w:val="20"/>
          <w:szCs w:val="20"/>
          <w:color w:val="auto"/>
        </w:rPr>
      </w:pPr>
      <w:r>
        <w:rPr>
          <w:rFonts w:ascii="Times New Roman" w:cs="Times New Roman" w:eastAsia="Times New Roman" w:hAnsi="Times New Roman"/>
          <w:sz w:val="11"/>
          <w:szCs w:val="11"/>
          <w:color w:val="auto"/>
        </w:rPr>
        <w:t>On February 29, 2024, the Company entered into an underwriting agreement with Cowen and Company, LLC and Cantor Fitzgerald &amp; Co., as representatives of the several underwriters named therein, relating to the issuance and sale in an underwritten offering (the “2024 Public Offering”) of 15,410,000 shares of Common Stock, which included a full exercise of the Underwriters’ option to purchase additional shares, at a price to the public of $3.00 per share. The net proceeds to the Company from the 2024 Public Offering were approximately $43.0 million after deducting underwriting discounts and commissions and offering expenses. The 2024 Public Offering closed on March 5, 2024.</w:t>
      </w:r>
    </w:p>
    <w:p>
      <w:pPr>
        <w:spacing w:after="0" w:line="84" w:lineRule="exact"/>
        <w:rPr>
          <w:sz w:val="20"/>
          <w:szCs w:val="20"/>
          <w:color w:val="auto"/>
        </w:rPr>
      </w:pPr>
    </w:p>
    <w:p>
      <w:pPr>
        <w:ind w:left="8" w:right="20" w:firstLine="216"/>
        <w:spacing w:after="0" w:line="260" w:lineRule="auto"/>
        <w:rPr>
          <w:sz w:val="20"/>
          <w:szCs w:val="20"/>
          <w:color w:val="auto"/>
        </w:rPr>
      </w:pPr>
      <w:r>
        <w:rPr>
          <w:rFonts w:ascii="Times New Roman" w:cs="Times New Roman" w:eastAsia="Times New Roman" w:hAnsi="Times New Roman"/>
          <w:sz w:val="12"/>
          <w:szCs w:val="12"/>
          <w:color w:val="auto"/>
        </w:rPr>
        <w:t>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“Firm Shares”). The Company also granted the underwriters a 30-day option to purchase up to an additional 3,750,000 shares of Common Stock at the same price as the Firm Shares, which the underwriters did not exercise. The net proceeds to the Company from the 2025 Public Offering were approximately $46.7 million after deducting underwriting discounts and commissions and offering expenses. The 2025 Public Offering closed on March 27, 2025.</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Equity Line Financing</w:t>
      </w:r>
    </w:p>
    <w:p>
      <w:pPr>
        <w:spacing w:after="0" w:line="127" w:lineRule="exact"/>
        <w:rPr>
          <w:sz w:val="20"/>
          <w:szCs w:val="20"/>
          <w:color w:val="auto"/>
        </w:rPr>
      </w:pPr>
    </w:p>
    <w:p>
      <w:pPr>
        <w:ind w:left="8" w:right="20" w:firstLine="216"/>
        <w:spacing w:after="0" w:line="254" w:lineRule="auto"/>
        <w:rPr>
          <w:sz w:val="20"/>
          <w:szCs w:val="20"/>
          <w:color w:val="auto"/>
        </w:rPr>
      </w:pPr>
      <w:r>
        <w:rPr>
          <w:rFonts w:ascii="Times New Roman" w:cs="Times New Roman" w:eastAsia="Times New Roman" w:hAnsi="Times New Roman"/>
          <w:sz w:val="12"/>
          <w:szCs w:val="12"/>
          <w:color w:val="auto"/>
        </w:rPr>
        <w:t>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condensed consolidated balance sheets. The Common Stock Purchase Agreement is subsequently remeasured at each reporting date with changes in fair value recorded within Change in fair value of derivatives in the condensed consolidated statements of operations and comprehensive loss. Through September 30, 2025, the Company has sold 500,000 shares to Lincoln Park for aggregate</w:t>
      </w:r>
    </w:p>
    <w:p>
      <w:pPr>
        <w:spacing w:after="0" w:line="3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80"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gross proceeds of $2.5 million and as of September 30, 2025, the Company had $47.5 million in remaining availability for sales of Common Stock under the Common Stock Purchase Agreement. There were no purchases under the Common Stock Purchase Agreement during the three and nine months ended September 30,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Registered Direct Offerings</w:t>
      </w:r>
    </w:p>
    <w:p>
      <w:pPr>
        <w:spacing w:after="0" w:line="136"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On October 4, 2024, the Company entered into a securities purchase agreement with an institutional investor pursuant to which the investor purchased 5,681,820 shares of Common Stock and warrants to purchase up to 5,681,820 shares of Common Stock (the “October 2024 RDO Warrants”) in a registered direct offering (the “October 2024 Registered Direct Offering”). See below for additional information regarding the October 2024 RDO Warrants. The purchase price for one share of Common Stock and one warrant issued in the October 2024 Registered Direct Offering was $5.28. The net proceeds to the Company from the October 2024 Registered Direct Offering were approximately $28.0 million after deducting placement agent’s fees and offering expenses of approximately $2.0 million. The October 2024 Registered Direct Offering closed on October 7, 2024.</w:t>
      </w:r>
    </w:p>
    <w:p>
      <w:pPr>
        <w:spacing w:after="0" w:line="9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November 13, 2024, the Company entered into a securities purchase agreement with an institutional investor pursuant to which the investor purchased 2,808,988 shares of Common Stock and warrants to purchase up to 2,808,988 shares of Common Stock (the “November 2024 RDO Warrants”) in a registered direct offering (the “November 2024 Registered Direct Offering”). See below for additional information regarding the November 2024 RDO Warrants. The purchase price for one share of Common Stock and one warrant issued in the November 2024 Registered Direct Offering was $5.34. The net proceeds to the Company from the November 2024 Registered Direct Offering were approximately $14.9 million after deducting offering expenses of approximately $0.1 million. The November 2024 Registered Direct Offering closed on November 15, 2024.</w:t>
      </w:r>
    </w:p>
    <w:p>
      <w:pPr>
        <w:spacing w:after="0" w:line="86" w:lineRule="exact"/>
        <w:rPr>
          <w:sz w:val="20"/>
          <w:szCs w:val="20"/>
          <w:color w:val="auto"/>
        </w:rPr>
      </w:pPr>
    </w:p>
    <w:p>
      <w:pPr>
        <w:ind w:right="540" w:firstLine="216"/>
        <w:spacing w:after="0" w:line="264" w:lineRule="auto"/>
        <w:rPr>
          <w:sz w:val="20"/>
          <w:szCs w:val="20"/>
          <w:color w:val="auto"/>
        </w:rPr>
      </w:pPr>
      <w:r>
        <w:rPr>
          <w:rFonts w:ascii="Times New Roman" w:cs="Times New Roman" w:eastAsia="Times New Roman" w:hAnsi="Times New Roman"/>
          <w:sz w:val="12"/>
          <w:szCs w:val="12"/>
          <w:color w:val="auto"/>
        </w:rPr>
        <w:t>On October 6, 2025, the Company entered into a securities purchase agreement with an institutional investor pursuant to which the investor purchased 28,436,018 shares of Common Stock and warrants to purchase up to 28,436,018 shares of Common Stock (the “October 2025 RDO Warrants”) in a registered direct offering (the “October 2025 Registered Direct Offering”). See Note 14 — Subsequent Events for additional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ATM Facility</w:t>
      </w:r>
    </w:p>
    <w:p>
      <w:pPr>
        <w:spacing w:after="0" w:line="12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231F20"/>
        </w:rPr>
        <w:t xml:space="preserve">On September 1, 2022, the Company entered into the ATM Facility for the sale from time to time of up to </w:t>
      </w:r>
      <w:r>
        <w:rPr>
          <w:rFonts w:ascii="Times New Roman" w:cs="Times New Roman" w:eastAsia="Times New Roman" w:hAnsi="Times New Roman"/>
          <w:sz w:val="12"/>
          <w:szCs w:val="12"/>
          <w:color w:val="000000"/>
        </w:rPr>
        <w:t>$80.0 million</w:t>
      </w:r>
      <w:r>
        <w:rPr>
          <w:rFonts w:ascii="Times New Roman" w:cs="Times New Roman" w:eastAsia="Times New Roman" w:hAnsi="Times New Roman"/>
          <w:sz w:val="12"/>
          <w:szCs w:val="12"/>
          <w:color w:val="231F20"/>
        </w:rPr>
        <w:t xml:space="preserve"> of shares of Common Stock. </w:t>
      </w:r>
      <w:r>
        <w:rPr>
          <w:rFonts w:ascii="Times New Roman" w:cs="Times New Roman" w:eastAsia="Times New Roman" w:hAnsi="Times New Roman"/>
          <w:sz w:val="12"/>
          <w:szCs w:val="12"/>
          <w:color w:val="000000"/>
        </w:rPr>
        <w:t>During the three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xml:space="preserve"> the Company sold an aggregate of </w:t>
      </w:r>
      <w:r>
        <w:rPr>
          <w:rFonts w:ascii="Times New Roman" w:cs="Times New Roman" w:eastAsia="Times New Roman" w:hAnsi="Times New Roman"/>
          <w:sz w:val="12"/>
          <w:szCs w:val="12"/>
          <w:color w:val="000000"/>
        </w:rPr>
        <w:t>2,492,410 shares of Common Stock under the ATM Facility at an average price of $2.64 per share for net proceeds of approximately $6.2 million</w:t>
      </w:r>
      <w:r>
        <w:rPr>
          <w:rFonts w:ascii="Times New Roman" w:cs="Times New Roman" w:eastAsia="Times New Roman" w:hAnsi="Times New Roman"/>
          <w:sz w:val="12"/>
          <w:szCs w:val="12"/>
          <w:color w:val="231F20"/>
        </w:rPr>
        <w:t xml:space="preserve">. During the </w:t>
      </w:r>
      <w:r>
        <w:rPr>
          <w:rFonts w:ascii="Times New Roman" w:cs="Times New Roman" w:eastAsia="Times New Roman" w:hAnsi="Times New Roman"/>
          <w:sz w:val="12"/>
          <w:szCs w:val="12"/>
          <w:color w:val="000000"/>
        </w:rPr>
        <w:t>nine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xml:space="preserve"> the Company sold an aggregate of </w:t>
      </w:r>
      <w:r>
        <w:rPr>
          <w:rFonts w:ascii="Times New Roman" w:cs="Times New Roman" w:eastAsia="Times New Roman" w:hAnsi="Times New Roman"/>
          <w:sz w:val="12"/>
          <w:szCs w:val="12"/>
          <w:color w:val="000000"/>
        </w:rPr>
        <w:t>3,792,280</w:t>
      </w:r>
      <w:r>
        <w:rPr>
          <w:rFonts w:ascii="Times New Roman" w:cs="Times New Roman" w:eastAsia="Times New Roman" w:hAnsi="Times New Roman"/>
          <w:sz w:val="12"/>
          <w:szCs w:val="12"/>
          <w:color w:val="231F20"/>
        </w:rPr>
        <w:t xml:space="preserve"> shares of Common Stock under the ATM Facility at an average price of </w:t>
      </w:r>
      <w:r>
        <w:rPr>
          <w:rFonts w:ascii="Times New Roman" w:cs="Times New Roman" w:eastAsia="Times New Roman" w:hAnsi="Times New Roman"/>
          <w:sz w:val="12"/>
          <w:szCs w:val="12"/>
          <w:color w:val="000000"/>
        </w:rPr>
        <w:t>$2.72</w:t>
      </w:r>
      <w:r>
        <w:rPr>
          <w:rFonts w:ascii="Times New Roman" w:cs="Times New Roman" w:eastAsia="Times New Roman" w:hAnsi="Times New Roman"/>
          <w:sz w:val="12"/>
          <w:szCs w:val="12"/>
          <w:color w:val="231F20"/>
        </w:rPr>
        <w:t xml:space="preserve"> per share for net proceeds of approximately </w:t>
      </w:r>
      <w:r>
        <w:rPr>
          <w:rFonts w:ascii="Times New Roman" w:cs="Times New Roman" w:eastAsia="Times New Roman" w:hAnsi="Times New Roman"/>
          <w:sz w:val="12"/>
          <w:szCs w:val="12"/>
          <w:color w:val="000000"/>
        </w:rPr>
        <w:t>$9.8 million.</w:t>
      </w:r>
      <w:r>
        <w:rPr>
          <w:rFonts w:ascii="Times New Roman" w:cs="Times New Roman" w:eastAsia="Times New Roman" w:hAnsi="Times New Roman"/>
          <w:sz w:val="12"/>
          <w:szCs w:val="12"/>
          <w:color w:val="231F20"/>
        </w:rPr>
        <w:t xml:space="preserve"> As of </w:t>
      </w:r>
      <w:r>
        <w:rPr>
          <w:rFonts w:ascii="Times New Roman" w:cs="Times New Roman" w:eastAsia="Times New Roman" w:hAnsi="Times New Roman"/>
          <w:sz w:val="12"/>
          <w:szCs w:val="12"/>
          <w:color w:val="000000"/>
        </w:rPr>
        <w:t>September 30, 2025, the Company had $62.7 million in remaining</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availability for sales of Common Stock under the ATM Facility</w:t>
      </w:r>
      <w:r>
        <w:rPr>
          <w:rFonts w:ascii="Times New Roman" w:cs="Times New Roman" w:eastAsia="Times New Roman" w:hAnsi="Times New Roman"/>
          <w:sz w:val="12"/>
          <w:szCs w:val="12"/>
          <w:color w:val="231F20"/>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June 2025, the Company amended its Second Amended and Restated Certificate of Incorporation to increase the authorized number of shares of Common Stock from 250,000,000 to 350,000,000.</w:t>
      </w:r>
    </w:p>
    <w:p>
      <w:pPr>
        <w:spacing w:after="0" w:line="123"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holders of Common Stock are entitled to receive dividends from time to time as may be declared by the Company’s board of directors. Through September 30, 2025, no dividends have been declared. The Purchase Agreement limits the Company’s ability to pay cash dividends to the holders of Common Stock.</w:t>
      </w:r>
    </w:p>
    <w:p>
      <w:pPr>
        <w:spacing w:after="0" w:line="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holders of Common Stock are entitled to one vote for each share held with respect to all matters voted on by the common stockholders of the Company.</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27" w:name="page28"/>
    <w:bookmarkEnd w:id="2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As of September 30, 2025, the Company had reserved Common Stock for future issuances as follows:</w:t>
      </w:r>
    </w:p>
    <w:p>
      <w:pPr>
        <w:spacing w:after="0" w:line="63"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8"/>
          <w:szCs w:val="8"/>
          <w:b w:val="1"/>
          <w:bCs w:val="1"/>
          <w:color w:val="auto"/>
        </w:rPr>
        <w:t>September 30,</w:t>
      </w:r>
    </w:p>
    <w:p>
      <w:pPr>
        <w:spacing w:after="0" w:line="18"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0"/>
          <w:szCs w:val="10"/>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7804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Common Stock reserved for Contingent Earnout Shares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Common Stock reserved for Common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97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Common Stock reserved for ATM Facility</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Common Stock reserved for Option Agreement</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Exercise of options outstanding under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7804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Options available for issuance under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97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Warrants to purchase Common Stock</w:t>
      </w:r>
    </w:p>
    <w:p>
      <w:pPr>
        <w:spacing w:after="0" w:line="2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w:t>
      </w:r>
    </w:p>
    <w:p>
      <w:pPr>
        <w:spacing w:after="0" w:line="36"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4"/>
          <w:szCs w:val="14"/>
          <w:color w:val="231F20"/>
          <w:vertAlign w:val="superscript"/>
        </w:rPr>
      </w:pPr>
      <w:r>
        <w:rPr>
          <w:rFonts w:ascii="Times New Roman" w:cs="Times New Roman" w:eastAsia="Times New Roman" w:hAnsi="Times New Roman"/>
          <w:sz w:val="11"/>
          <w:szCs w:val="11"/>
          <w:color w:val="231F20"/>
        </w:rPr>
        <w:t xml:space="preserve">Assumes the exercise of the $8,050,000 </w:t>
      </w:r>
      <w:r>
        <w:rPr>
          <w:rFonts w:ascii="Times New Roman" w:cs="Times New Roman" w:eastAsia="Times New Roman" w:hAnsi="Times New Roman"/>
          <w:sz w:val="11"/>
          <w:szCs w:val="11"/>
          <w:color w:val="000000"/>
        </w:rPr>
        <w:t>of shares of Common Stock remaining</w:t>
      </w:r>
      <w:r>
        <w:rPr>
          <w:rFonts w:ascii="Times New Roman" w:cs="Times New Roman" w:eastAsia="Times New Roman" w:hAnsi="Times New Roman"/>
          <w:sz w:val="11"/>
          <w:szCs w:val="11"/>
          <w:color w:val="231F20"/>
        </w:rPr>
        <w:t xml:space="preserve"> under the Option as provided for in the Option Agreement at the minimum purchase price of $7.50 per share.</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15,000,000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12,000,000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14,874,124</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 xml:space="preserve">1,073,333 </w:t>
      </w:r>
      <w:r>
        <w:rPr>
          <w:rFonts w:ascii="Times New Roman" w:cs="Times New Roman" w:eastAsia="Times New Roman" w:hAnsi="Times New Roman"/>
          <w:sz w:val="14"/>
          <w:szCs w:val="14"/>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16,537,950</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8,037,751</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9,833,910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9525</wp:posOffset>
            </wp:positionV>
            <wp:extent cx="94297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77,357,068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10795</wp:posOffset>
            </wp:positionV>
            <wp:extent cx="94297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27940</wp:posOffset>
            </wp:positionV>
            <wp:extent cx="94297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806" w:lineRule="exact"/>
        <w:rPr>
          <w:sz w:val="20"/>
          <w:szCs w:val="20"/>
          <w:color w:val="auto"/>
        </w:rPr>
      </w:pPr>
    </w:p>
    <w:p>
      <w:pPr>
        <w:sectPr>
          <w:pgSz w:w="11900" w:h="16838" w:orient="portrait"/>
          <w:cols w:equalWidth="0" w:num="2">
            <w:col w:w="9708" w:space="720"/>
            <w:col w:w="880"/>
          </w:cols>
          <w:pgMar w:left="292" w:top="390" w:right="299" w:bottom="1440" w:gutter="0" w:footer="0" w:header="0"/>
          <w:type w:val="continuous"/>
        </w:sectPr>
      </w:pPr>
    </w:p>
    <w:p>
      <w:pPr>
        <w:ind w:left="8" w:right="120" w:firstLine="216"/>
        <w:spacing w:after="0" w:line="300" w:lineRule="auto"/>
        <w:rPr>
          <w:sz w:val="20"/>
          <w:szCs w:val="20"/>
          <w:color w:val="auto"/>
        </w:rPr>
      </w:pPr>
      <w:r>
        <w:rPr>
          <w:rFonts w:ascii="Times New Roman" w:cs="Times New Roman" w:eastAsia="Times New Roman" w:hAnsi="Times New Roman"/>
          <w:sz w:val="11"/>
          <w:szCs w:val="11"/>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preferences and relative, participating, optional, special and other rights shall be stated and expressed in such resolutions and the certificate of designations. There were 20,000,000 shares designated as preferred stock and none were outstanding as of September 30, 2025 and December 31, 2024.</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1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Company had the following Common Stock warrants outstanding:</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50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2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Legacy Humacyte Common Stock Warrants</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411,006</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411,006</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177,500</w:t>
            </w:r>
          </w:p>
        </w:tc>
        <w:tc>
          <w:tcPr>
            <w:tcW w:w="1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177,500</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Public Warrants</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5,000,000</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5,000,000</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October 2024 RDO Warrants</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2,840,910</w:t>
            </w:r>
          </w:p>
        </w:tc>
        <w:tc>
          <w:tcPr>
            <w:tcW w:w="1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5,681,820</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November 2024 RDO Warrants</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1,404,494</w:t>
            </w:r>
          </w:p>
        </w:tc>
        <w:tc>
          <w:tcPr>
            <w:tcW w:w="120" w:type="dxa"/>
            <w:vAlign w:val="bottom"/>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2,808,988</w:t>
            </w:r>
          </w:p>
        </w:tc>
      </w:tr>
      <w:tr>
        <w:trPr>
          <w:trHeight w:val="142"/>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Total Common Stock Warrants</w:t>
            </w: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9,833,910</w:t>
            </w:r>
          </w:p>
        </w:tc>
        <w:tc>
          <w:tcPr>
            <w:tcW w:w="120" w:type="dxa"/>
            <w:vAlign w:val="bottom"/>
          </w:tcPr>
          <w:p>
            <w:pPr>
              <w:spacing w:after="0"/>
              <w:rPr>
                <w:sz w:val="12"/>
                <w:szCs w:val="12"/>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14,079,314</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8" w:right="200" w:firstLine="216"/>
        <w:spacing w:after="0" w:line="265" w:lineRule="auto"/>
        <w:rPr>
          <w:sz w:val="20"/>
          <w:szCs w:val="20"/>
          <w:color w:val="auto"/>
        </w:rPr>
      </w:pPr>
      <w:r>
        <w:rPr>
          <w:rFonts w:ascii="Times New Roman" w:cs="Times New Roman" w:eastAsia="Times New Roman" w:hAnsi="Times New Roman"/>
          <w:sz w:val="12"/>
          <w:szCs w:val="12"/>
          <w:color w:val="auto"/>
        </w:rPr>
        <w:t>On April 5, 2025, October 2024 RDO Warrants to purchase 2,840,910 shares of Common Stock expired. On May 14, 2025, November 2024 RDO Warrants to purchase 1,404,494 shares of Common Stock expired. Other than as disclosed above, there were no issuances, exercises or expirations of warrants during the nine months ended September 30, 2025 or September 30, 2024. On October 6, 2025, in connection with the October 2025 Registered Direct Offering, the Company issued the October 2025 RDO Warrants to purchase 28,436,018 shares of Common Stock. See Note 14 — Subsequent Events for additional information.</w:t>
      </w:r>
    </w:p>
    <w:p>
      <w:pPr>
        <w:spacing w:after="0" w:line="9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b w:val="1"/>
          <w:bCs w:val="1"/>
          <w:i w:val="1"/>
          <w:iCs w:val="1"/>
          <w:color w:val="231F20"/>
        </w:rPr>
        <w:t>Legacy Humacyte Common Stock Warrants</w:t>
      </w:r>
    </w:p>
    <w:p>
      <w:pPr>
        <w:spacing w:after="0" w:line="154" w:lineRule="exact"/>
        <w:rPr>
          <w:sz w:val="20"/>
          <w:szCs w:val="20"/>
          <w:color w:val="auto"/>
        </w:rPr>
      </w:pPr>
    </w:p>
    <w:p>
      <w:pPr>
        <w:ind w:left="8" w:right="2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Company’s former loan agreement with SVB, in 2021 the Company granted warrants to the lenders to purchase up to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231F20"/>
        </w:rPr>
        <w:t>Public and Private Placement Warrants</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2"/>
          <w:szCs w:val="12"/>
          <w:i w:val="1"/>
          <w:iCs w:val="1"/>
          <w:color w:val="auto"/>
        </w:rPr>
        <w:t>Distinguishing Liabilities from Equity</w:t>
      </w:r>
      <w:r>
        <w:rPr>
          <w:rFonts w:ascii="Times New Roman" w:cs="Times New Roman" w:eastAsia="Times New Roman" w:hAnsi="Times New Roman"/>
          <w:sz w:val="12"/>
          <w:szCs w:val="12"/>
          <w:color w:val="auto"/>
        </w:rPr>
        <w:t xml:space="preserve">. The Company then evaluated the Common Stock Warrants under FASB ASC Topic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w:t>
      </w:r>
    </w:p>
    <w:p>
      <w:pPr>
        <w:spacing w:after="0" w:line="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Public Warrants</w:t>
      </w:r>
    </w:p>
    <w:p>
      <w:pPr>
        <w:spacing w:after="0" w:line="125"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spacing w:after="0" w:line="101" w:lineRule="exact"/>
        <w:rPr>
          <w:sz w:val="20"/>
          <w:szCs w:val="20"/>
          <w:color w:val="auto"/>
        </w:rPr>
      </w:pPr>
    </w:p>
    <w:p>
      <w:pPr>
        <w:jc w:val="both"/>
        <w:ind w:firstLine="216"/>
        <w:spacing w:after="0" w:line="291" w:lineRule="auto"/>
        <w:rPr>
          <w:sz w:val="20"/>
          <w:szCs w:val="20"/>
          <w:color w:val="auto"/>
        </w:rPr>
      </w:pPr>
      <w:r>
        <w:rPr>
          <w:rFonts w:ascii="Times New Roman" w:cs="Times New Roman" w:eastAsia="Times New Roman" w:hAnsi="Times New Roman"/>
          <w:sz w:val="11"/>
          <w:szCs w:val="11"/>
          <w:color w:val="auto"/>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Private Placement Warrants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93"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95"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Private Placement Warrants were initially recognized as a liability on the Closing Date, at a fair value of $0.6 million. See Note 3 — Fair Value Measurements for a summary of the change in the fair value of the Private Placement Warrants during the three and nine months ended September 30, 2025 and 2024. The remeasurement of the Private Placement Warrant liability to a fair value of $0.1 million as of September 30, 2025 from $0.4 million as of December 31, 2024 resulted in an insignificant non-cash gain for the three months ended September 30, 2025, and a gain of $0.3 million for the nine months ended September 30, 2025, compared to non-cash losses of $0.1 million and $0.3 million for the three and nine months ended September 30, 2024, respectively. The remeasurement of the Private Placement Warrant liability is classified within Change in fair value of derivatives in the condensed consolidated statements of operations and comprehensive loss.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Private Placement Warrants were valued using the following assumptions under the Monte Carlo simulation value model: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0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 price of public stock</w:t>
            </w:r>
          </w:p>
        </w:tc>
        <w:tc>
          <w:tcPr>
            <w:tcW w:w="112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5.05</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120" w:type="dxa"/>
            <w:vAlign w:val="bottom"/>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11.50</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Expected share price volatility</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128.0 %</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4.22 %</w:t>
            </w:r>
          </w:p>
        </w:tc>
      </w:tr>
      <w:tr>
        <w:trPr>
          <w:trHeight w:val="155"/>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r>
    </w:tbl>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Registered Direct Offering Warrants</w:t>
      </w:r>
    </w:p>
    <w:p>
      <w:pPr>
        <w:spacing w:after="0" w:line="13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 xml:space="preserve">Collectively, the October 2024 RDO Warrants and the November 2024 RDO Warrants are referred to as the “Registered Direct Offering Warrants”. </w:t>
      </w:r>
      <w:r>
        <w:rPr>
          <w:rFonts w:ascii="Times New Roman" w:cs="Times New Roman" w:eastAsia="Times New Roman" w:hAnsi="Times New Roman"/>
          <w:sz w:val="12"/>
          <w:szCs w:val="12"/>
          <w:color w:val="231F20"/>
        </w:rPr>
        <w:t>The Company evaluated the</w:t>
      </w:r>
      <w:r>
        <w:rPr>
          <w:rFonts w:ascii="Times New Roman" w:cs="Times New Roman" w:eastAsia="Times New Roman" w:hAnsi="Times New Roman"/>
          <w:sz w:val="12"/>
          <w:szCs w:val="12"/>
          <w:color w:val="auto"/>
        </w:rPr>
        <w:t xml:space="preserve"> Registered Direct Offering Warrants </w:t>
      </w:r>
      <w:r>
        <w:rPr>
          <w:rFonts w:ascii="Times New Roman" w:cs="Times New Roman" w:eastAsia="Times New Roman" w:hAnsi="Times New Roman"/>
          <w:sz w:val="12"/>
          <w:szCs w:val="12"/>
          <w:color w:val="231F20"/>
        </w:rPr>
        <w:t>to determine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appropriate financial statement classification upon issuance.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are not mandatorily redeemable and are considered to be freestanding instruments as they are separately exercisable into shares of Common Stock. The Company is not required to transfer assets to settle the warrants, except potentially as a result of a fundamental transaction (defined in the Registered Direct Offering Warrants to include various merger and change in control transactions). As such,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were not classified as liabilities under ASC 480. The Company then evaluated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under ASC 815.</w:t>
      </w:r>
    </w:p>
    <w:p>
      <w:pPr>
        <w:spacing w:after="0" w:line="95"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231F20"/>
        </w:rPr>
        <w:t xml:space="preserve">The agreements governing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xml:space="preserve"> include a provision, which, if applied, could result in a different settlement value for the </w:t>
      </w:r>
      <w:r>
        <w:rPr>
          <w:rFonts w:ascii="Times New Roman" w:cs="Times New Roman" w:eastAsia="Times New Roman" w:hAnsi="Times New Roman"/>
          <w:sz w:val="12"/>
          <w:szCs w:val="12"/>
          <w:color w:val="000000"/>
        </w:rPr>
        <w:t>Registered Direct Offering Warrants</w:t>
      </w:r>
      <w:r>
        <w:rPr>
          <w:rFonts w:ascii="Times New Roman" w:cs="Times New Roman" w:eastAsia="Times New Roman" w:hAnsi="Times New Roman"/>
          <w:sz w:val="12"/>
          <w:szCs w:val="12"/>
          <w:color w:val="231F20"/>
        </w:rPr>
        <w:t>. T</w:t>
      </w:r>
      <w:r>
        <w:rPr>
          <w:rFonts w:ascii="Times New Roman" w:cs="Times New Roman" w:eastAsia="Times New Roman" w:hAnsi="Times New Roman"/>
          <w:sz w:val="12"/>
          <w:szCs w:val="12"/>
          <w:color w:val="000000"/>
        </w:rPr>
        <w:t>he Registered Direct Offering</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Warrants cannot be exercised if after the exercise the warrant holder would own more than 4.99% of the outstanding Common Stock (the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stock.</w:t>
      </w:r>
    </w:p>
    <w:p>
      <w:pPr>
        <w:spacing w:after="0" w:line="98"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the event of a fundamental transaction, if the Registered Direct Offering Warrant holder elects to have the Company repurchase the applicable Registered Direct Offering Warrant(s), the Black-Scholes value of the Registered Direct Offering Warrant is calculated with adjustments to the stock price and volatility of the shares of Common Stock on the market. These are not standard adjustments in determining the fair value of an option. As the volatility adjustment provision violates the fixed-for-fixed rule, the Registered Direct Offering Warrants </w:t>
      </w:r>
      <w:r>
        <w:rPr>
          <w:rFonts w:ascii="Times New Roman" w:cs="Times New Roman" w:eastAsia="Times New Roman" w:hAnsi="Times New Roman"/>
          <w:sz w:val="12"/>
          <w:szCs w:val="12"/>
          <w:color w:val="231F20"/>
        </w:rPr>
        <w:t>are not considered to be “indexed to the Company’s own stock” and therefore are not classified in stockholders’ equity. As the</w:t>
      </w:r>
      <w:r>
        <w:rPr>
          <w:rFonts w:ascii="Times New Roman" w:cs="Times New Roman" w:eastAsia="Times New Roman" w:hAnsi="Times New Roman"/>
          <w:sz w:val="12"/>
          <w:szCs w:val="12"/>
          <w:color w:val="auto"/>
        </w:rPr>
        <w:t xml:space="preserve"> Registered Direct Offering Warrants </w:t>
      </w:r>
      <w:r>
        <w:rPr>
          <w:rFonts w:ascii="Times New Roman" w:cs="Times New Roman" w:eastAsia="Times New Roman" w:hAnsi="Times New Roman"/>
          <w:sz w:val="12"/>
          <w:szCs w:val="12"/>
          <w:color w:val="231F20"/>
        </w:rPr>
        <w:t>meet the definition of a derivative, the Company recorded these warrants as liabilities on the consolidated balance sheet at fair value, with subsequent changes in their respective fair values recognized in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consolidated statements of operations and comprehensive loss at each reporting date.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The Registered Direct Offering Warrants holders are entitled to participate in dividends and other distributions of assets to the same extent as if the holders held the number of shares of Common Stock issuable upon exercising the Registered Direct Offering Warrants. Therefore, the Registered Direct Offering Warrants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spacing w:after="0" w:line="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October 2024 RDO Warrants</w:t>
      </w:r>
    </w:p>
    <w:p>
      <w:pPr>
        <w:spacing w:after="0" w:line="134"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The October 2024 RDO Warrants were immediately exercisable. October 2024 RDO Warrants to purchase 2,840,910 shares of Common Stock had an exercise price of $5.28 per share, and expired 180 days from the date of issuance unexercised. The remaining October 2024 RDO Warrants to purchase 2,840,910 shares of Common Stock have an exercise price of $5.28 per share, and will expire 1,640 days from the date of issuance.</w:t>
      </w:r>
    </w:p>
    <w:p>
      <w:pPr>
        <w:spacing w:after="0" w:line="111" w:lineRule="exact"/>
        <w:rPr>
          <w:sz w:val="20"/>
          <w:szCs w:val="20"/>
          <w:color w:val="auto"/>
        </w:rPr>
      </w:pPr>
    </w:p>
    <w:p>
      <w:pPr>
        <w:ind w:right="300"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October 2024 RDO Warrants were initially recognized as a liability on the issuance date at a fair value of $15.2 million and were subsequently remeasured to a fair value of $12.4 million as of </w:t>
      </w:r>
      <w:r>
        <w:rPr>
          <w:rFonts w:ascii="Times New Roman" w:cs="Times New Roman" w:eastAsia="Times New Roman" w:hAnsi="Times New Roman"/>
          <w:sz w:val="12"/>
          <w:szCs w:val="12"/>
          <w:color w:val="231F20"/>
        </w:rPr>
        <w:t>December 31, 2024.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remeasurement of the October RDO Warrants liability to a fair value of </w:t>
      </w:r>
      <w:r>
        <w:rPr>
          <w:rFonts w:ascii="Times New Roman" w:cs="Times New Roman" w:eastAsia="Times New Roman" w:hAnsi="Times New Roman"/>
          <w:sz w:val="12"/>
          <w:szCs w:val="12"/>
          <w:color w:val="000000"/>
        </w:rPr>
        <w:t>$2.1 million as of September 30, 2025 resulted in a non-cash gain of $0.7 million and a non-cash gain of $10.4 million for the three and nine months ended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w:t>
      </w:r>
      <w:r>
        <w:rPr>
          <w:rFonts w:ascii="Times New Roman" w:cs="Times New Roman" w:eastAsia="Times New Roman" w:hAnsi="Times New Roman"/>
          <w:sz w:val="12"/>
          <w:szCs w:val="12"/>
          <w:color w:val="000000"/>
        </w:rPr>
        <w:t xml:space="preserve"> respectively, classified within Change in fair value of derivatives in the condensed consolidated statements of operations and comprehensive loss. </w:t>
      </w:r>
      <w:r>
        <w:rPr>
          <w:rFonts w:ascii="Times New Roman" w:cs="Times New Roman" w:eastAsia="Times New Roman" w:hAnsi="Times New Roman"/>
          <w:sz w:val="12"/>
          <w:szCs w:val="12"/>
          <w:color w:val="231F20"/>
        </w:rPr>
        <w:t>See</w:t>
      </w:r>
      <w:r>
        <w:rPr>
          <w:rFonts w:ascii="Times New Roman" w:cs="Times New Roman" w:eastAsia="Times New Roman" w:hAnsi="Times New Roman"/>
          <w:sz w:val="12"/>
          <w:szCs w:val="12"/>
          <w:color w:val="000000"/>
        </w:rPr>
        <w:t xml:space="preserve"> Note 3 — Fair Value Measurements </w:t>
      </w:r>
      <w:r>
        <w:rPr>
          <w:rFonts w:ascii="Times New Roman" w:cs="Times New Roman" w:eastAsia="Times New Roman" w:hAnsi="Times New Roman"/>
          <w:sz w:val="12"/>
          <w:szCs w:val="12"/>
          <w:color w:val="231F20"/>
        </w:rPr>
        <w:t>for a summary of the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 xml:space="preserve">change in the fair value of the October 2024 RDO Warrants during the </w:t>
      </w:r>
      <w:r>
        <w:rPr>
          <w:rFonts w:ascii="Times New Roman" w:cs="Times New Roman" w:eastAsia="Times New Roman" w:hAnsi="Times New Roman"/>
          <w:sz w:val="12"/>
          <w:szCs w:val="12"/>
          <w:color w:val="000000"/>
        </w:rPr>
        <w:t>three and nine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w:t>
      </w:r>
    </w:p>
    <w:p>
      <w:pPr>
        <w:spacing w:after="0" w:line="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The October 2024 RDO Warrants were valued using the following assumptions under the Black-Scholes valuation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260" w:type="dxa"/>
            <w:vAlign w:val="bottom"/>
          </w:tcPr>
          <w:p>
            <w:pPr>
              <w:spacing w:after="0"/>
              <w:rPr>
                <w:sz w:val="11"/>
                <w:szCs w:val="11"/>
                <w:color w:val="auto"/>
              </w:rPr>
            </w:pPr>
          </w:p>
        </w:tc>
        <w:tc>
          <w:tcPr>
            <w:tcW w:w="12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93"/>
              </w:rPr>
              <w:t>180 Day Warrants</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1,640 Day Warrants</w:t>
            </w:r>
          </w:p>
        </w:tc>
        <w:tc>
          <w:tcPr>
            <w:tcW w:w="1180" w:type="dxa"/>
            <w:vAlign w:val="bottom"/>
            <w:tcBorders>
              <w:bottom w:val="single" w:sz="8" w:color="auto"/>
            </w:tcBorders>
          </w:tcPr>
          <w:p>
            <w:pPr>
              <w:spacing w:after="0"/>
              <w:rPr>
                <w:sz w:val="11"/>
                <w:szCs w:val="11"/>
                <w:color w:val="auto"/>
              </w:rPr>
            </w:pPr>
          </w:p>
        </w:tc>
      </w:tr>
      <w:tr>
        <w:trPr>
          <w:trHeight w:val="89"/>
        </w:trPr>
        <w:tc>
          <w:tcPr>
            <w:tcW w:w="6260" w:type="dxa"/>
            <w:vAlign w:val="bottom"/>
          </w:tcPr>
          <w:p>
            <w:pPr>
              <w:spacing w:after="0"/>
              <w:rPr>
                <w:sz w:val="7"/>
                <w:szCs w:val="7"/>
                <w:color w:val="auto"/>
              </w:rPr>
            </w:pPr>
          </w:p>
        </w:tc>
        <w:tc>
          <w:tcPr>
            <w:tcW w:w="1200" w:type="dxa"/>
            <w:vAlign w:val="bottom"/>
          </w:tcPr>
          <w:p>
            <w:pPr>
              <w:jc w:val="center"/>
              <w:ind w:left="350"/>
              <w:spacing w:after="0" w:line="8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right"/>
              <w:ind w:right="29"/>
              <w:spacing w:after="0" w:line="89"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jc w:val="right"/>
              <w:ind w:right="483"/>
              <w:spacing w:after="0" w:line="8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62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 price of public stock</w:t>
            </w:r>
          </w:p>
        </w:tc>
        <w:tc>
          <w:tcPr>
            <w:tcW w:w="12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5.05</w:t>
            </w:r>
          </w:p>
        </w:tc>
      </w:tr>
      <w:tr>
        <w:trPr>
          <w:trHeight w:val="153"/>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200" w:type="dxa"/>
            <w:vAlign w:val="bottom"/>
          </w:tcPr>
          <w:p>
            <w:pPr>
              <w:jc w:val="right"/>
              <w:ind w:right="109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5.28</w:t>
            </w:r>
          </w:p>
        </w:tc>
        <w:tc>
          <w:tcPr>
            <w:tcW w:w="80" w:type="dxa"/>
            <w:vAlign w:val="bottom"/>
          </w:tcPr>
          <w:p>
            <w:pPr>
              <w:spacing w:after="0"/>
              <w:rPr>
                <w:sz w:val="13"/>
                <w:szCs w:val="13"/>
                <w:color w:val="auto"/>
              </w:rPr>
            </w:pPr>
          </w:p>
        </w:tc>
        <w:tc>
          <w:tcPr>
            <w:tcW w:w="1180" w:type="dxa"/>
            <w:vAlign w:val="bottom"/>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5.28</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5.28</w:t>
            </w:r>
          </w:p>
        </w:tc>
      </w:tr>
      <w:tr>
        <w:trPr>
          <w:trHeight w:val="15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w:t>
            </w:r>
          </w:p>
        </w:tc>
      </w:tr>
      <w:tr>
        <w:trPr>
          <w:trHeight w:val="153"/>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Expected share price volatility</w:t>
            </w: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106.7 %</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88.4 %</w:t>
            </w:r>
          </w:p>
        </w:tc>
      </w:tr>
      <w:tr>
        <w:trPr>
          <w:trHeight w:val="15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4.27 %</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3.58 %</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r>
      <w:tr>
        <w:trPr>
          <w:trHeight w:val="155"/>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r>
    </w:tbl>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November 2024 RDO Warrants</w:t>
      </w:r>
    </w:p>
    <w:p>
      <w:pPr>
        <w:spacing w:after="0" w:line="13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November 2024 RDO Warrants were immediately exercisable. November 2024 RDO Warrants to purchase 1,404,494 shares of Common Stock had an exercise price of $5.34 per share, and expired 180 days from the date of issuance unexercised. The remaining November 2024 RDO Warrants to purchase 1,404,494 shares of Common Stock have an exercise price of $5.34 per share, and will expire 1,640 days from the date of issuance.</w:t>
      </w:r>
    </w:p>
    <w:p>
      <w:pPr>
        <w:spacing w:after="0" w:line="1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November 2024 RDO Warrants were initially recognized as a liability on the issuance date at a fair value of $6.1 million and were subsequently remeasured to a fair value of $6.4 million as of </w:t>
      </w:r>
      <w:r>
        <w:rPr>
          <w:rFonts w:ascii="Times New Roman" w:cs="Times New Roman" w:eastAsia="Times New Roman" w:hAnsi="Times New Roman"/>
          <w:sz w:val="12"/>
          <w:szCs w:val="12"/>
          <w:color w:val="231F20"/>
        </w:rPr>
        <w:t>December 31, 2024.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remeasurement of the </w:t>
      </w:r>
      <w:r>
        <w:rPr>
          <w:rFonts w:ascii="Times New Roman" w:cs="Times New Roman" w:eastAsia="Times New Roman" w:hAnsi="Times New Roman"/>
          <w:sz w:val="12"/>
          <w:szCs w:val="12"/>
          <w:color w:val="000000"/>
        </w:rPr>
        <w:t>November 2024 RDO Warrants liability</w:t>
      </w:r>
      <w:r>
        <w:rPr>
          <w:rFonts w:ascii="Times New Roman" w:cs="Times New Roman" w:eastAsia="Times New Roman" w:hAnsi="Times New Roman"/>
          <w:sz w:val="12"/>
          <w:szCs w:val="12"/>
          <w:color w:val="231F20"/>
        </w:rPr>
        <w:t xml:space="preserve"> to a fair value of </w:t>
      </w:r>
      <w:r>
        <w:rPr>
          <w:rFonts w:ascii="Times New Roman" w:cs="Times New Roman" w:eastAsia="Times New Roman" w:hAnsi="Times New Roman"/>
          <w:sz w:val="12"/>
          <w:szCs w:val="12"/>
          <w:color w:val="000000"/>
        </w:rPr>
        <w:t>$1.1 million as of September 30, 2025 resulted in a non-cash gain of $0.4 million and a non-cash gain of $5.4 million for the three and nine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w:t>
      </w:r>
      <w:r>
        <w:rPr>
          <w:rFonts w:ascii="Times New Roman" w:cs="Times New Roman" w:eastAsia="Times New Roman" w:hAnsi="Times New Roman"/>
          <w:sz w:val="12"/>
          <w:szCs w:val="12"/>
          <w:color w:val="000000"/>
        </w:rPr>
        <w:t xml:space="preserve"> respectively, classified within Change in fair value of derivatives in the condensed consolidated statements of operations and comprehensive loss. </w:t>
      </w:r>
      <w:r>
        <w:rPr>
          <w:rFonts w:ascii="Times New Roman" w:cs="Times New Roman" w:eastAsia="Times New Roman" w:hAnsi="Times New Roman"/>
          <w:sz w:val="12"/>
          <w:szCs w:val="12"/>
          <w:color w:val="231F20"/>
        </w:rPr>
        <w:t>See</w:t>
      </w:r>
      <w:r>
        <w:rPr>
          <w:rFonts w:ascii="Times New Roman" w:cs="Times New Roman" w:eastAsia="Times New Roman" w:hAnsi="Times New Roman"/>
          <w:sz w:val="12"/>
          <w:szCs w:val="12"/>
          <w:color w:val="000000"/>
        </w:rPr>
        <w:t xml:space="preserve"> Note 3 — Fair Value Measurements </w:t>
      </w:r>
      <w:r>
        <w:rPr>
          <w:rFonts w:ascii="Times New Roman" w:cs="Times New Roman" w:eastAsia="Times New Roman" w:hAnsi="Times New Roman"/>
          <w:sz w:val="12"/>
          <w:szCs w:val="12"/>
          <w:color w:val="231F20"/>
        </w:rPr>
        <w:t>for a summary of the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 xml:space="preserve">change in the fair value of the November 2024 RDO Warrants during the </w:t>
      </w:r>
      <w:r>
        <w:rPr>
          <w:rFonts w:ascii="Times New Roman" w:cs="Times New Roman" w:eastAsia="Times New Roman" w:hAnsi="Times New Roman"/>
          <w:sz w:val="12"/>
          <w:szCs w:val="12"/>
          <w:color w:val="000000"/>
        </w:rPr>
        <w:t>three and nine</w:t>
      </w:r>
      <w:r>
        <w:rPr>
          <w:rFonts w:ascii="Times New Roman" w:cs="Times New Roman" w:eastAsia="Times New Roman" w:hAnsi="Times New Roman"/>
          <w:sz w:val="12"/>
          <w:szCs w:val="12"/>
          <w:color w:val="231F20"/>
        </w:rPr>
        <w:t xml:space="preserve"> months ended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The November 2024 RDO Warrants were valued using the following assumptions under the Black-Scholes valuation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260" w:type="dxa"/>
            <w:vAlign w:val="bottom"/>
          </w:tcPr>
          <w:p>
            <w:pPr>
              <w:spacing w:after="0"/>
              <w:rPr>
                <w:sz w:val="11"/>
                <w:szCs w:val="11"/>
                <w:color w:val="auto"/>
              </w:rPr>
            </w:pPr>
          </w:p>
        </w:tc>
        <w:tc>
          <w:tcPr>
            <w:tcW w:w="12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93"/>
              </w:rPr>
              <w:t>180 Day Warrants</w:t>
            </w: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1,640 Day Warrants</w:t>
            </w:r>
          </w:p>
        </w:tc>
        <w:tc>
          <w:tcPr>
            <w:tcW w:w="1180" w:type="dxa"/>
            <w:vAlign w:val="bottom"/>
            <w:tcBorders>
              <w:bottom w:val="single" w:sz="8" w:color="auto"/>
            </w:tcBorders>
          </w:tcPr>
          <w:p>
            <w:pPr>
              <w:spacing w:after="0"/>
              <w:rPr>
                <w:sz w:val="11"/>
                <w:szCs w:val="11"/>
                <w:color w:val="auto"/>
              </w:rPr>
            </w:pPr>
          </w:p>
        </w:tc>
      </w:tr>
      <w:tr>
        <w:trPr>
          <w:trHeight w:val="89"/>
        </w:trPr>
        <w:tc>
          <w:tcPr>
            <w:tcW w:w="6260" w:type="dxa"/>
            <w:vAlign w:val="bottom"/>
          </w:tcPr>
          <w:p>
            <w:pPr>
              <w:spacing w:after="0"/>
              <w:rPr>
                <w:sz w:val="7"/>
                <w:szCs w:val="7"/>
                <w:color w:val="auto"/>
              </w:rPr>
            </w:pPr>
          </w:p>
        </w:tc>
        <w:tc>
          <w:tcPr>
            <w:tcW w:w="1200" w:type="dxa"/>
            <w:vAlign w:val="bottom"/>
          </w:tcPr>
          <w:p>
            <w:pPr>
              <w:jc w:val="center"/>
              <w:ind w:left="350"/>
              <w:spacing w:after="0" w:line="8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right"/>
              <w:ind w:right="29"/>
              <w:spacing w:after="0" w:line="89"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jc w:val="right"/>
              <w:ind w:right="483"/>
              <w:spacing w:after="0" w:line="89"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62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 price of public stock</w:t>
            </w:r>
          </w:p>
        </w:tc>
        <w:tc>
          <w:tcPr>
            <w:tcW w:w="12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5.05</w:t>
            </w:r>
          </w:p>
        </w:tc>
      </w:tr>
      <w:tr>
        <w:trPr>
          <w:trHeight w:val="153"/>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200" w:type="dxa"/>
            <w:vAlign w:val="bottom"/>
          </w:tcPr>
          <w:p>
            <w:pPr>
              <w:jc w:val="right"/>
              <w:ind w:right="109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tcPr>
          <w:p>
            <w:pPr>
              <w:spacing w:after="0"/>
              <w:rPr>
                <w:sz w:val="13"/>
                <w:szCs w:val="13"/>
                <w:color w:val="auto"/>
              </w:rPr>
            </w:pPr>
          </w:p>
        </w:tc>
        <w:tc>
          <w:tcPr>
            <w:tcW w:w="1180" w:type="dxa"/>
            <w:vAlign w:val="bottom"/>
          </w:tcPr>
          <w:p>
            <w:pPr>
              <w:jc w:val="right"/>
              <w:ind w:right="106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5.34</w:t>
            </w:r>
          </w:p>
        </w:tc>
      </w:tr>
      <w:tr>
        <w:trPr>
          <w:trHeight w:val="15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r>
      <w:tr>
        <w:trPr>
          <w:trHeight w:val="153"/>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Expected share price volatility</w:t>
            </w: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106.7 %</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88.4 %</w:t>
            </w:r>
          </w:p>
        </w:tc>
      </w:tr>
      <w:tr>
        <w:trPr>
          <w:trHeight w:val="15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4.22 %</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3.59 %</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w:t>
            </w:r>
          </w:p>
        </w:tc>
      </w:tr>
      <w:tr>
        <w:trPr>
          <w:trHeight w:val="155"/>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r>
    </w:tbl>
    <w:p>
      <w:pPr>
        <w:spacing w:after="0" w:line="167"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On October 6, 2025, in connection with the October 2025 Registered Direct Offering, the Company issued the October 2025 RDO Warrants to purchase 28,436,018 shares of Common Stock. See Note 14 — Subsequent Events for additional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Earnout Liability</w:t>
      </w:r>
    </w:p>
    <w:p>
      <w:pPr>
        <w:spacing w:after="0" w:line="12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9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Upon the Closing, the contingent obligation to issue Contingent Earnout Shares was accounted for as a liability (“Contingent Earnout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0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See Note 3 — Fair Value Measurements for a summary of the change in the fair value of the Contingent Earnout Liability during the three and nine months ended September 30, 2025 and 2024. The remeasurement of the Contingent Earnout Liability to a fair value of $21.8 million as of September 30, 2025 from a fair value of $71.0 million as of December 31, 2024, resulted in a non-cash gain of $4.9 million and a non-cash gain of $49.2 million for the three and nine months ended September 30, 2025, respectively, compared to non-cash losses of $8.5 million and $38.7 million for the three and nine months ended September 30, 2024, respectively.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Assumptions used in the valuations are described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80" w:type="dxa"/>
            <w:vAlign w:val="bottom"/>
          </w:tcPr>
          <w:p>
            <w:pPr>
              <w:spacing w:after="0"/>
              <w:rPr>
                <w:sz w:val="10"/>
                <w:szCs w:val="10"/>
                <w:color w:val="auto"/>
              </w:rPr>
            </w:pP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0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stock price</w:t>
            </w:r>
          </w:p>
        </w:tc>
        <w:tc>
          <w:tcPr>
            <w:tcW w:w="114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5.05</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Expected share price volatility</w:t>
            </w:r>
          </w:p>
        </w:tc>
        <w:tc>
          <w:tcPr>
            <w:tcW w:w="1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84.8 %</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4.16 %</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4.58 %</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0 %</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Stock-based Compensation</w:t>
      </w:r>
    </w:p>
    <w:p>
      <w:pPr>
        <w:spacing w:after="0" w:line="127"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Common Stock at the lower of 85% of the closing trading price per share of Common Stock on the first day of the offering or 85% of the closing trading price per share on the exercise date, which will occur on the last day of each offering.</w:t>
      </w:r>
    </w:p>
    <w:p>
      <w:pPr>
        <w:spacing w:after="0" w:line="10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The 2021 Plan and ESPP provide that on January 1 of each year, the 2021 Plan and the ESPP reserve will automatically increase in an amount equal to the lesser of (a) 5% and 1%, respectively, of the number of shares of Common Stock outstanding on December 31 of the preceding year and (b) a number of shares of Common Stock determined by the Company’s board of directors. The 2021 Plan share reserve automatically increased on January 1, 2024 by 5,183,686 shares, which was equivalent to 5% of the number of shares of Common Stock outstanding on December 31, 2023. The 2021 Plan share reserve automatically increased on January 1, 2025 by 6,501,375 shares, which was equivalent to 5% of the number of shares of Common Stock outstanding on December 31, 2024. Since the inception of the ESPP, the Company’s board of directors determined that there would be no automatic increase in the number of shares reserved under the ESPP. Effective April 17, 2025, the Company’s board of directors reduced the number of shares reserved under the ESPP to zero shares of Common Stock. As of September 30, 2025, 8,037,751 shares of Common Stock were available under the 2021 Plan.</w:t>
      </w:r>
    </w:p>
    <w:p>
      <w:pPr>
        <w:spacing w:after="0" w:line="98"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Prior to the Closing, Legacy Humacyte had two equity incentive plans, the 2015 Omnibus Incentive Plan, as amended (the “2015 Plan”), and the 2005 Stock Option Plan (the “2005 Plan”). As a result of the Merger, following the Closing, no further awards were granted under either the 2015 Plan or the 2005 Plan. All awards previously granted and outstanding as of the effective date of the Merger were adjusted to reflect the impact of the Merger,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September 30, 2025, 13,200,091 and 3,337,859 shares of Common Stock remain reserved for outstanding options issued under the 2021 Plan and the 2015 Plan, respectively, and there were no shares of Common Stock outstanding under the 2005 Plan. The Company has sufficient authorized and unissued shares to issue Common Stock in satisfaction of any outstanding awards and any awards available for grant under the 2021 Plan.</w:t>
      </w:r>
    </w:p>
    <w:p>
      <w:pPr>
        <w:spacing w:after="0" w:line="98" w:lineRule="exact"/>
        <w:rPr>
          <w:sz w:val="20"/>
          <w:szCs w:val="20"/>
          <w:color w:val="auto"/>
        </w:rPr>
      </w:pPr>
    </w:p>
    <w:p>
      <w:pPr>
        <w:ind w:right="320" w:firstLine="216"/>
        <w:spacing w:after="0" w:line="265" w:lineRule="auto"/>
        <w:rPr>
          <w:sz w:val="20"/>
          <w:szCs w:val="20"/>
          <w:color w:val="auto"/>
        </w:rPr>
      </w:pPr>
      <w:r>
        <w:rPr>
          <w:rFonts w:ascii="Times New Roman" w:cs="Times New Roman" w:eastAsia="Times New Roman" w:hAnsi="Times New Roman"/>
          <w:sz w:val="12"/>
          <w:szCs w:val="12"/>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98"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01"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estimated the fair value of the stock options on the date of grant using the following assumptions in the Black-Scholes option-pricing model: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20" w:type="dxa"/>
            <w:vAlign w:val="bottom"/>
          </w:tcPr>
          <w:p>
            <w:pPr>
              <w:spacing w:after="0"/>
              <w:rPr>
                <w:sz w:val="11"/>
                <w:szCs w:val="11"/>
                <w:color w:val="auto"/>
              </w:rPr>
            </w:pPr>
          </w:p>
        </w:tc>
        <w:tc>
          <w:tcPr>
            <w:tcW w:w="2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tcBorders>
              <w:bottom w:val="single" w:sz="8" w:color="auto"/>
            </w:tcBorders>
            <w:gridSpan w:val="3"/>
          </w:tcPr>
          <w:p>
            <w:pPr>
              <w:jc w:val="right"/>
              <w:ind w:right="807"/>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0" w:type="dxa"/>
            <w:vAlign w:val="bottom"/>
          </w:tcPr>
          <w:p>
            <w:pPr>
              <w:spacing w:after="0"/>
              <w:rPr>
                <w:sz w:val="1"/>
                <w:szCs w:val="1"/>
                <w:color w:val="auto"/>
              </w:rPr>
            </w:pPr>
          </w:p>
        </w:tc>
      </w:tr>
      <w:tr>
        <w:trPr>
          <w:trHeight w:val="128"/>
        </w:trPr>
        <w:tc>
          <w:tcPr>
            <w:tcW w:w="492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08"/>
        </w:trPr>
        <w:tc>
          <w:tcPr>
            <w:tcW w:w="49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Expected share price volatility (weighted average and range, if applicable)</w:t>
            </w:r>
          </w:p>
        </w:tc>
        <w:tc>
          <w:tcPr>
            <w:tcW w:w="1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95.7%</w:t>
            </w: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92.8%</w:t>
            </w:r>
          </w:p>
        </w:tc>
        <w:tc>
          <w:tcPr>
            <w:tcW w:w="80" w:type="dxa"/>
            <w:vAlign w:val="bottom"/>
          </w:tcPr>
          <w:p>
            <w:pPr>
              <w:spacing w:after="0"/>
              <w:rPr>
                <w:sz w:val="9"/>
                <w:szCs w:val="9"/>
                <w:color w:val="auto"/>
              </w:rPr>
            </w:pPr>
          </w:p>
        </w:tc>
        <w:tc>
          <w:tcPr>
            <w:tcW w:w="1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92.8%</w:t>
            </w:r>
          </w:p>
        </w:tc>
        <w:tc>
          <w:tcPr>
            <w:tcW w:w="80" w:type="dxa"/>
            <w:vAlign w:val="bottom"/>
          </w:tcPr>
          <w:p>
            <w:pPr>
              <w:spacing w:after="0"/>
              <w:rPr>
                <w:sz w:val="9"/>
                <w:szCs w:val="9"/>
                <w:color w:val="auto"/>
              </w:rPr>
            </w:pPr>
          </w:p>
        </w:tc>
        <w:tc>
          <w:tcPr>
            <w:tcW w:w="1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91.8%</w:t>
            </w:r>
          </w:p>
        </w:tc>
        <w:tc>
          <w:tcPr>
            <w:tcW w:w="0" w:type="dxa"/>
            <w:vAlign w:val="bottom"/>
          </w:tcPr>
          <w:p>
            <w:pPr>
              <w:spacing w:after="0"/>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62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95.7% to 95.7%</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ind w:left="820"/>
              <w:spacing w:after="0"/>
              <w:rPr>
                <w:sz w:val="20"/>
                <w:szCs w:val="20"/>
                <w:color w:val="auto"/>
              </w:rPr>
            </w:pPr>
            <w:r>
              <w:rPr>
                <w:rFonts w:ascii="Times New Roman" w:cs="Times New Roman" w:eastAsia="Times New Roman" w:hAnsi="Times New Roman"/>
                <w:sz w:val="11"/>
                <w:szCs w:val="11"/>
                <w:color w:val="auto"/>
              </w:rPr>
              <w:t>92.2% to 95.7%</w:t>
            </w: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 to 92.8%</w:t>
            </w:r>
          </w:p>
        </w:tc>
        <w:tc>
          <w:tcPr>
            <w:tcW w:w="0" w:type="dxa"/>
            <w:vAlign w:val="bottom"/>
          </w:tcPr>
          <w:p>
            <w:pPr>
              <w:spacing w:after="0"/>
              <w:rPr>
                <w:sz w:val="1"/>
                <w:szCs w:val="1"/>
                <w:color w:val="auto"/>
              </w:rPr>
            </w:pPr>
          </w:p>
        </w:tc>
      </w:tr>
      <w:tr>
        <w:trPr>
          <w:trHeight w:val="108"/>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 (weighted average and range, if applicable)</w:t>
            </w:r>
          </w:p>
        </w:tc>
        <w:tc>
          <w:tcPr>
            <w:tcW w:w="1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rPr>
              <w:t>3.76%</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rPr>
              <w:t>3.54%</w:t>
            </w:r>
          </w:p>
        </w:tc>
        <w:tc>
          <w:tcPr>
            <w:tcW w:w="80" w:type="dxa"/>
            <w:vAlign w:val="bottom"/>
            <w:shd w:val="clear" w:color="auto" w:fill="CCEEFF"/>
          </w:tcPr>
          <w:p>
            <w:pPr>
              <w:spacing w:after="0"/>
              <w:rPr>
                <w:sz w:val="9"/>
                <w:szCs w:val="9"/>
                <w:color w:val="auto"/>
              </w:rPr>
            </w:pPr>
          </w:p>
        </w:tc>
        <w:tc>
          <w:tcPr>
            <w:tcW w:w="1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rPr>
              <w:t>4.38%</w:t>
            </w:r>
          </w:p>
        </w:tc>
        <w:tc>
          <w:tcPr>
            <w:tcW w:w="80" w:type="dxa"/>
            <w:vAlign w:val="bottom"/>
            <w:shd w:val="clear" w:color="auto" w:fill="CCEEFF"/>
          </w:tcPr>
          <w:p>
            <w:pPr>
              <w:spacing w:after="0"/>
              <w:rPr>
                <w:sz w:val="9"/>
                <w:szCs w:val="9"/>
                <w:color w:val="auto"/>
              </w:rPr>
            </w:pPr>
          </w:p>
        </w:tc>
        <w:tc>
          <w:tcPr>
            <w:tcW w:w="1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rPr>
              <w:t>4.12%</w:t>
            </w:r>
          </w:p>
        </w:tc>
        <w:tc>
          <w:tcPr>
            <w:tcW w:w="0" w:type="dxa"/>
            <w:vAlign w:val="bottom"/>
          </w:tcPr>
          <w:p>
            <w:pPr>
              <w:spacing w:after="0"/>
              <w:rPr>
                <w:sz w:val="1"/>
                <w:szCs w:val="1"/>
                <w:color w:val="auto"/>
              </w:rPr>
            </w:pPr>
          </w:p>
        </w:tc>
      </w:tr>
      <w:tr>
        <w:trPr>
          <w:trHeight w:val="144"/>
        </w:trPr>
        <w:tc>
          <w:tcPr>
            <w:tcW w:w="4920" w:type="dxa"/>
            <w:vAlign w:val="bottom"/>
            <w:vMerge w:val="continue"/>
            <w:shd w:val="clear" w:color="auto" w:fill="CCEEFF"/>
          </w:tcPr>
          <w:p>
            <w:pPr>
              <w:spacing w:after="0"/>
              <w:rPr>
                <w:sz w:val="12"/>
                <w:szCs w:val="12"/>
                <w:color w:val="auto"/>
              </w:rPr>
            </w:pPr>
          </w:p>
        </w:tc>
        <w:tc>
          <w:tcPr>
            <w:tcW w:w="16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3.76% to 3.76%</w:t>
            </w:r>
          </w:p>
        </w:tc>
        <w:tc>
          <w:tcPr>
            <w:tcW w:w="10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3.76% to 4.45%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 to 4.41%</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of options (in years)</w:t>
            </w:r>
          </w:p>
        </w:tc>
        <w:tc>
          <w:tcPr>
            <w:tcW w:w="15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tcPr>
          <w:p>
            <w:pPr>
              <w:spacing w:after="0"/>
              <w:rPr>
                <w:sz w:val="13"/>
                <w:szCs w:val="13"/>
                <w:color w:val="auto"/>
              </w:rPr>
            </w:pPr>
          </w:p>
        </w:tc>
        <w:tc>
          <w:tcPr>
            <w:tcW w:w="15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tcPr>
          <w:p>
            <w:pPr>
              <w:spacing w:after="0"/>
              <w:rPr>
                <w:sz w:val="13"/>
                <w:szCs w:val="13"/>
                <w:color w:val="auto"/>
              </w:rPr>
            </w:pPr>
          </w:p>
        </w:tc>
        <w:tc>
          <w:tcPr>
            <w:tcW w:w="1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6.25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Fair Value of Common Stock. </w:t>
      </w:r>
      <w:r>
        <w:rPr>
          <w:rFonts w:ascii="Times New Roman" w:cs="Times New Roman" w:eastAsia="Times New Roman" w:hAnsi="Times New Roman"/>
          <w:sz w:val="12"/>
          <w:szCs w:val="12"/>
          <w:color w:val="auto"/>
        </w:rPr>
        <w:t>The fair value of the Common Stock has been determined based on the closing price of the shares on Nasdaq.</w:t>
      </w:r>
    </w:p>
    <w:p>
      <w:pPr>
        <w:spacing w:after="0" w:line="123" w:lineRule="exact"/>
        <w:rPr>
          <w:rFonts w:ascii="Times New Roman" w:cs="Times New Roman" w:eastAsia="Times New Roman" w:hAnsi="Times New Roman"/>
          <w:sz w:val="12"/>
          <w:szCs w:val="12"/>
          <w:color w:val="auto"/>
        </w:rPr>
      </w:pPr>
    </w:p>
    <w:p>
      <w:pPr>
        <w:ind w:left="420" w:hanging="212"/>
        <w:spacing w:after="0" w:line="261"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Term. </w:t>
      </w:r>
      <w:r>
        <w:rPr>
          <w:rFonts w:ascii="Times New Roman" w:cs="Times New Roman" w:eastAsia="Times New Roman" w:hAnsi="Times New Roman"/>
          <w:sz w:val="12"/>
          <w:szCs w:val="12"/>
          <w:color w:val="auto"/>
        </w:rPr>
        <w:t>The expected term represents the period that stock options are expected to be outstanding. The Company calculated the expected term using the simplified method for options, which is available where there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01" w:lineRule="exact"/>
        <w:rPr>
          <w:rFonts w:ascii="Times New Roman" w:cs="Times New Roman" w:eastAsia="Times New Roman" w:hAnsi="Times New Roman"/>
          <w:sz w:val="12"/>
          <w:szCs w:val="12"/>
          <w:color w:val="auto"/>
        </w:rPr>
      </w:pPr>
    </w:p>
    <w:p>
      <w:pPr>
        <w:ind w:left="420" w:right="80" w:hanging="212"/>
        <w:spacing w:after="0" w:line="266"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Volatility. </w:t>
      </w:r>
      <w:r>
        <w:rPr>
          <w:rFonts w:ascii="Times New Roman" w:cs="Times New Roman" w:eastAsia="Times New Roman" w:hAnsi="Times New Roman"/>
          <w:sz w:val="12"/>
          <w:szCs w:val="12"/>
          <w:color w:val="auto"/>
        </w:rPr>
        <w:t>The expected volatility was determined based on a blended approach using the historical share volatility of the Common Stock and that of several publicly traded peer companies over a period of time equal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Risk-Free Interest Rate. </w:t>
      </w:r>
      <w:r>
        <w:rPr>
          <w:rFonts w:ascii="Times New Roman" w:cs="Times New Roman" w:eastAsia="Times New Roman" w:hAnsi="Times New Roman"/>
          <w:sz w:val="12"/>
          <w:szCs w:val="12"/>
          <w:color w:val="auto"/>
        </w:rPr>
        <w:t>The risk-free interest rate was based on the yields of U.S. Treasury zero-coupon securities with maturities similar in duration to the expected term of the options.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Dividend Yield. </w:t>
      </w:r>
      <w:r>
        <w:rPr>
          <w:rFonts w:ascii="Times New Roman" w:cs="Times New Roman" w:eastAsia="Times New Roman" w:hAnsi="Times New Roman"/>
          <w:sz w:val="12"/>
          <w:szCs w:val="12"/>
          <w:color w:val="auto"/>
        </w:rPr>
        <w:t>The Company has not paid dividends on its Common Stock nor does it expect to pay dividends in the foreseeable future. Accordingly, the Company has estimated the dividend yield to be zero.</w:t>
      </w:r>
    </w:p>
    <w:p>
      <w:pPr>
        <w:spacing w:after="0" w:line="152"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shows a summary of stock-based compensation expense included in the condensed consolidated statements of operations and comprehensive loss for the three and nine months ended September 30, 2025 and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30"/>
        </w:trPr>
        <w:tc>
          <w:tcPr>
            <w:tcW w:w="5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50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2,110</w:t>
            </w:r>
          </w:p>
        </w:tc>
      </w:tr>
      <w:tr>
        <w:trPr>
          <w:trHeight w:val="153"/>
        </w:trPr>
        <w:tc>
          <w:tcPr>
            <w:tcW w:w="51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1,521</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2,333</w:t>
            </w:r>
          </w:p>
        </w:tc>
      </w:tr>
      <w:tr>
        <w:trPr>
          <w:trHeight w:val="158"/>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1,552</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4,443</w:t>
            </w:r>
          </w:p>
        </w:tc>
      </w:tr>
    </w:tbl>
    <w:p>
      <w:pPr>
        <w:spacing w:after="0" w:line="196"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Approximately $0.1 million of stock-based compensation was capitalized to inventory as of September 30, 2025. As of September 30, 2025, unrecognized stock-based compensation cost for options was $26.8 million and is expected to be recognized over a weighted-average period of 2.7 years.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summary of option activity under the Company’s stock option plans during the nine months ended September 30, 2025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ind w:left="232"/>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restart"/>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2"/>
        </w:trPr>
        <w:tc>
          <w:tcPr>
            <w:tcW w:w="4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jc w:val="center"/>
              <w:ind w:left="232"/>
              <w:spacing w:after="0" w:line="92"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680" w:type="dxa"/>
            <w:vAlign w:val="bottom"/>
          </w:tcPr>
          <w:p>
            <w:pPr>
              <w:spacing w:after="0"/>
              <w:rPr>
                <w:sz w:val="8"/>
                <w:szCs w:val="8"/>
                <w:color w:val="auto"/>
              </w:rPr>
            </w:pPr>
          </w:p>
        </w:tc>
        <w:tc>
          <w:tcPr>
            <w:tcW w:w="1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1240" w:type="dxa"/>
            <w:vAlign w:val="bottom"/>
          </w:tcPr>
          <w:p>
            <w:pPr>
              <w:jc w:val="center"/>
              <w:ind w:left="288"/>
              <w:spacing w:after="0" w:line="98" w:lineRule="exact"/>
              <w:rPr>
                <w:sz w:val="20"/>
                <w:szCs w:val="20"/>
                <w:color w:val="auto"/>
              </w:rPr>
            </w:pPr>
            <w:r>
              <w:rPr>
                <w:rFonts w:ascii="Times New Roman" w:cs="Times New Roman" w:eastAsia="Times New Roman" w:hAnsi="Times New Roman"/>
                <w:sz w:val="10"/>
                <w:szCs w:val="10"/>
                <w:b w:val="1"/>
                <w:bCs w:val="1"/>
                <w:color w:val="auto"/>
                <w:w w:val="94"/>
              </w:rPr>
              <w:t>Average Exercise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ind w:left="272"/>
              <w:spacing w:after="0" w:line="98" w:lineRule="exact"/>
              <w:rPr>
                <w:sz w:val="20"/>
                <w:szCs w:val="20"/>
                <w:color w:val="auto"/>
              </w:rPr>
            </w:pPr>
            <w:r>
              <w:rPr>
                <w:rFonts w:ascii="Times New Roman" w:cs="Times New Roman" w:eastAsia="Times New Roman" w:hAnsi="Times New Roman"/>
                <w:sz w:val="10"/>
                <w:szCs w:val="10"/>
                <w:b w:val="1"/>
                <w:bCs w:val="1"/>
                <w:color w:val="auto"/>
                <w:w w:val="94"/>
              </w:rPr>
              <w:t>Contractual Term</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jc w:val="center"/>
              <w:ind w:right="225"/>
              <w:spacing w:after="0" w:line="98" w:lineRule="exact"/>
              <w:rPr>
                <w:sz w:val="20"/>
                <w:szCs w:val="20"/>
                <w:color w:val="auto"/>
              </w:rPr>
            </w:pPr>
            <w:r>
              <w:rPr>
                <w:rFonts w:ascii="Times New Roman" w:cs="Times New Roman" w:eastAsia="Times New Roman" w:hAnsi="Times New Roman"/>
                <w:sz w:val="10"/>
                <w:szCs w:val="10"/>
                <w:b w:val="1"/>
                <w:bCs w:val="1"/>
                <w:color w:val="auto"/>
                <w:w w:val="93"/>
              </w:rPr>
              <w:t>Intrinsic Value</w:t>
            </w: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40" w:type="dxa"/>
            <w:vAlign w:val="bottom"/>
          </w:tcPr>
          <w:p>
            <w:pPr>
              <w:jc w:val="center"/>
              <w:ind w:left="308"/>
              <w:spacing w:after="0"/>
              <w:rPr>
                <w:sz w:val="20"/>
                <w:szCs w:val="20"/>
                <w:color w:val="auto"/>
              </w:rPr>
            </w:pPr>
            <w:r>
              <w:rPr>
                <w:rFonts w:ascii="Times New Roman" w:cs="Times New Roman" w:eastAsia="Times New Roman" w:hAnsi="Times New Roman"/>
                <w:sz w:val="10"/>
                <w:szCs w:val="10"/>
                <w:b w:val="1"/>
                <w:bCs w:val="1"/>
                <w:color w:val="auto"/>
                <w:w w:val="95"/>
              </w:rPr>
              <w:t>Price Per Share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4"/>
              </w:rPr>
              <w:t>(years)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225"/>
              <w:spacing w:after="0"/>
              <w:rPr>
                <w:sz w:val="20"/>
                <w:szCs w:val="20"/>
                <w:color w:val="auto"/>
              </w:rPr>
            </w:pPr>
            <w:r>
              <w:rPr>
                <w:rFonts w:ascii="Times New Roman" w:cs="Times New Roman" w:eastAsia="Times New Roman" w:hAnsi="Times New Roman"/>
                <w:sz w:val="10"/>
                <w:szCs w:val="10"/>
                <w:b w:val="1"/>
                <w:bCs w:val="1"/>
                <w:color w:val="auto"/>
                <w:w w:val="98"/>
              </w:rPr>
              <w:t>(in thousands)</w:t>
            </w:r>
          </w:p>
        </w:tc>
        <w:tc>
          <w:tcPr>
            <w:tcW w:w="0" w:type="dxa"/>
            <w:vAlign w:val="bottom"/>
          </w:tcPr>
          <w:p>
            <w:pPr>
              <w:spacing w:after="0"/>
              <w:rPr>
                <w:sz w:val="1"/>
                <w:szCs w:val="1"/>
                <w:color w:val="auto"/>
              </w:rPr>
            </w:pPr>
          </w:p>
        </w:tc>
      </w:tr>
      <w:tr>
        <w:trPr>
          <w:trHeight w:val="14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outstanding at December 31, 2024</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12,274,139</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16,202</w:t>
            </w:r>
          </w:p>
        </w:tc>
        <w:tc>
          <w:tcPr>
            <w:tcW w:w="0" w:type="dxa"/>
            <w:vAlign w:val="bottom"/>
          </w:tcPr>
          <w:p>
            <w:pPr>
              <w:spacing w:after="0"/>
              <w:rPr>
                <w:sz w:val="1"/>
                <w:szCs w:val="1"/>
                <w:color w:val="auto"/>
              </w:rPr>
            </w:pPr>
          </w:p>
        </w:tc>
      </w:tr>
      <w:tr>
        <w:trPr>
          <w:trHeight w:val="153"/>
        </w:trPr>
        <w:tc>
          <w:tcPr>
            <w:tcW w:w="4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Granted</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7,137,287</w:t>
            </w:r>
          </w:p>
        </w:tc>
        <w:tc>
          <w:tcPr>
            <w:tcW w:w="80" w:type="dxa"/>
            <w:vAlign w:val="bottom"/>
          </w:tcPr>
          <w:p>
            <w:pPr>
              <w:spacing w:after="0"/>
              <w:rPr>
                <w:sz w:val="13"/>
                <w:szCs w:val="13"/>
                <w:color w:val="auto"/>
              </w:rPr>
            </w:pPr>
          </w:p>
        </w:tc>
        <w:tc>
          <w:tcPr>
            <w:tcW w:w="1240" w:type="dxa"/>
            <w:vAlign w:val="bottom"/>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(15,514)</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(2,857,962)</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outstanding at September 30, 2025</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16,537,950</w:t>
            </w:r>
          </w:p>
        </w:tc>
        <w:tc>
          <w:tcPr>
            <w:tcW w:w="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Vested and exercisable, September 30, 2025</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6,677,814</w:t>
            </w:r>
          </w:p>
        </w:tc>
        <w:tc>
          <w:tcPr>
            <w:tcW w:w="80" w:type="dxa"/>
            <w:vAlign w:val="bottom"/>
          </w:tcPr>
          <w:p>
            <w:pPr>
              <w:spacing w:after="0"/>
              <w:rPr>
                <w:sz w:val="12"/>
                <w:szCs w:val="12"/>
                <w:color w:val="auto"/>
              </w:rPr>
            </w:pPr>
          </w:p>
        </w:tc>
        <w:tc>
          <w:tcPr>
            <w:tcW w:w="1240" w:type="dxa"/>
            <w:vAlign w:val="bottom"/>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September 30, 2025</w:t>
            </w: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16,537,950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27"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September 30, 2025. The Company’s effective federal and state tax rate for the three and nine months ended September 30, 2025 and 2024 was 0%, primarily as a result of accumulating net operating losses for the fiscal year to date offset by the increase in the valuation allowance against the related deferred tax asset.</w:t>
      </w:r>
    </w:p>
    <w:p>
      <w:pPr>
        <w:spacing w:after="0" w:line="95"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Company did not record any income tax expense or benefit during the three and nine months ended September 30, 2025 and 2024.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5" w:name="page36"/>
    <w:bookmarkEnd w:id="3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 w:right="20" w:firstLine="216"/>
        <w:spacing w:after="0" w:line="327" w:lineRule="auto"/>
        <w:rPr>
          <w:sz w:val="20"/>
          <w:szCs w:val="20"/>
          <w:color w:val="auto"/>
        </w:rPr>
      </w:pPr>
      <w:r>
        <w:rPr>
          <w:rFonts w:ascii="Times New Roman" w:cs="Times New Roman" w:eastAsia="Times New Roman" w:hAnsi="Times New Roman"/>
          <w:sz w:val="11"/>
          <w:szCs w:val="11"/>
          <w:color w:val="auto"/>
        </w:rPr>
        <w:t>On July 4, 2025, the One Big Beautiful Bill Act (“OBBBA”) was enacted. OBBBA amends the U.S. tax law including provisions related to bonus depreciation, domestic research and development expenses, and limitations on interest deductions. The OBBBA did not have a material impact to the Company's condensed consolidated financial statements and is not expected to have a material impact on the Company's year-end consolidated financial statements.</w:t>
      </w:r>
    </w:p>
    <w:p>
      <w:pPr>
        <w:spacing w:after="0" w:line="83" w:lineRule="exact"/>
        <w:rPr>
          <w:sz w:val="20"/>
          <w:szCs w:val="20"/>
          <w:color w:val="auto"/>
        </w:rPr>
      </w:pPr>
    </w:p>
    <w:p>
      <w:pPr>
        <w:ind w:left="8" w:right="9420" w:hanging="8"/>
        <w:spacing w:after="0" w:line="505" w:lineRule="auto"/>
        <w:tabs>
          <w:tab w:leader="none" w:pos="188" w:val="left"/>
        </w:tabs>
        <w:numPr>
          <w:ilvl w:val="0"/>
          <w:numId w:val="1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Commitments and Contingencies Patent License Agreements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Duke University</w:t>
      </w:r>
    </w:p>
    <w:p>
      <w:pPr>
        <w:spacing w:after="0" w:line="125" w:lineRule="exact"/>
        <w:rPr>
          <w:sz w:val="20"/>
          <w:szCs w:val="20"/>
          <w:color w:val="auto"/>
        </w:rPr>
      </w:pPr>
    </w:p>
    <w:p>
      <w:pPr>
        <w:ind w:left="8" w:right="20" w:firstLine="216"/>
        <w:spacing w:after="0" w:line="256" w:lineRule="auto"/>
        <w:rPr>
          <w:sz w:val="20"/>
          <w:szCs w:val="20"/>
          <w:color w:val="auto"/>
        </w:rPr>
      </w:pPr>
      <w:r>
        <w:rPr>
          <w:rFonts w:ascii="Times New Roman" w:cs="Times New Roman" w:eastAsia="Times New Roman" w:hAnsi="Times New Roman"/>
          <w:sz w:val="12"/>
          <w:szCs w:val="12"/>
          <w:color w:val="auto"/>
        </w:rPr>
        <w:t>In March 2006, the Company entered into a license agreement with Duke University (“Duke”), which was subsequently amended in 2011, 2014, 2015, 2018, 2019 and 2022 (as amended, the “Duke License Agreement”). Under the Duke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98" w:lineRule="exact"/>
        <w:rPr>
          <w:sz w:val="20"/>
          <w:szCs w:val="20"/>
          <w:color w:val="auto"/>
        </w:rPr>
      </w:pPr>
    </w:p>
    <w:p>
      <w:pPr>
        <w:ind w:left="8" w:right="22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Company’s entry into the Duke License Agreement, the Company granted equity consideration to Duke in the form of 52,693 shares of Common Stock. Under the Duke License Agreement, the Company also agreed to pay Duke:</w:t>
      </w:r>
    </w:p>
    <w:p>
      <w:pPr>
        <w:spacing w:after="0" w:line="93" w:lineRule="exact"/>
        <w:rPr>
          <w:sz w:val="20"/>
          <w:szCs w:val="20"/>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low single-digit percentage royalty on eligible sales of licensed products and licensed services, plus a low double-digit percentage of any sublicensing revenue;</w:t>
      </w:r>
    </w:p>
    <w:p>
      <w:pPr>
        <w:spacing w:after="0" w:line="123"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annual minimum royalty beginning in 2012, which increases in the calendar year immediately following the first commercial sale of licensed products or licensed services (whichever occurs first); and</w:t>
      </w:r>
    </w:p>
    <w:p>
      <w:pPr>
        <w:spacing w:after="0" w:line="123"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amount in license fees, as certain milestones are met.</w:t>
      </w:r>
    </w:p>
    <w:p>
      <w:pPr>
        <w:spacing w:after="0" w:line="132" w:lineRule="exact"/>
        <w:rPr>
          <w:sz w:val="20"/>
          <w:szCs w:val="20"/>
          <w:color w:val="auto"/>
        </w:rPr>
      </w:pPr>
    </w:p>
    <w:p>
      <w:pPr>
        <w:ind w:left="8" w:firstLine="216"/>
        <w:spacing w:after="0" w:line="257" w:lineRule="auto"/>
        <w:rPr>
          <w:sz w:val="20"/>
          <w:szCs w:val="20"/>
          <w:color w:val="auto"/>
        </w:rPr>
      </w:pPr>
      <w:r>
        <w:rPr>
          <w:rFonts w:ascii="Times New Roman" w:cs="Times New Roman" w:eastAsia="Times New Roman" w:hAnsi="Times New Roman"/>
          <w:sz w:val="12"/>
          <w:szCs w:val="12"/>
          <w:color w:val="auto"/>
        </w:rPr>
        <w:t>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98" w:lineRule="exact"/>
        <w:rPr>
          <w:sz w:val="20"/>
          <w:szCs w:val="20"/>
          <w:color w:val="auto"/>
        </w:rPr>
      </w:pPr>
    </w:p>
    <w:p>
      <w:pPr>
        <w:ind w:left="8" w:right="120" w:firstLine="216"/>
        <w:spacing w:after="0" w:line="279" w:lineRule="auto"/>
        <w:rPr>
          <w:sz w:val="20"/>
          <w:szCs w:val="20"/>
          <w:color w:val="auto"/>
        </w:rPr>
      </w:pPr>
      <w:r>
        <w:rPr>
          <w:rFonts w:ascii="Times New Roman" w:cs="Times New Roman" w:eastAsia="Times New Roman" w:hAnsi="Times New Roman"/>
          <w:sz w:val="12"/>
          <w:szCs w:val="12"/>
          <w:color w:val="auto"/>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spacing w:after="0" w:line="84" w:lineRule="exact"/>
        <w:rPr>
          <w:sz w:val="20"/>
          <w:szCs w:val="20"/>
          <w:color w:val="auto"/>
        </w:rPr>
      </w:pPr>
    </w:p>
    <w:p>
      <w:pPr>
        <w:ind w:left="8" w:right="40" w:firstLine="216"/>
        <w:spacing w:after="0" w:line="265" w:lineRule="auto"/>
        <w:rPr>
          <w:sz w:val="20"/>
          <w:szCs w:val="20"/>
          <w:color w:val="auto"/>
        </w:rPr>
      </w:pPr>
      <w:r>
        <w:rPr>
          <w:rFonts w:ascii="Times New Roman" w:cs="Times New Roman" w:eastAsia="Times New Roman" w:hAnsi="Times New Roman"/>
          <w:sz w:val="12"/>
          <w:szCs w:val="12"/>
          <w:color w:val="231F20"/>
        </w:rPr>
        <w:t xml:space="preserve">In December 2024, the FDA approved the Company’s BLA for urgent arterial repair following extremity vascular trauma when autologous vein use is not feasible. Based on the achievement of this milestone under the Duke License Agreement, the Company recorded </w:t>
      </w:r>
      <w:r>
        <w:rPr>
          <w:rFonts w:ascii="Times New Roman" w:cs="Times New Roman" w:eastAsia="Times New Roman" w:hAnsi="Times New Roman"/>
          <w:sz w:val="12"/>
          <w:szCs w:val="12"/>
          <w:color w:val="000000"/>
        </w:rPr>
        <w:t>$0.5 million</w:t>
      </w:r>
      <w:r>
        <w:rPr>
          <w:rFonts w:ascii="Times New Roman" w:cs="Times New Roman" w:eastAsia="Times New Roman" w:hAnsi="Times New Roman"/>
          <w:sz w:val="12"/>
          <w:szCs w:val="12"/>
          <w:color w:val="231F20"/>
        </w:rPr>
        <w:t xml:space="preserve"> of license expense payable in accrued expenses in the Company’s condensed consolidated balance sheets as of both </w:t>
      </w:r>
      <w:r>
        <w:rPr>
          <w:rFonts w:ascii="Times New Roman" w:cs="Times New Roman" w:eastAsia="Times New Roman" w:hAnsi="Times New Roman"/>
          <w:sz w:val="12"/>
          <w:szCs w:val="12"/>
          <w:color w:val="000000"/>
        </w:rPr>
        <w:t>September 30, 2025</w:t>
      </w:r>
      <w:r>
        <w:rPr>
          <w:rFonts w:ascii="Times New Roman" w:cs="Times New Roman" w:eastAsia="Times New Roman" w:hAnsi="Times New Roman"/>
          <w:sz w:val="12"/>
          <w:szCs w:val="12"/>
          <w:color w:val="231F20"/>
        </w:rPr>
        <w:t xml:space="preserve"> and December 31, 2024. </w:t>
      </w:r>
      <w:r>
        <w:rPr>
          <w:rFonts w:ascii="Times New Roman" w:cs="Times New Roman" w:eastAsia="Times New Roman" w:hAnsi="Times New Roman"/>
          <w:sz w:val="12"/>
          <w:szCs w:val="12"/>
          <w:color w:val="000000"/>
        </w:rPr>
        <w:t>Other payments</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to Duke under the Duke License Agreement were immaterial during the periods presented.</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Yale University</w:t>
      </w:r>
    </w:p>
    <w:p>
      <w:pPr>
        <w:spacing w:after="0" w:line="12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0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95"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connection with its entry into the Tubular Prosthesis License Agreement, the Company paid Yale upfront cash fees. The Company has also agreed to pay Yale:</w:t>
      </w:r>
    </w:p>
    <w:p>
      <w:pPr>
        <w:spacing w:after="0" w:line="132" w:lineRule="exact"/>
        <w:rPr>
          <w:sz w:val="20"/>
          <w:szCs w:val="20"/>
          <w:color w:val="auto"/>
        </w:rPr>
      </w:pPr>
    </w:p>
    <w:p>
      <w:pPr>
        <w:ind w:left="420" w:hanging="212"/>
        <w:spacing w:after="0" w:line="27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8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payments upon achievement of certain regulatory and commercial milestones of $0.2 million and $0.6 million, respectively;</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low single-digit percentage royalty on worldwide net sales, subject to reductions for third-party license fees; and</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low double-digit percentage of sublicensing income.</w:t>
      </w:r>
    </w:p>
    <w:p>
      <w:pPr>
        <w:spacing w:after="0" w:line="123"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JDRF Agreement</w:t>
      </w:r>
    </w:p>
    <w:p>
      <w:pPr>
        <w:spacing w:after="0" w:line="136"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95"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The Company received the first milestone payment of $80 thousand in April 2023 upon execution of the JDRF Agreement. In May 2024, the Company received the second milestone payment of $90 thousand and the third milestone payment of $150 thousand, based upon the achievement of certain research and development milestones specified in the JDRF Agreement. As of September 30, 2025, the Actual Award totaled $320 thousand.</w:t>
      </w:r>
    </w:p>
    <w:p>
      <w:pPr>
        <w:spacing w:after="0" w:line="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accordance with the JDRF Agreement, the Company has agreed to pay JDRF:</w:t>
      </w:r>
    </w:p>
    <w:p>
      <w:pPr>
        <w:spacing w:after="0" w:line="132" w:lineRule="exact"/>
        <w:rPr>
          <w:sz w:val="20"/>
          <w:szCs w:val="20"/>
          <w:color w:val="auto"/>
        </w:rPr>
      </w:pPr>
    </w:p>
    <w:p>
      <w:pPr>
        <w:ind w:left="420" w:right="320" w:hanging="212"/>
        <w:spacing w:after="0" w:line="279"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8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royalty equal to the Actual Award at a specified payment date after net sales exceed $250 million; and</w:t>
      </w:r>
    </w:p>
    <w:p>
      <w:pPr>
        <w:spacing w:after="0" w:line="123" w:lineRule="exact"/>
        <w:rPr>
          <w:rFonts w:ascii="Times New Roman" w:cs="Times New Roman" w:eastAsia="Times New Roman" w:hAnsi="Times New Roman"/>
          <w:sz w:val="12"/>
          <w:szCs w:val="12"/>
          <w:color w:val="auto"/>
        </w:rPr>
      </w:pPr>
    </w:p>
    <w:p>
      <w:pPr>
        <w:ind w:left="420" w:right="120" w:hanging="212"/>
        <w:spacing w:after="0" w:line="260" w:lineRule="auto"/>
        <w:tabs>
          <w:tab w:leader="none" w:pos="417" w:val="left"/>
        </w:tabs>
        <w:numPr>
          <w:ilvl w:val="0"/>
          <w:numId w:val="1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classified in Change in fair value of derivatives.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As of September 30, 2025 and December 31, 2024, the carrying value of the JDRF liability was $0.4 million and $0.3 million, respectively. There was an insignificant amount of interest expense related to the JDRF liability recorded during the three and nine months ended September 30, 2025 and September 30,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Workforce Reduction</w:t>
      </w:r>
    </w:p>
    <w:p>
      <w:pPr>
        <w:spacing w:after="0" w:line="136"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auto"/>
        </w:rPr>
        <w:t>On April 28, 2025, the Company implemented a cost reduction action to reduce its workforce by 30 employees, cease recruitment of additional planned new hires, and reduce other operating expenses. The Company undertook these cost reductions to improve cash runway and to better align the Company’s organizational structure with its top business objectives. Employee severance costs associated with this action were $0.7 million, which were expensed during the second quarter of 2025. Employee severance costs included $0.6 million recognized in research and development expenses and $0.1 million recognized in selling, general and administrative expenses on the Company’s condensed consolidated statements of operations and comprehensive income (loss). Of the total severance costs, $0.6 million were paid during the second quarter of 2025. The remaining accrued severance obligation was less than $0.1 million as of September 30, 2025 and is expected to be paid during the fourth quarter of 2025. There are no further costs associated with this cost reduction action expected to be incurred in the future.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27"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02" w:lineRule="exact"/>
        <w:rPr>
          <w:sz w:val="20"/>
          <w:szCs w:val="20"/>
          <w:color w:val="auto"/>
        </w:rPr>
      </w:pPr>
    </w:p>
    <w:p>
      <w:pPr>
        <w:ind w:right="80" w:firstLine="216"/>
        <w:spacing w:after="0" w:line="261" w:lineRule="auto"/>
        <w:rPr>
          <w:sz w:val="20"/>
          <w:szCs w:val="20"/>
          <w:color w:val="auto"/>
        </w:rPr>
      </w:pPr>
      <w:r>
        <w:rPr>
          <w:rFonts w:ascii="Times New Roman" w:cs="Times New Roman" w:eastAsia="Times New Roman" w:hAnsi="Times New Roman"/>
          <w:sz w:val="12"/>
          <w:szCs w:val="12"/>
          <w:color w:val="auto"/>
        </w:rPr>
        <w:t xml:space="preserve">On November 18, 2024, James A. Cutshall filed a putative class action lawsuit, captioned </w:t>
      </w:r>
      <w:r>
        <w:rPr>
          <w:rFonts w:ascii="Times New Roman" w:cs="Times New Roman" w:eastAsia="Times New Roman" w:hAnsi="Times New Roman"/>
          <w:sz w:val="12"/>
          <w:szCs w:val="12"/>
          <w:i w:val="1"/>
          <w:iCs w:val="1"/>
          <w:color w:val="auto"/>
        </w:rPr>
        <w:t>Cutshall v. Humacyte, Inc., et al</w:t>
      </w:r>
      <w:r>
        <w:rPr>
          <w:rFonts w:ascii="Times New Roman" w:cs="Times New Roman" w:eastAsia="Times New Roman" w:hAnsi="Times New Roman"/>
          <w:sz w:val="12"/>
          <w:szCs w:val="12"/>
          <w:color w:val="auto"/>
        </w:rPr>
        <w:t>.,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unspecified compensatory damages, attorneys fees and costs. On January 31, 2025, the court appointed co-lead plaintiffs. On May 22, 2025, the co-lead plaintiffs filed the amended complaint in the Securities Litigation. The</w:t>
      </w:r>
    </w:p>
    <w:p>
      <w:pPr>
        <w:spacing w:after="0" w:line="3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The court has yet to rule on the motion, which remains pending.</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2"/>
          <w:szCs w:val="12"/>
          <w:i w:val="1"/>
          <w:iCs w:val="1"/>
          <w:color w:val="auto"/>
        </w:rPr>
        <w:t>Silva v. Sebelius, et al</w:t>
      </w:r>
      <w:r>
        <w:rPr>
          <w:rFonts w:ascii="Times New Roman" w:cs="Times New Roman" w:eastAsia="Times New Roman" w:hAnsi="Times New Roman"/>
          <w:sz w:val="12"/>
          <w:szCs w:val="12"/>
          <w:color w:val="auto"/>
        </w:rPr>
        <w:t>.,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1:25-cv-00005 (the “</w:t>
      </w:r>
      <w:r>
        <w:rPr>
          <w:rFonts w:ascii="Times New Roman" w:cs="Times New Roman" w:eastAsia="Times New Roman" w:hAnsi="Times New Roman"/>
          <w:sz w:val="12"/>
          <w:szCs w:val="12"/>
          <w:i w:val="1"/>
          <w:iCs w:val="1"/>
          <w:color w:val="auto"/>
        </w:rPr>
        <w:t>Silva</w:t>
      </w:r>
      <w:r>
        <w:rPr>
          <w:rFonts w:ascii="Times New Roman" w:cs="Times New Roman" w:eastAsia="Times New Roman" w:hAnsi="Times New Roman"/>
          <w:sz w:val="12"/>
          <w:szCs w:val="12"/>
          <w:color w:val="auto"/>
        </w:rPr>
        <w:t xml:space="preserve"> Action”) and </w:t>
      </w:r>
      <w:r>
        <w:rPr>
          <w:rFonts w:ascii="Times New Roman" w:cs="Times New Roman" w:eastAsia="Times New Roman" w:hAnsi="Times New Roman"/>
          <w:sz w:val="12"/>
          <w:szCs w:val="12"/>
          <w:i w:val="1"/>
          <w:iCs w:val="1"/>
          <w:color w:val="auto"/>
        </w:rPr>
        <w:t>Misko v. Niklason, et al</w:t>
      </w:r>
      <w:r>
        <w:rPr>
          <w:rFonts w:ascii="Times New Roman" w:cs="Times New Roman" w:eastAsia="Times New Roman" w:hAnsi="Times New Roman"/>
          <w:sz w:val="12"/>
          <w:szCs w:val="12"/>
          <w:color w:val="auto"/>
        </w:rPr>
        <w:t>., No. 1:25-cv-00028 (the “</w:t>
      </w:r>
      <w:r>
        <w:rPr>
          <w:rFonts w:ascii="Times New Roman" w:cs="Times New Roman" w:eastAsia="Times New Roman" w:hAnsi="Times New Roman"/>
          <w:sz w:val="12"/>
          <w:szCs w:val="12"/>
          <w:i w:val="1"/>
          <w:iCs w:val="1"/>
          <w:color w:val="auto"/>
        </w:rPr>
        <w:t>Misko</w:t>
      </w:r>
      <w:r>
        <w:rPr>
          <w:rFonts w:ascii="Times New Roman" w:cs="Times New Roman" w:eastAsia="Times New Roman" w:hAnsi="Times New Roman"/>
          <w:sz w:val="12"/>
          <w:szCs w:val="12"/>
          <w:color w:val="auto"/>
        </w:rPr>
        <w:t xml:space="preserve"> Action”). Each of these derivative actions was brought on behalf of the Company against certain of its current or former directors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officers, as well as Ayabudge LLC. The complaints in each action assert claims for violations of Section 14(a) of the Exchange Act, breach of fiduciary duty, unjust enrichment, abuse of control, gross mismanagement, and waste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2"/>
          <w:szCs w:val="12"/>
          <w:i w:val="1"/>
          <w:iCs w:val="1"/>
          <w:color w:val="auto"/>
        </w:rPr>
        <w:t>Misko</w:t>
      </w:r>
      <w:r>
        <w:rPr>
          <w:rFonts w:ascii="Times New Roman" w:cs="Times New Roman" w:eastAsia="Times New Roman" w:hAnsi="Times New Roman"/>
          <w:sz w:val="12"/>
          <w:szCs w:val="12"/>
          <w:color w:val="auto"/>
        </w:rPr>
        <w:t xml:space="preserve"> Action also includes a claim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contribution against certain defendants under Sections 10(b) and 21(d) of the Exchange Act for any liability the Company may sustain as a result of the Securities Litigation. On February 18, 2025, the court issued an order consolidating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the </w:t>
      </w:r>
      <w:r>
        <w:rPr>
          <w:rFonts w:ascii="Times New Roman" w:cs="Times New Roman" w:eastAsia="Times New Roman" w:hAnsi="Times New Roman"/>
          <w:sz w:val="11"/>
          <w:szCs w:val="11"/>
          <w:i w:val="1"/>
          <w:iCs w:val="1"/>
          <w:color w:val="auto"/>
        </w:rPr>
        <w:t>Silva</w:t>
      </w:r>
      <w:r>
        <w:rPr>
          <w:rFonts w:ascii="Times New Roman" w:cs="Times New Roman" w:eastAsia="Times New Roman" w:hAnsi="Times New Roman"/>
          <w:sz w:val="11"/>
          <w:szCs w:val="11"/>
          <w:color w:val="auto"/>
        </w:rPr>
        <w:t xml:space="preserve"> Action and the </w:t>
      </w:r>
      <w:r>
        <w:rPr>
          <w:rFonts w:ascii="Times New Roman" w:cs="Times New Roman" w:eastAsia="Times New Roman" w:hAnsi="Times New Roman"/>
          <w:sz w:val="11"/>
          <w:szCs w:val="11"/>
          <w:i w:val="1"/>
          <w:iCs w:val="1"/>
          <w:color w:val="auto"/>
        </w:rPr>
        <w:t>Misko</w:t>
      </w:r>
      <w:r>
        <w:rPr>
          <w:rFonts w:ascii="Times New Roman" w:cs="Times New Roman" w:eastAsia="Times New Roman" w:hAnsi="Times New Roman"/>
          <w:sz w:val="11"/>
          <w:szCs w:val="11"/>
          <w:color w:val="auto"/>
        </w:rPr>
        <w:t xml:space="preserve"> Action (collectively, the “Consolidated Derivative Action”) and staying the defendants’ obligation to respond to any complaint in the Consolidated Derivative Action pending the submission of a proposed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scheduling order. On March 11, 2025, the parties entered a joint motion to stay the Consolidated Derivative Action pending final resolution of the Securities Litigation, which the court granted.</w:t>
      </w:r>
    </w:p>
    <w:p>
      <w:pPr>
        <w:spacing w:after="0" w:line="112"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cs="Times New Roman" w:eastAsia="Times New Roman" w:hAnsi="Times New Roman"/>
          <w:sz w:val="12"/>
          <w:szCs w:val="12"/>
          <w:i w:val="1"/>
          <w:iCs w:val="1"/>
          <w:color w:val="auto"/>
        </w:rPr>
        <w:t>Olson v. Niklason</w:t>
      </w:r>
      <w:r>
        <w:rPr>
          <w:rFonts w:ascii="Times New Roman" w:cs="Times New Roman" w:eastAsia="Times New Roman" w:hAnsi="Times New Roman"/>
          <w:sz w:val="12"/>
          <w:szCs w:val="12"/>
          <w:color w:val="auto"/>
        </w:rPr>
        <w:t>, et al., No. 1:25-cv-00123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alleging that the Company had refused his demand. The complaint in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pending final resolution of the Securities Litigation, which the court granted.</w:t>
      </w:r>
    </w:p>
    <w:p>
      <w:pPr>
        <w:spacing w:after="0" w:line="108"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w:t>
      </w:r>
    </w:p>
    <w:p>
      <w:pPr>
        <w:spacing w:after="0" w:line="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On June 9, 2025, a putative stockholder of the Company filed a verified stockholder derivative action in the United States District Court for the District of Delaware, captioned </w:t>
      </w:r>
      <w:r>
        <w:rPr>
          <w:rFonts w:ascii="Times New Roman" w:cs="Times New Roman" w:eastAsia="Times New Roman" w:hAnsi="Times New Roman"/>
          <w:sz w:val="12"/>
          <w:szCs w:val="12"/>
          <w:i w:val="1"/>
          <w:iCs w:val="1"/>
          <w:color w:val="auto"/>
        </w:rPr>
        <w:t>Dusci v. Bamforth, et al</w:t>
      </w:r>
      <w:r>
        <w:rPr>
          <w:rFonts w:ascii="Times New Roman" w:cs="Times New Roman" w:eastAsia="Times New Roman" w:hAnsi="Times New Roman"/>
          <w:sz w:val="12"/>
          <w:szCs w:val="12"/>
          <w:color w:val="auto"/>
        </w:rPr>
        <w:t>., No. 1:25-cv-00722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The complaint in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asserts substantive claims and allegations that are substantively similar to those asserted in the Consolidated Derivative Action and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On September 8, 2025, the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field a joint stipulation to stay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pending final resolution of the Securities Litigation, which the court granted.</w:t>
      </w:r>
    </w:p>
    <w:p>
      <w:pPr>
        <w:spacing w:after="0" w:line="110"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color w:val="auto"/>
        </w:rPr>
        <w:t xml:space="preserve">The Company disputes all claims asserted against it in the Securities Litigation and disputes that the plaintiffs in the Consolidated Derivative Action,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and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September 30, 2025. Since the outcome of these matters cannot be predicted with certainty, any associated costs could have a material adverse effect on the Company’s consolidated results of operations, financial position or cash flows.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Indemnification</w:t>
      </w:r>
    </w:p>
    <w:p>
      <w:pPr>
        <w:spacing w:after="0" w:line="127" w:lineRule="exact"/>
        <w:rPr>
          <w:sz w:val="20"/>
          <w:szCs w:val="20"/>
          <w:color w:val="auto"/>
        </w:rPr>
      </w:pPr>
    </w:p>
    <w:p>
      <w:pPr>
        <w:ind w:right="420" w:firstLine="216"/>
        <w:spacing w:after="0" w:line="257" w:lineRule="auto"/>
        <w:rPr>
          <w:sz w:val="20"/>
          <w:szCs w:val="20"/>
          <w:color w:val="auto"/>
        </w:rPr>
      </w:pPr>
      <w:r>
        <w:rPr>
          <w:rFonts w:ascii="Times New Roman" w:cs="Times New Roman" w:eastAsia="Times New Roman" w:hAnsi="Times New Roman"/>
          <w:sz w:val="12"/>
          <w:szCs w:val="12"/>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Related Party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Fresenius Medical Care investments and distribution agreement</w:t>
      </w:r>
    </w:p>
    <w:p>
      <w:pPr>
        <w:spacing w:after="0" w:line="125"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9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(“CABG”),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07" w:lineRule="exact"/>
        <w:rPr>
          <w:sz w:val="20"/>
          <w:szCs w:val="20"/>
          <w:color w:val="auto"/>
        </w:rPr>
      </w:pPr>
    </w:p>
    <w:p>
      <w:pPr>
        <w:ind w:right="200" w:firstLine="216"/>
        <w:spacing w:after="0" w:line="256" w:lineRule="auto"/>
        <w:rPr>
          <w:sz w:val="20"/>
          <w:szCs w:val="20"/>
          <w:color w:val="auto"/>
        </w:rPr>
      </w:pPr>
      <w:r>
        <w:rPr>
          <w:rFonts w:ascii="Times New Roman" w:cs="Times New Roman" w:eastAsia="Times New Roman" w:hAnsi="Times New Roman"/>
          <w:sz w:val="12"/>
          <w:szCs w:val="12"/>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98"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9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07"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98" w:lineRule="exact"/>
        <w:rPr>
          <w:sz w:val="20"/>
          <w:szCs w:val="20"/>
          <w:color w:val="auto"/>
        </w:rPr>
      </w:pPr>
    </w:p>
    <w:p>
      <w:pPr>
        <w:ind w:right="860" w:firstLine="216"/>
        <w:spacing w:after="0" w:line="461" w:lineRule="auto"/>
        <w:rPr>
          <w:sz w:val="20"/>
          <w:szCs w:val="20"/>
          <w:color w:val="auto"/>
        </w:rPr>
      </w:pPr>
      <w:r>
        <w:rPr>
          <w:rFonts w:ascii="Times New Roman" w:cs="Times New Roman" w:eastAsia="Times New Roman" w:hAnsi="Times New Roman"/>
          <w:sz w:val="12"/>
          <w:szCs w:val="12"/>
          <w:color w:val="auto"/>
        </w:rPr>
        <w:t xml:space="preserve">As of September 30, 2025, there were $0.1 million of royalties payable to Fresenius Medical Care based on the Company’s product revenue recognized during the three and nine months ended September 30, 2025. </w:t>
      </w:r>
      <w:r>
        <w:rPr>
          <w:rFonts w:ascii="Times New Roman" w:cs="Times New Roman" w:eastAsia="Times New Roman" w:hAnsi="Times New Roman"/>
          <w:sz w:val="12"/>
          <w:szCs w:val="12"/>
          <w:i w:val="1"/>
          <w:iCs w:val="1"/>
          <w:color w:val="auto"/>
        </w:rPr>
        <w:t>Agreements with Frenova Renal Research</w:t>
      </w:r>
    </w:p>
    <w:p>
      <w:pPr>
        <w:spacing w:after="0" w:line="1" w:lineRule="exact"/>
        <w:rPr>
          <w:sz w:val="20"/>
          <w:szCs w:val="20"/>
          <w:color w:val="auto"/>
        </w:rPr>
      </w:pPr>
    </w:p>
    <w:p>
      <w:pPr>
        <w:ind w:right="220" w:firstLine="216"/>
        <w:spacing w:after="0" w:line="260" w:lineRule="auto"/>
        <w:rPr>
          <w:sz w:val="20"/>
          <w:szCs w:val="20"/>
          <w:color w:val="auto"/>
        </w:rPr>
      </w:pPr>
      <w:r>
        <w:rPr>
          <w:rFonts w:ascii="Times New Roman" w:cs="Times New Roman" w:eastAsia="Times New Roman" w:hAnsi="Times New Roman"/>
          <w:sz w:val="12"/>
          <w:szCs w:val="12"/>
          <w:color w:val="auto"/>
        </w:rPr>
        <w:t>In June 2024, the Company entered into a master services agreement with Frenova Renal Research (“Frenova”), a subsidiary of Fresenius Medical Care, that sets forth the terms by which the Company may engage Frenova to provide certain services for projects, with the services for each project being described in a separate statement of work. As of September 30, 2025, Frenova was engaged to perform clinical research services related to the Company’s V012 Phase 3 clinical trial. During each of the three and nine months ended September 30, 2025, amounts expensed in relation to this agreement with Frenova were approximately $0.2 million. There was $0.1 million and an insignificant amount payable to Frenova as of September 30, 2025 and December 31, 2024, respectively, included in accrued expenses on the Company’s condensed consolidated balance sheets.</w:t>
      </w:r>
    </w:p>
    <w:p>
      <w:pPr>
        <w:spacing w:after="0" w:line="9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three and nine months ended September 30, 2025, there was no expense recognized in relation to this agreement with Fresenius GmbH. As of September 30, 2025, no amount payable to Fresenius GmbH was included in accounts payable on the Company’s condensed consolidated balance sheets. As of December 31, 2024, there was less than $0.1 million payable to Fresenius GmbH included in accounts payable and less than $0.1 million payable to Fresenius GmbH included in accrued expenses on the Company’s condensed consolidated balance sheets.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Humacyte, Inc.</w:t>
      </w:r>
    </w:p>
    <w:p>
      <w:pPr>
        <w:spacing w:after="0" w:line="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Arrangements with Yale University</w:t>
      </w:r>
    </w:p>
    <w:p>
      <w:pPr>
        <w:spacing w:after="0" w:line="125" w:lineRule="exact"/>
        <w:rPr>
          <w:sz w:val="20"/>
          <w:szCs w:val="20"/>
          <w:color w:val="auto"/>
        </w:rPr>
      </w:pPr>
    </w:p>
    <w:p>
      <w:pPr>
        <w:ind w:left="8"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Company’s President and Chief Executive Officer, Laura Niklason M.D., PhD., serves as an Adjunct Professor in Anesthesia at Yale University. As of September 30, 2025 and December 31, 2024, the Company was a party to license agreements with Yale University as described in Note 12 — Commitments and Contingencies above. Amounts expensed in relation to the license agreements with Yale University were insignificant during the three and nine months ended September 30, 2025 and 2024. There was an insignificant amount payable to Yale as of both September 30, 2025 and December 31, 2024 included in accounts payable on the Company’s condensed consolidated balance sheets.</w:t>
      </w:r>
    </w:p>
    <w:p>
      <w:pPr>
        <w:spacing w:after="0" w:line="118" w:lineRule="exact"/>
        <w:rPr>
          <w:sz w:val="20"/>
          <w:szCs w:val="20"/>
          <w:color w:val="auto"/>
        </w:rPr>
      </w:pPr>
    </w:p>
    <w:p>
      <w:pPr>
        <w:ind w:left="8" w:right="9720" w:hanging="8"/>
        <w:spacing w:after="0" w:line="507" w:lineRule="auto"/>
        <w:tabs>
          <w:tab w:leader="none" w:pos="188" w:val="left"/>
        </w:tabs>
        <w:numPr>
          <w:ilvl w:val="0"/>
          <w:numId w:val="1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Subsequent Events Proceeds from Sales of Shares</w:t>
      </w:r>
    </w:p>
    <w:p>
      <w:pPr>
        <w:spacing w:after="0" w:line="1" w:lineRule="exact"/>
        <w:rPr>
          <w:sz w:val="20"/>
          <w:szCs w:val="20"/>
          <w:color w:val="auto"/>
        </w:rPr>
      </w:pPr>
    </w:p>
    <w:p>
      <w:pPr>
        <w:ind w:left="8" w:firstLine="216"/>
        <w:spacing w:after="0" w:line="260" w:lineRule="auto"/>
        <w:rPr>
          <w:sz w:val="20"/>
          <w:szCs w:val="20"/>
          <w:color w:val="auto"/>
        </w:rPr>
      </w:pPr>
      <w:r>
        <w:rPr>
          <w:rFonts w:ascii="Times New Roman" w:cs="Times New Roman" w:eastAsia="Times New Roman" w:hAnsi="Times New Roman"/>
          <w:sz w:val="12"/>
          <w:szCs w:val="12"/>
          <w:color w:val="auto"/>
        </w:rPr>
        <w:t>On October 6, 2025, the Company entered into a securities purchase agreement with an institutional investor pursuant to which the investor purchased 28,436,018 shares of Common Stock and the October 2025 RDO Warrants to purchase up to 28,436,018 shares of Common Stock in the October 2025 Registered Direct Offering. The October 2025 RDO Warrants will become exercisable 180 days following the date of issuance, and will expire on April 7, 2031. The October 2025 RDO Warrants have an exercise price of $2.11 per share. The purchase price for one share of Common Stock and one October 2025 RDO Warrant was $2.11. The net proceeds to the Company from the October 2025 RDO Warrants were approximately $56.5 million after deducting placement agent’s fees and offering expenses of approximately $3.5 million. The October 2025 Registered Direct Offering closed on October 8, 2025.</w:t>
      </w:r>
    </w:p>
    <w:p>
      <w:pPr>
        <w:spacing w:after="0" w:line="374"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39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25" w:lineRule="exact"/>
        <w:rPr>
          <w:sz w:val="20"/>
          <w:szCs w:val="20"/>
          <w:color w:val="auto"/>
        </w:rPr>
      </w:pPr>
    </w:p>
    <w:p>
      <w:pPr>
        <w:jc w:val="both"/>
        <w:ind w:right="10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Unless the context indicates otherwise, references in this Quarterly Report to the “Company,” “Humacyte,” “we,” “us,” “our” and similar terms refer to Humacyte, Inc. and its consolidated subsidiaries (Humacyte Global,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and Humacyte Europe Limited).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3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are a commercial-stage biotechnology platform company developing universally implantable, bioengineered human tissues at commercial scale, and in the first quarter of 2025 commenced the United States commercial launch of our first FDA-approved product.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91" w:lineRule="exact"/>
        <w:rPr>
          <w:sz w:val="20"/>
          <w:szCs w:val="20"/>
          <w:color w:val="auto"/>
        </w:rPr>
      </w:pPr>
    </w:p>
    <w:p>
      <w:pPr>
        <w:ind w:right="40" w:firstLine="216"/>
        <w:spacing w:after="0" w:line="245" w:lineRule="auto"/>
        <w:rPr>
          <w:sz w:val="20"/>
          <w:szCs w:val="20"/>
          <w:color w:val="auto"/>
        </w:rPr>
      </w:pPr>
      <w:r>
        <w:rPr>
          <w:rFonts w:ascii="Times New Roman" w:cs="Times New Roman" w:eastAsia="Times New Roman" w:hAnsi="Times New Roman"/>
          <w:sz w:val="12"/>
          <w:szCs w:val="12"/>
          <w:color w:val="auto"/>
        </w:rPr>
        <w:t>We are initially using our proprietary, scientific technology platform to engineer and manufacture ATEVs. On December 19, 2024, the FDA granted full approval for the ATEV under the brand name Symvess</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CABG and pediatric heart surgery. Over the longer term, we are developing our ATEV for the delivery of cellular therapies, including pancreatic islet cell transplantation to treat Type 1 diabetes (our BioVascular Pancreas or BVP). We will continue to explore the application of our technology across a broad range of markets and indications, including the development of urinary conduit, trachea, esophagus and other novel cell delivery systems.</w:t>
      </w:r>
    </w:p>
    <w:p>
      <w:pPr>
        <w:spacing w:after="0" w:line="10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and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 addition to extremity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9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granted priority review and set a Prescription Drug User Fee Act date of August 10, 2024. On August 9, 2024, the FDA informed us that it required additional time to complete its review of the BLA for the vascular trauma indication. 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authorized us to commence commercial shipments and we shipped our first commercial products in March 2025.</w:t>
      </w:r>
    </w:p>
    <w:p>
      <w:pPr>
        <w:spacing w:after="0" w:line="107" w:lineRule="exact"/>
        <w:rPr>
          <w:sz w:val="20"/>
          <w:szCs w:val="20"/>
          <w:color w:val="auto"/>
        </w:rPr>
      </w:pPr>
    </w:p>
    <w:p>
      <w:pPr>
        <w:ind w:right="300" w:firstLine="216"/>
        <w:spacing w:after="0" w:line="265" w:lineRule="auto"/>
        <w:rPr>
          <w:sz w:val="20"/>
          <w:szCs w:val="20"/>
          <w:color w:val="auto"/>
        </w:rPr>
      </w:pPr>
      <w:r>
        <w:rPr>
          <w:rFonts w:ascii="Times New Roman" w:cs="Times New Roman" w:eastAsia="Times New Roman" w:hAnsi="Times New Roman"/>
          <w:sz w:val="12"/>
          <w:szCs w:val="12"/>
          <w:color w:val="auto"/>
        </w:rPr>
        <w:t>In April 2023, we announced completion of enrollment of our V007 Phase 3 trial of the ATEV for use in AV access for hemodialysis. In July 2024, we announced positive topline results from our V007 Phase 3 trial, where the ATEV met the primary endpoints in the study. If the interim results from our ongoing V012 Phase 3 trial in women are positive, we plan to submit a supplemental BLA for the ATEV to the FDA for an indication in AV access for hemodialysis in the second half of 2026.</w:t>
      </w:r>
    </w:p>
    <w:p>
      <w:pPr>
        <w:spacing w:after="0" w:line="9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have incurred operating losses and negative cash flows from operations in each year since our inception in 2004. As of September 30, 2025 and December 31, 2024, we had an accumulated deficit of $702.0 million and $686.0 million, respectively, and working capital of $15.8 million and $27.9 million, respectively. Our operating losses were approximately $24.4 million and $77.3 million for the three and nine months ended September 30, 2025, respectively, and $30.2 million and $86.3 million for the three and nine months ended September 30, 2024, respectively.</w:t>
      </w:r>
    </w:p>
    <w:p>
      <w:pPr>
        <w:spacing w:after="0" w:line="9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Net cash flows used in operating activities were $78.9 million and $71.5 million during the nine months ended September 30, 2025 and 2024, respectively. Substantially all of our operating losses resulted from costs incurred in connection with our research and development programs and from selling, general and administrative costs associated with our operations. We expect to incur substantial operating losses and negative cash flows from operations for the foreseeable future as we begin to commercialize Symvess and advance our product candidates.</w:t>
      </w:r>
    </w:p>
    <w:p>
      <w:pPr>
        <w:spacing w:after="0" w:line="101" w:lineRule="exact"/>
        <w:rPr>
          <w:sz w:val="20"/>
          <w:szCs w:val="20"/>
          <w:color w:val="auto"/>
        </w:rPr>
      </w:pPr>
    </w:p>
    <w:p>
      <w:pPr>
        <w:ind w:right="320" w:firstLine="216"/>
        <w:spacing w:after="0" w:line="265" w:lineRule="auto"/>
        <w:rPr>
          <w:sz w:val="20"/>
          <w:szCs w:val="20"/>
          <w:color w:val="auto"/>
        </w:rPr>
      </w:pPr>
      <w:r>
        <w:rPr>
          <w:rFonts w:ascii="Times New Roman" w:cs="Times New Roman" w:eastAsia="Times New Roman" w:hAnsi="Times New Roman"/>
          <w:sz w:val="12"/>
          <w:szCs w:val="12"/>
          <w:color w:val="auto"/>
        </w:rPr>
        <w:t>As of September 30, 2025, we had cash and cash equivalents of $19.5 million and restricted cash of $0.4 million. We believe our cash and cash equivalents on hand and existing capacity under our Common Stock Purchase Agreement will be sufficient to fund operations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spacing w:after="0" w:line="92"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231F20"/>
        </w:rPr>
        <w:t>Our need for additional capital will depend in part on the scope and costs of our development and commercial manufacturing activities, and the results of our commercial sales efforts. We recently received FDA approval to commercialize Symvess and have only recently generated revenue from the sale of commercialized products. Our ability to generate product revenue will depend on the successful development and commercialization of Symvess and our product candidates. Until such time, if ever, we expect to finance our operations through the use of existing cash and cash equivalents, the sale of equity, debt, financings, debt refinancings or restructurings or through potential collaborations with other companies,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We expect to continue to incur significant expenses and to increase operating losses for at least the next several years. We anticipate that our expenses will increase substantially as we seek to:</w:t>
      </w:r>
    </w:p>
    <w:p>
      <w:pPr>
        <w:spacing w:after="0" w:line="123"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commercialize Symvess via U.S. market launch for indications in vascular trauma and, if approved, in AV access for hemodialysis;</w:t>
      </w:r>
    </w:p>
    <w:p>
      <w:pPr>
        <w:spacing w:after="0" w:line="132"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obtain marketing approval for our 6 millimeter ATEV in additional indications involving vascular repair, reconstruction and replacement, including in AV access for hemodialysis;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scale out our manufacturing facility to the extent required to satisfy potential market demand for Symvess in the U.S. and our product candidates, following receipt of any regulatory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continue our preclinical and clinical development efforts;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maintain, expand and protect our intellectual property portfolio;</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add operational, financial and management information systems and personnel to support, among other things, our product development and commercialization efforts and operations; and</w:t>
      </w:r>
    </w:p>
    <w:p>
      <w:pPr>
        <w:spacing w:after="0" w:line="78" w:lineRule="exact"/>
        <w:rPr>
          <w:rFonts w:ascii="Times New Roman" w:cs="Times New Roman" w:eastAsia="Times New Roman" w:hAnsi="Times New Roman"/>
          <w:sz w:val="12"/>
          <w:szCs w:val="12"/>
          <w:color w:val="231F20"/>
        </w:rPr>
      </w:pPr>
    </w:p>
    <w:p>
      <w:pPr>
        <w:ind w:left="420" w:right="40" w:hanging="212"/>
        <w:spacing w:after="0" w:line="279" w:lineRule="auto"/>
        <w:tabs>
          <w:tab w:leader="none" w:pos="417"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27"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On April 28, 2025, we implemented a cost reduction action to reduce our workforce by 30 employees, cease recruitment of additional planned new hires, and reduce other operating expenses. Substantially all of the employees impacted by this plan were notified beginning May 7, 2025. We undertook these cost reductions to improve cash runway and to better align the Company’s organizational structure with its top business objectives. We incurred aggregate charges representing one-time cash expenditure for severance and other employee termination benefits of approximately $0.7 million during the second quarter of 2025, of which $0.6 million was recognized in research and development expenses and $0.1 million was recognized in selling, general and administrative expenses on our condensed consolidated statements of operations and comprehensive income (loss). Humacyte estimates that it will incur savings due to the workforce and other operating cost reductions, and reduced capital expenditures, net of termination severance and benefits, totaling approximately $13.8 million in 2025 and up to approximately $38.0 million in 2026.</w:t>
      </w:r>
    </w:p>
    <w:p>
      <w:pPr>
        <w:spacing w:after="0" w:line="9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October 2024, we submitted a New Technology Add-On Payment (“NTAP”) application for Symvess to the Centers for Medicare and Medicaid Services (“CMS”). In July 2025, CMS declined to approve our NTAP application. We may engage in discussions with CMS regarding the application, but there is no guarantee that CMS will reverse its decision within a given timeframe, or at all. We believe that the potential impact of the NTAP on commercial success is limited as only approximately 4.3% of vascular trauma patients are covered under Medicare reimbursement.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13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We generate product revenue from commercial sales of Symvess in the United States. Contract revenue consists of revenue related to a single contract with a customer to recover contract expenses. Contract revenue associated with each performance obligation in the contract is recognized as the research and development services are provided according to the actual costs incurred compared to the total costs expected to be incurred to satisfy the performance obligation.</w:t>
      </w:r>
    </w:p>
    <w:p>
      <w:pPr>
        <w:spacing w:after="0" w:line="9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Prior to the recent commercialization of the ATEVs in the vascular trauma indication, all of our revenue was derived from government and other grants. From inception through September 30, 2025, we have been awarded grants, including grants from the California Institute of Regenerative Medicine (“CIRM”), the National Institutes of Health (“NIH”), and the Department of Defense, to support our development, production scaling and clinical trials of our product candidates.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We may generate revenue in the future from government and other grants, payments from future license or collaboration agreements and from product sales of our ATEVs in the vascular trauma indication and any of our product candidates that receive marketing approval.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goods sold</w:t>
      </w:r>
    </w:p>
    <w:p>
      <w:pPr>
        <w:spacing w:after="0" w:line="13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have inventory for which the production costs were recorded as an expense in 2024 prior to FDA approval. We expect cost of goods sold to normalize after utilization of this inventory. If market acceptance of Symvess does not occur at all or on a timely basis prior to the inventory shelf-life expiration, we may be required to write-off some or all inventory, which could affect our financial requirements and financial results. Cost of goods sold includes overhead related to unused production capacity, which was recorded as an expense during the three and nine months ended September 30, 2025, as well as royalties expense based on our product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Since our inception, we have focused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spacing w:after="0" w:line="93"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salaries and related overhead expenses for personnel in research and development functions, including stock-based compensation and benefits;</w:t>
      </w:r>
    </w:p>
    <w:p>
      <w:pPr>
        <w:spacing w:after="0" w:line="123" w:lineRule="exact"/>
        <w:rPr>
          <w:rFonts w:ascii="Times New Roman" w:cs="Times New Roman" w:eastAsia="Times New Roman" w:hAnsi="Times New Roman"/>
          <w:sz w:val="12"/>
          <w:szCs w:val="12"/>
          <w:color w:val="auto"/>
        </w:rPr>
      </w:pPr>
    </w:p>
    <w:p>
      <w:pPr>
        <w:ind w:left="420" w:right="120" w:hanging="212"/>
        <w:spacing w:after="0" w:line="279" w:lineRule="auto"/>
        <w:tabs>
          <w:tab w:leader="none" w:pos="41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8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allocation of facility lease and maintenance costs;</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of leasehold improvements, laboratory equipment and computers;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purchasing raw materials and producing our product candidates for clinical trials;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compliance with regulatory requirements;</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our manufacturing development and expanded-capabilities initiatives; and</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 fees related to in-licensed technologies.</w:t>
      </w:r>
    </w:p>
    <w:p>
      <w:pPr>
        <w:spacing w:after="0" w:line="123"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 majority of our research and development resources are currently focused on our Phase 2 and 3 clinical trials for our 6 millimeter ATEV and other work needed to obtain marketing approval for our 6 millimeter ATEV for use in AV access in hemodialysis and PAD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0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92"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patient enrollment in and the initiation and completion of clinical trials;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receipt and terms of any marketing approvals from applicable regulatory authorities including the FDA and non-U.S. regulators;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any required post-marketing approval commitments to applicable regulatory authorities;</w:t>
      </w:r>
    </w:p>
    <w:p>
      <w:pPr>
        <w:spacing w:after="0" w:line="132" w:lineRule="exact"/>
        <w:rPr>
          <w:rFonts w:ascii="Times New Roman" w:cs="Times New Roman" w:eastAsia="Times New Roman" w:hAnsi="Times New Roman"/>
          <w:sz w:val="12"/>
          <w:szCs w:val="12"/>
          <w:color w:val="auto"/>
        </w:rPr>
      </w:pPr>
    </w:p>
    <w:p>
      <w:pPr>
        <w:ind w:left="420" w:right="300" w:hanging="212"/>
        <w:spacing w:after="0" w:line="279" w:lineRule="auto"/>
        <w:tabs>
          <w:tab w:leader="none" w:pos="4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 and refinement of clinical and commercial manufacturing capabilities or making arrangements with third-party manufacturers in order to ensure that it or its third-party manufacturers are able to successfully manufacture our product;</w:t>
      </w:r>
    </w:p>
    <w:p>
      <w:pPr>
        <w:spacing w:after="0" w:line="8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maintaining, defending and enforcing patent claims and other intellectual property rights;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and changing government regulations;</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commercial sales of Symvess and our product candidates, if approved, whether alone or in collaboration with others;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degree of market acceptance of Symvess and any product candidates that obtain marketing approval; and</w:t>
      </w:r>
    </w:p>
    <w:p>
      <w:pPr>
        <w:spacing w:after="0" w:line="123" w:lineRule="exact"/>
        <w:rPr>
          <w:rFonts w:ascii="Times New Roman" w:cs="Times New Roman" w:eastAsia="Times New Roman" w:hAnsi="Times New Roman"/>
          <w:sz w:val="12"/>
          <w:szCs w:val="12"/>
          <w:color w:val="auto"/>
        </w:rPr>
      </w:pPr>
    </w:p>
    <w:p>
      <w:pPr>
        <w:ind w:left="420" w:right="340" w:hanging="212"/>
        <w:spacing w:after="0" w:line="279" w:lineRule="auto"/>
        <w:tabs>
          <w:tab w:leader="none" w:pos="4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 continued acceptable safety profile following approval of Symvess in the vascular trauma indication and in any other indications for which approval may be granted, or for any of our product candidates, if approved.</w:t>
      </w:r>
    </w:p>
    <w:p>
      <w:pPr>
        <w:spacing w:after="0" w:line="93"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0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Income (Expense), Net</w:t>
      </w:r>
    </w:p>
    <w:p>
      <w:pPr>
        <w:spacing w:after="0" w:line="125"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(iii) interest expense incurred on the Purchase Agreement (defined above) and finance leases, and (iv) the change in fair value of our derivative liabilities and asset including the private placement Common Stock warrant liabilities related to the Private Placement Warrants, which we assumed in connection with the Merger; Common Stock warrant liabilities related to our Registered Direct Offerings; the contingent derivative liability related to the Purchase Agreement; a liability related to a freestanding option agreement related to the Purchase Agreement; a derivative liability related to our agreement with JDRF; and a derivative asset related to our Common Stock Purchase Agreement, all of which are subject to remeasurement to fair value at each balance sheet date resulting in a non-cash gain or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Comparison of the Three Months Ended September 30,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00" w:type="dxa"/>
            <w:vAlign w:val="bottom"/>
          </w:tcPr>
          <w:p>
            <w:pPr>
              <w:spacing w:after="0"/>
              <w:rPr>
                <w:sz w:val="11"/>
                <w:szCs w:val="11"/>
                <w:color w:val="auto"/>
              </w:rPr>
            </w:pPr>
          </w:p>
        </w:tc>
        <w:tc>
          <w:tcPr>
            <w:tcW w:w="1620" w:type="dxa"/>
            <w:vAlign w:val="bottom"/>
            <w:gridSpan w:val="3"/>
          </w:tcPr>
          <w:p>
            <w:pPr>
              <w:ind w:left="10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top w:val="single" w:sz="8" w:color="auto"/>
              <w:bottom w:val="single" w:sz="8" w:color="auto"/>
            </w:tcBorders>
          </w:tcPr>
          <w:p>
            <w:pPr>
              <w:spacing w:after="0"/>
              <w:rPr>
                <w:sz w:val="11"/>
                <w:szCs w:val="11"/>
                <w:color w:val="auto"/>
              </w:rPr>
            </w:pPr>
          </w:p>
        </w:tc>
      </w:tr>
      <w:tr>
        <w:trPr>
          <w:trHeight w:val="13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revenue, net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Contract revenue</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80"/>
        </w:trPr>
        <w:tc>
          <w:tcPr>
            <w:tcW w:w="5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53"/>
        </w:trPr>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goods sold</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22,926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 %</w:t>
            </w:r>
          </w:p>
        </w:tc>
      </w:tr>
      <w:tr>
        <w:trPr>
          <w:trHeight w:val="15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25,143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30,233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 %</w:t>
            </w:r>
          </w:p>
        </w:tc>
      </w:tr>
      <w:tr>
        <w:trPr>
          <w:trHeight w:val="14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(24,390)</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(30,233)</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5,843</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r>
      <w:tr>
        <w:trPr>
          <w:trHeight w:val="160"/>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3"/>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 %</w:t>
            </w:r>
          </w:p>
        </w:tc>
      </w:tr>
      <w:tr>
        <w:trPr>
          <w:trHeight w:val="15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13,382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 %</w:t>
            </w:r>
          </w:p>
        </w:tc>
      </w:tr>
      <w:tr>
        <w:trPr>
          <w:trHeight w:val="153"/>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 income</w:t>
            </w: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6,880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15,849</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(177) %</w:t>
            </w:r>
          </w:p>
        </w:tc>
      </w:tr>
      <w:tr>
        <w:trPr>
          <w:trHeight w:val="15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(17,510)</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(39,202)</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21,692</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bl>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125"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Total revenue was $0.8 million for the three months ended September 30, 2025, compared to no revenue for the three months ended September 30, 2024. Revenue for the three months ended September 30, 2025 consisted of $0.7 million of product revenue from sales of Symvess in the United States and $0.1 million of revenue earned related to research and development services pursuant to a research contract with a large medical technology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Cost of goods sold</w:t>
      </w:r>
    </w:p>
    <w:p>
      <w:pPr>
        <w:spacing w:after="0" w:line="152"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Cost of goods sold was $0.3 million for the three months ended September 30, 2025 and includes overhead related to unused production capacity which was recorded as an expense during the period. There was no cost of goods sold for the three months ended September 30, 2024.</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discloses the breakdown of research and development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400" w:type="dxa"/>
            <w:vAlign w:val="bottom"/>
          </w:tcPr>
          <w:p>
            <w:pPr>
              <w:spacing w:after="0"/>
              <w:rPr>
                <w:sz w:val="11"/>
                <w:szCs w:val="11"/>
                <w:color w:val="auto"/>
              </w:rPr>
            </w:pPr>
          </w:p>
        </w:tc>
        <w:tc>
          <w:tcPr>
            <w:tcW w:w="1620" w:type="dxa"/>
            <w:vAlign w:val="bottom"/>
            <w:gridSpan w:val="3"/>
          </w:tcPr>
          <w:p>
            <w:pPr>
              <w:ind w:left="10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140" w:type="dxa"/>
            <w:vAlign w:val="bottom"/>
          </w:tcPr>
          <w:p>
            <w:pPr>
              <w:spacing w:after="0"/>
              <w:rPr>
                <w:sz w:val="11"/>
                <w:szCs w:val="11"/>
                <w:color w:val="auto"/>
              </w:rPr>
            </w:pPr>
          </w:p>
        </w:tc>
      </w:tr>
      <w:tr>
        <w:trPr>
          <w:trHeight w:val="13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Direct Expenses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Vascular Trauma</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0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 %</w:t>
            </w: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 Access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PAD</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142"/>
        </w:trPr>
        <w:tc>
          <w:tcPr>
            <w:tcW w:w="5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2,388</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Unallocated Expenses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External services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 %</w:t>
            </w: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Materials and supplies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Payroll and personnel expenses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r>
      <w:tr>
        <w:trPr>
          <w:trHeight w:val="153"/>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research and development expenses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 %</w:t>
            </w:r>
          </w:p>
        </w:tc>
      </w:tr>
      <w:tr>
        <w:trPr>
          <w:trHeight w:val="14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15,383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20,538</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(5,155)</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 %</w:t>
            </w:r>
          </w:p>
        </w:tc>
      </w:tr>
      <w:tr>
        <w:trPr>
          <w:trHeight w:val="142"/>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research and development expenses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17,273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22,926</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(5,653)</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Research and development expenses were $17.3 million for the three months ended September 30, 2025, representing a decrease of $5.7 million, or 25%, from $22.9 million for the three months ended September 30, 2024. The decrease was driven by a $3.0 million decrease in other research and development expense and $1.0 million decrease in payroll and personnel expenses related to the capitalization of overhead costs associated with the commercial manufacturing of Symvess, a $0.3 million decrease in external services, a $0.5 million decrease in clinical trials expense, and a $0.5 million decrease in materials and supplies expense.</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were $7.6 million and $7.3 million for the three months ended September 30, 2025 and 2024, respectively. The increase in selling, general and administrative expenses compared to the prior period of $0.3 million, or 4% , was primarily driven by the commercial launch of Symvess, and included a $0.8 million increase in payroll and personnel expenses and $0.3 million increase in professional fees, partially offset by a $1.0 million decrease in external services and consulting expenses.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Total Other Income (Expense), net</w:t>
      </w:r>
    </w:p>
    <w:p>
      <w:pPr>
        <w:spacing w:after="0" w:line="134" w:lineRule="exact"/>
        <w:rPr>
          <w:sz w:val="20"/>
          <w:szCs w:val="20"/>
          <w:color w:val="auto"/>
        </w:rPr>
      </w:pPr>
    </w:p>
    <w:p>
      <w:pPr>
        <w:ind w:right="80" w:firstLine="216"/>
        <w:spacing w:after="0" w:line="327" w:lineRule="auto"/>
        <w:rPr>
          <w:sz w:val="20"/>
          <w:szCs w:val="20"/>
          <w:color w:val="auto"/>
        </w:rPr>
      </w:pPr>
      <w:r>
        <w:rPr>
          <w:rFonts w:ascii="Times New Roman" w:cs="Times New Roman" w:eastAsia="Times New Roman" w:hAnsi="Times New Roman"/>
          <w:sz w:val="11"/>
          <w:szCs w:val="11"/>
          <w:color w:val="auto"/>
        </w:rPr>
        <w:t>Total other income, net was $6.9 million for the three months ended September 30, 2025 compared to total other expense, net of $9.0 million for the three months ended September 30, 2024. The increase in net income of $15.8 million was primarily attributable to a $13.4 million non-cash gain from the fair value remeasurement of the Contingent Earnout Liability and a $3.0 million non-cash gain from the fair value remeasurement of the derivative liabilities.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Comparison of the Nine Months Ended September 30,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00" w:type="dxa"/>
            <w:vAlign w:val="bottom"/>
          </w:tcPr>
          <w:p>
            <w:pPr>
              <w:spacing w:after="0"/>
              <w:rPr>
                <w:sz w:val="11"/>
                <w:szCs w:val="11"/>
                <w:color w:val="auto"/>
              </w:rPr>
            </w:pPr>
          </w:p>
        </w:tc>
        <w:tc>
          <w:tcPr>
            <w:tcW w:w="1600" w:type="dxa"/>
            <w:vAlign w:val="bottom"/>
            <w:gridSpan w:val="3"/>
          </w:tcPr>
          <w:p>
            <w:pPr>
              <w:ind w:left="100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0"/>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top w:val="single" w:sz="8" w:color="auto"/>
              <w:bottom w:val="single" w:sz="8" w:color="auto"/>
            </w:tcBorders>
          </w:tcPr>
          <w:p>
            <w:pPr>
              <w:spacing w:after="0"/>
              <w:rPr>
                <w:sz w:val="11"/>
                <w:szCs w:val="11"/>
                <w:color w:val="auto"/>
              </w:rPr>
            </w:pPr>
          </w:p>
        </w:tc>
      </w:tr>
      <w:tr>
        <w:trPr>
          <w:trHeight w:val="138"/>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5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revenue, net</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Contract revenue</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80"/>
        </w:trPr>
        <w:tc>
          <w:tcPr>
            <w:tcW w:w="5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53"/>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goods sold</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67,943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5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18,367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5,188</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78,872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86,310</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(7,438)</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 %</w:t>
            </w:r>
          </w:p>
        </w:tc>
      </w:tr>
      <w:tr>
        <w:trPr>
          <w:trHeight w:val="14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(77,301)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(86,310)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9,009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r>
      <w:tr>
        <w:trPr>
          <w:trHeight w:val="153"/>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 %</w:t>
            </w:r>
          </w:p>
        </w:tc>
      </w:tr>
      <w:tr>
        <w:trPr>
          <w:trHeight w:val="153"/>
        </w:trPr>
        <w:tc>
          <w:tcPr>
            <w:tcW w:w="5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49,154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(38,653)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87,807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(227) %</w:t>
            </w:r>
          </w:p>
        </w:tc>
      </w:tr>
      <w:tr>
        <w:trPr>
          <w:trHeight w:val="153"/>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18,191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(8,157)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61,272</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(41,451)</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102,723</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 %</w:t>
            </w:r>
          </w:p>
        </w:tc>
      </w:tr>
      <w:tr>
        <w:trPr>
          <w:trHeight w:val="142"/>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(16,029)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(127,761)</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111,732</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(87)%</w:t>
            </w: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152" w:lineRule="exact"/>
        <w:rPr>
          <w:sz w:val="20"/>
          <w:szCs w:val="20"/>
          <w:color w:val="auto"/>
        </w:rPr>
      </w:pPr>
    </w:p>
    <w:p>
      <w:pPr>
        <w:ind w:right="240" w:firstLine="216"/>
        <w:spacing w:after="0" w:line="327" w:lineRule="auto"/>
        <w:rPr>
          <w:sz w:val="20"/>
          <w:szCs w:val="20"/>
          <w:color w:val="auto"/>
        </w:rPr>
      </w:pPr>
      <w:r>
        <w:rPr>
          <w:rFonts w:ascii="Times New Roman" w:cs="Times New Roman" w:eastAsia="Times New Roman" w:hAnsi="Times New Roman"/>
          <w:sz w:val="11"/>
          <w:szCs w:val="11"/>
          <w:color w:val="auto"/>
        </w:rPr>
        <w:t>Total revenue was $1.6 million for the nine months ended September 30, 2025, compared to no revenue for the nine months ended September 30, 2024. Revenue for the nine months ended September 30, 2025 consisted of $0.9 million of product revenue from sales of Symvess in the United States and $0.6 million of revenue earned related to research and development services pursuant to a research contract with a large medical technology company.</w:t>
      </w:r>
    </w:p>
    <w:p>
      <w:pPr>
        <w:spacing w:after="0" w:line="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Cost of goods sold</w:t>
      </w:r>
    </w:p>
    <w:p>
      <w:pPr>
        <w:spacing w:after="0" w:line="15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Cost of goods sold was $0.6 million for the nine months ended September 30, 2025 and includes overhead related to unused production capacity which was recorded as an expense during the period. There was no cost of goods sold for the nine months ended September 30, 2024.</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discloses the breakdown of research and development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00" w:type="dxa"/>
            <w:vAlign w:val="bottom"/>
          </w:tcPr>
          <w:p>
            <w:pPr>
              <w:spacing w:after="0"/>
              <w:rPr>
                <w:sz w:val="11"/>
                <w:szCs w:val="11"/>
                <w:color w:val="auto"/>
              </w:rPr>
            </w:pPr>
          </w:p>
        </w:tc>
        <w:tc>
          <w:tcPr>
            <w:tcW w:w="1620" w:type="dxa"/>
            <w:vAlign w:val="bottom"/>
            <w:gridSpan w:val="3"/>
          </w:tcPr>
          <w:p>
            <w:pPr>
              <w:ind w:left="10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140" w:type="dxa"/>
            <w:vAlign w:val="bottom"/>
          </w:tcPr>
          <w:p>
            <w:pPr>
              <w:spacing w:after="0"/>
              <w:rPr>
                <w:sz w:val="11"/>
                <w:szCs w:val="11"/>
                <w:color w:val="auto"/>
              </w:rPr>
            </w:pPr>
          </w:p>
        </w:tc>
      </w:tr>
      <w:tr>
        <w:trPr>
          <w:trHeight w:val="13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Direct Expenses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Vascular Trauma</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1,904</w:t>
            </w:r>
          </w:p>
        </w:tc>
        <w:tc>
          <w:tcPr>
            <w:tcW w:w="10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 %</w:t>
            </w: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 Access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 %</w:t>
            </w: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PAD</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142"/>
        </w:trPr>
        <w:tc>
          <w:tcPr>
            <w:tcW w:w="5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5,046</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 %</w:t>
            </w: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Unallocated Expenses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External services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r>
      <w:tr>
        <w:trPr>
          <w:trHeight w:val="153"/>
        </w:trPr>
        <w:tc>
          <w:tcPr>
            <w:tcW w:w="5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Materials and supplies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 %</w:t>
            </w:r>
          </w:p>
        </w:tc>
      </w:tr>
      <w:tr>
        <w:trPr>
          <w:trHeight w:val="15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Payroll and personnel expenses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26,948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r>
      <w:tr>
        <w:trPr>
          <w:trHeight w:val="153"/>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research and development expenses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 %</w:t>
            </w:r>
          </w:p>
        </w:tc>
      </w:tr>
      <w:tr>
        <w:trPr>
          <w:trHeight w:val="14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49,651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60,926</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(11,275)</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42"/>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research and development expenses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54,697</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67,943</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(13,246)</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Research and development expenses were $54.7 million for the nine months ended September 30, 2025, representing a decrease of $13.2 million, or 19%, from $67.9 million for the nine months ended September 30, 2024. The decrease was primarily driven by a $4.2 million decrease in materials and supplies expense, related to the capitalization of expenditures for inventory during the nine months ended September 30, 2025 following the commencement of commercial manufacturing to support the market launch of Symvess, a $2.0 million decrease in clinical trials expense, and a $5.4 million decrease in other research and development expenses related primarily to the capitalization of overhead costs associated with the commercial manufacturing of Symvess.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125"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were $23.6 million and $18.4 million for the nine months ended September 30, 2025 and 2024, respectively. The increase in general and administrative expenses compared to the prior period of $5.2 million, or 28%, was primarily driven by the commercial launch of Symvess. Significant increases in expenses included a $4.9 million increase in payroll and personnel expenses.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Total Other Income (Expense), net</w:t>
      </w:r>
    </w:p>
    <w:p>
      <w:pPr>
        <w:spacing w:after="0" w:line="134"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Total other income, net was $61.3 million for the nine months ended September 30, 2025, compared to total other expense, net of $41.5 million for the nine months ended September 30, 2024. The $102.7 million change was primarily attributable to an $87.8 million non-cash gain from the fair value remeasurement of the Contingent Earnout Liability and a $17.5 million non-cash gain from the fair value remeasurement of derivative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Sources of Liquidity</w:t>
      </w:r>
    </w:p>
    <w:p>
      <w:pPr>
        <w:spacing w:after="0" w:line="13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have historically financed our operations primarily through the sale of equity securities and convertible debt, borrowings under loan facilities, the Purchase Agreement, and, to a lesser extent, through grants from governmental and other agencies. Since our inception, we have incurred significant operating losses and negative cash flows. As of September 30, 2025 and December 31, 2024, we had an accumulated deficit of $702.0 million and $686.0 million, respectively.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As of September 30, 2025 and December 31, 2024, we had working capital of $15.8 million and $27.9 million, respectively. As of September 30, 2025 and December 31, 2024, we had cash and cash equivalents of $19.5 million and $44.9 million, respectively, and restricted cash of $0.4 million and $50.4 million, respectively. We funded the restricted cash account on August 14, 2024, in accordance with our amended Purchase Agreement, of which $50.0 million was not subject to our unilateral control. In connection with the Purchase Agreement Amendment, the Company made the Purchase Agreement Amendment Payment of $50.0 million, funded from the restricted cash previously maintained for the benefit of the Agent. As a result of the Purchase Agreement Amendment Payment, the Company is no longer obligated to maintain $50.0 million of restricted cash in an account for the benefit of the Agent unless the Purchase Agreement has not been repaid in full by December 31, 2025, at which point the Company will be required to maintain $12.5 million in such account.</w:t>
      </w:r>
    </w:p>
    <w:p>
      <w:pPr>
        <w:spacing w:after="0" w:line="98"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As of September 30, 2025, we had $47.5 million in remaining availability for sales of Common Stock under our Common Stock Purchase Agreement with Lincoln Park and $62.7 million in remaining availability for sales of Common Stock under our ATM Facility.</w:t>
      </w:r>
    </w:p>
    <w:p>
      <w:pPr>
        <w:spacing w:after="0" w:line="93"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 xml:space="preserve">As discussed above, on April 28, 2025, we implemented a cost reduction action to reduce our workforce by 30 employees, cease recruitment of additional planned new hires, and reduce other operating expenses. We undertook these cost reductions to improve cash runway and to better align the Company’s organizational structure with its top business objectives. We believe our cash and cash equivalents on hand and existing capacity under our Common Stock Purchase Agreement will be sufficient to fund operations for at least twelve months from the issuance date of these interim financial statements. The future viability of the Company beyond that point is dependent on our ability to generate cash flows from the sale of Symvess and raise additional capital to finance our operations.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financings, debt refinancings or restructurings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 w:cs="Times New Roman" w:eastAsia="Times New Roman" w:hAnsi="Times New Roman"/>
          <w:sz w:val="12"/>
          <w:szCs w:val="12"/>
          <w:color w:val="231F20"/>
        </w:rPr>
        <w:t>If we 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unable to raise sufficient capital, we may be forced to delay, reduce, suspend or cease certain of our planned research and development programs or any future commercialization efforts, which would have a negative impact on our business, prospects, operating results and financial condition.</w:t>
      </w:r>
    </w:p>
    <w:p>
      <w:pPr>
        <w:spacing w:after="0" w:line="9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On February 29, 2024, we entered into an underwriting agreement in connection with the 2024 Public Offering. The net proceeds to us from the 2024 Public Offering were approximately $43.0 million, after deducting underwriting discounts and commissions and offering expenses. The 2024 Public Offering closed on March 5, 2024.</w:t>
      </w:r>
    </w:p>
    <w:p>
      <w:pPr>
        <w:spacing w:after="0" w:line="8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September 30, 2025, we had completed sales of shares under the Common Stock Purchase Agreement that provided $2.5 million in gross proceeds, and as of September 30, 2025 we had $47.5 million in remaining availability for sales of our Common Stock under our Common Stock Purchase Agreement with Lincoln Park.</w:t>
      </w:r>
    </w:p>
    <w:p>
      <w:pPr>
        <w:spacing w:after="0" w:line="10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On October 4, 2024, we entered into a securities purchase agreement with an institutional investor pursuant to which the investor purchased approximately $30.0 million of Common Stock and warrants in the October 2024 Registered Direct Offering. The net proceeds to us from the October 2024 Registered Direct Offering were approximately $28.0 million, after deducting placement agent’s fees and offering expenses of approximately $2.0 million. The October 2024 Registered Direct Offering closed on October 7, 2024.</w:t>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November 13, 2024, we entered into a securities purchase agreement with an institutional investor pursuant to which the investor purchased approximately $15.0 million of Common Stock and warrants in the November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Registered Direct Offering. The net proceeds to us from the November 2024 Registered Direct Offering were approximately $14.9 million after deducting offering expenses of approximately $0.1 million. The November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Registered Direct Offering closed on November 15,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On March 25, 2025, we entered into an underwriting agreement in connection with the 2025 Public Offering. The net proceeds to us from the 2025 Public Offering were approximately $46.7 million, after deducting underwriting discounts and commissions and offering expenses. The 2025 Public Offering closed on March 27, 2025.</w:t>
      </w:r>
    </w:p>
    <w:p>
      <w:pPr>
        <w:spacing w:after="0" w:line="84"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On October 6, 2025, we entered into a securities purchase agreement with institutional investors pursuant to which the investors purchased approximately $60.0 million worth of Common Stock and October 2025 RDO Warrants in the October 2025 Registered Direct Offering. The net proceeds to us from the October 2025 Registered Direct Offering were approximately $56.5 million, after deducting placement agent’s fees and offering expenses of approximately $3.5 million. The October 2025 Registered Direct Offering closed on October 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ATM Facility</w:t>
      </w:r>
    </w:p>
    <w:p>
      <w:pPr>
        <w:spacing w:after="0" w:line="13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September 1, 2022, we entered into the ATM Facility for the sale from time to time of up to $80.0 million of shares of Common Stock. As of September 30, 2025, we have sold an aggregate of 5,125,876 shares of Common Stock under the ATM Facility at an average price of $3.38 per share for net proceeds of approximately $16.8 million after deducting sales commissions of approximately $0.5 million. As of September 30, 2025, we had $62.7 million in remaining availability for sales of Common Stock under the ATM Facility.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Material Cash Requirements</w:t>
      </w:r>
    </w:p>
    <w:p>
      <w:pPr>
        <w:spacing w:after="0" w:line="125"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12 — Commitments and Contingencies </w:t>
      </w:r>
      <w:r>
        <w:rPr>
          <w:rFonts w:ascii="Times New Roman" w:cs="Times New Roman" w:eastAsia="Times New Roman" w:hAnsi="Times New Roman"/>
          <w:sz w:val="12"/>
          <w:szCs w:val="12"/>
          <w:color w:val="231F20"/>
        </w:rPr>
        <w:t>to our unaudited condensed consolidated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financial statements contained elsewhere in this Quarterly Report)</w:t>
      </w:r>
      <w:r>
        <w:rPr>
          <w:rFonts w:ascii="Times New Roman" w:cs="Times New Roman" w:eastAsia="Times New Roman" w:hAnsi="Times New Roman"/>
          <w:sz w:val="12"/>
          <w:szCs w:val="12"/>
          <w:color w:val="000000"/>
        </w:rPr>
        <w:t>. We have also entered into contracts with CROs primarily for clinical trials. These contracts generally provide for termination upon limited notice, and therefore we</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As of September 30, 2025, we had non-cancellable purchase com</w:t>
      </w:r>
      <w:r>
        <w:rPr>
          <w:rFonts w:ascii="Times New Roman" w:cs="Times New Roman" w:eastAsia="Times New Roman" w:hAnsi="Times New Roman"/>
          <w:sz w:val="12"/>
          <w:szCs w:val="12"/>
          <w:color w:val="231F20"/>
        </w:rPr>
        <w:t>mitments of $24.2 million for supplies and services that are primarily for research and development. We have existing license agreements with Duke University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September 30, 2025. For additional information regarding our agreement with Fresenius Medical Care, see Note 13 — Related Party Transactions to our unaudited condensed consolidated financial statements contained elsewhere in this Quarterly Report. For additional information regarding our agreements with Duke University, Yale University and JDRF, see Note 12 — Commitments and Contingencies to our unaudited condensed consolidated financial statements contained elsewhere in this Quarterly Report.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Revenue Interest Purchase Agreement</w:t>
      </w:r>
    </w:p>
    <w:p>
      <w:pPr>
        <w:spacing w:after="0" w:line="125"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On May 12, 2023, we entered into the Purchase Agreement with the Purchasers and another affiliate of Oberland Capital Management LLC, as agent for the Purchasers, to obtain financing in respect to the further development and commercialization of our ATEV, to repay our then outstanding credit facility with SVB, and for other general corporate purposes. Pursuant to the Purchase Agreement and subject to customary closing conditions, the Purchasers have purchased certain revenue interests from us in exchange for an aggregate investment amount of up to $150.0 million. Under the terms of the Purchase Agreement, $40.0 million of the Investment Amount, less certain transaction expenses, was funded on May 12, 2023, which was used to repay in full and retire our indebtedness under our loan agreement with SVB, with the remaining proceeds funded to the Company. On March 11, 2024, $20.0 million of the Investment Amount was funded to the Company. On December 19, 2024, the FDA granted full approval for our BLA for the vascular trauma indication, and we elected not to draw the additional $40.0 million that became available under the Purchase Agreement. As of and subsequent to December 31, 2024, we are not entitled to draw on any further installments under the Purchase Agreement. See Note 7 — Revenue Interest Purchase Agreement to the condensed consolidated financial statements for additional details about this financing transaction.</w:t>
      </w:r>
    </w:p>
    <w:p>
      <w:pPr>
        <w:spacing w:after="0" w:line="108"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on August 14, 2024 we funded an account in the amount of $54.0 million, over which the Agent has certain consent and other rights to $50.0 million of the funds. See Note 7 for further information.</w:t>
      </w:r>
    </w:p>
    <w:p>
      <w:pPr>
        <w:spacing w:after="0" w:line="131" w:lineRule="exact"/>
        <w:rPr>
          <w:sz w:val="20"/>
          <w:szCs w:val="20"/>
          <w:color w:val="auto"/>
        </w:rPr>
      </w:pPr>
    </w:p>
    <w:p>
      <w:pPr>
        <w:ind w:right="40" w:firstLine="216"/>
        <w:spacing w:after="0" w:line="238" w:lineRule="auto"/>
        <w:rPr>
          <w:sz w:val="20"/>
          <w:szCs w:val="20"/>
          <w:color w:val="auto"/>
        </w:rPr>
      </w:pPr>
      <w:r>
        <w:rPr>
          <w:rFonts w:ascii="Times New Roman" w:cs="Times New Roman" w:eastAsia="Times New Roman" w:hAnsi="Times New Roman"/>
          <w:sz w:val="12"/>
          <w:szCs w:val="12"/>
          <w:color w:val="auto"/>
        </w:rPr>
        <w:t>On September 17, 2025, we entered into the Purchase Agreement Amendment with the Purchasers and the Agent to amend the Purchase Agreement. In connection with the Purchase Agreement Amendment, we made a $50 million repayment under the Purchase Agreement, funded from the restricted cash maintained for the benefit of the Agent. Additionally, pursuant to the Purchase Agreement Amendment, we are no longer obligated to maintain $50.0 million of restricted cash in an account for the benefit of the Agent unless the Purchase Agreement has not been repaid in full by December 31, 2025, at which point we will be required to maintain $12.5 million in such account. Under the Purchase Agreement, as of September 30, 2025, we had $20.7 million recorded as a revenue interest liability on our condensed consolidated financial statements. For additional information regarding the Purchase Agreement, see Note 7 — Revenue Interest Purchase Agreement to our unaudited condensed consolidated financial statements contained elsewhere in this Quarterly Report.</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231F20"/>
        </w:rPr>
        <w:t>Leases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 xml:space="preserve">On September 29, 2025, we executed a Sixth Amendment to our lease agreements that extended the lease term and modified key financial terms. Additional details regarding the amendment and its impact are provided in </w:t>
      </w:r>
      <w:r>
        <w:rPr>
          <w:rFonts w:ascii="Times New Roman" w:cs="Times New Roman" w:eastAsia="Times New Roman" w:hAnsi="Times New Roman"/>
          <w:sz w:val="12"/>
          <w:szCs w:val="12"/>
          <w:color w:val="000000"/>
        </w:rPr>
        <w:t>Note 8 —</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Leases </w:t>
      </w:r>
      <w:r>
        <w:rPr>
          <w:rFonts w:ascii="Times New Roman" w:cs="Times New Roman" w:eastAsia="Times New Roman" w:hAnsi="Times New Roman"/>
          <w:sz w:val="12"/>
          <w:szCs w:val="12"/>
          <w:color w:val="231F20"/>
        </w:rPr>
        <w:t>to the condensed consolidated financial statements. Our future contractual obligations under our lease agreement as of September 30, 2025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0"/>
                <w:szCs w:val="10"/>
                <w:b w:val="1"/>
                <w:bCs w:val="1"/>
                <w:color w:val="auto"/>
                <w:w w:val="97"/>
              </w:rPr>
              <w:t>Less than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1 – 3 years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3 – 5 years</w:t>
            </w:r>
          </w:p>
        </w:tc>
        <w:tc>
          <w:tcPr>
            <w:tcW w:w="280" w:type="dxa"/>
            <w:vAlign w:val="bottom"/>
          </w:tcPr>
          <w:p>
            <w:pPr>
              <w:spacing w:after="0"/>
              <w:rPr>
                <w:sz w:val="10"/>
                <w:szCs w:val="10"/>
                <w:color w:val="auto"/>
              </w:rPr>
            </w:pPr>
          </w:p>
        </w:tc>
        <w:tc>
          <w:tcPr>
            <w:tcW w:w="1100" w:type="dxa"/>
            <w:vAlign w:val="bottom"/>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2"/>
              </w:rPr>
              <w:t>More than</w:t>
            </w:r>
          </w:p>
        </w:tc>
        <w:tc>
          <w:tcPr>
            <w:tcW w:w="0" w:type="dxa"/>
            <w:vAlign w:val="bottom"/>
          </w:tcPr>
          <w:p>
            <w:pPr>
              <w:spacing w:after="0"/>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368"/>
              <w:spacing w:after="0"/>
              <w:rPr>
                <w:sz w:val="20"/>
                <w:szCs w:val="20"/>
                <w:color w:val="auto"/>
              </w:rPr>
            </w:pPr>
            <w:r>
              <w:rPr>
                <w:rFonts w:ascii="Times New Roman" w:cs="Times New Roman" w:eastAsia="Times New Roman" w:hAnsi="Times New Roman"/>
                <w:sz w:val="10"/>
                <w:szCs w:val="10"/>
                <w:b w:val="1"/>
                <w:bCs w:val="1"/>
                <w:color w:val="auto"/>
                <w:w w:val="98"/>
              </w:rPr>
              <w:t>1 year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8"/>
              </w:rPr>
              <w:t>5 years</w:t>
            </w:r>
          </w:p>
        </w:tc>
        <w:tc>
          <w:tcPr>
            <w:tcW w:w="0" w:type="dxa"/>
            <w:vAlign w:val="bottom"/>
          </w:tcPr>
          <w:p>
            <w:pPr>
              <w:spacing w:after="0"/>
              <w:rPr>
                <w:sz w:val="1"/>
                <w:szCs w:val="1"/>
                <w:color w:val="auto"/>
              </w:rPr>
            </w:pPr>
          </w:p>
        </w:tc>
      </w:tr>
      <w:tr>
        <w:trPr>
          <w:trHeight w:val="146"/>
        </w:trPr>
        <w:tc>
          <w:tcPr>
            <w:tcW w:w="4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Finance leases</w:t>
            </w:r>
          </w:p>
        </w:tc>
        <w:tc>
          <w:tcPr>
            <w:tcW w:w="88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62,217</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50,267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Future Funding Requirements</w:t>
      </w:r>
    </w:p>
    <w:p>
      <w:pPr>
        <w:spacing w:after="0" w:line="125"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We expect to incur significant expenses in connection with our ongoing activities as we seek to (i) commercialize Symvess and seek marketing approval for Symvess in additional indications and for our product candidates in the United States and to obtain marketing approval for our 6 millimeter ATEV outside of the United States, (ii</w:t>
      </w:r>
      <w:r>
        <w:rPr>
          <w:rFonts w:ascii="Times New Roman" w:cs="Times New Roman" w:eastAsia="Times New Roman" w:hAnsi="Times New Roman"/>
          <w:sz w:val="12"/>
          <w:szCs w:val="12"/>
          <w:color w:val="231F20"/>
        </w:rPr>
        <w:t>) continue clinical development of our 6 millimeter ATEV for use in hemodialysis AV access and submit a BLA for FDA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approval of an indication in AV access for hemodialysis, (iii) advance our pipeline in major markets, including PAD Phase 3 trials and continue preclinical development and advance to planned clinical studies in CABG and BVP for diabetes, and (iv) expand our manufacturing facility as required to satisfy market demand. We will need additional funding in connection with these activities.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Our future funding requirements, both short-term and long-term, will depend on many factors, including:</w:t>
      </w:r>
    </w:p>
    <w:p>
      <w:pPr>
        <w:spacing w:after="0" w:line="123" w:lineRule="exact"/>
        <w:rPr>
          <w:sz w:val="20"/>
          <w:szCs w:val="20"/>
          <w:color w:val="auto"/>
        </w:rPr>
      </w:pPr>
    </w:p>
    <w:p>
      <w:pPr>
        <w:ind w:left="420" w:right="200" w:hanging="212"/>
        <w:spacing w:after="0" w:line="279" w:lineRule="auto"/>
        <w:tabs>
          <w:tab w:leader="none" w:pos="417"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 and timing of our future commercialization activities, including product manufacturing, marketing and distribution for Symvess in the United States, and any other product candidate for which we receive marketing approval in the future;</w:t>
      </w:r>
    </w:p>
    <w:p>
      <w:pPr>
        <w:spacing w:after="0" w:line="93"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amount and timing of revenues that we receive from commercial sales of Symvess and any product candidates for which we receive marketing approval;</w:t>
      </w:r>
    </w:p>
    <w:p>
      <w:pPr>
        <w:spacing w:after="0" w:line="123"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progress and results of our clinical trials and interpretation of those results by the FDA and other regulatory authorities;</w:t>
      </w:r>
    </w:p>
    <w:p>
      <w:pPr>
        <w:spacing w:after="0" w:line="123"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 timing and outcome of regulatory review of our product candidates, particularly for marketing approval of Symvess outside of the United States and of our product candidates in the United States;</w:t>
      </w:r>
    </w:p>
    <w:p>
      <w:pPr>
        <w:spacing w:after="0" w:line="132"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scope, progress, results and costs of preclinical development, laboratory testing and clinical trials for our additional product candidates;</w:t>
      </w:r>
    </w:p>
    <w:p>
      <w:pPr>
        <w:spacing w:after="0" w:line="123"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and timing of preparing, filing and prosecuting patent applications, maintaining and enforcing our intellectual property rights and defending any intellectual property-related claims; and</w:t>
      </w:r>
    </w:p>
    <w:p>
      <w:pPr>
        <w:spacing w:after="0" w:line="123" w:lineRule="exact"/>
        <w:rPr>
          <w:rFonts w:ascii="Times New Roman" w:cs="Times New Roman" w:eastAsia="Times New Roman" w:hAnsi="Times New Roman"/>
          <w:sz w:val="12"/>
          <w:szCs w:val="12"/>
          <w:color w:val="231F20"/>
        </w:rPr>
      </w:pPr>
    </w:p>
    <w:p>
      <w:pPr>
        <w:ind w:left="420" w:right="100" w:hanging="212"/>
        <w:spacing w:after="0" w:line="279" w:lineRule="auto"/>
        <w:tabs>
          <w:tab w:leader="none" w:pos="417"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93"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Until such time, if ever, as we are able to successfully commercialize Symvess and to develop and commercialize our product candidates, we expect to continue financing our operations through the sale of equity, debt, financings, debt refinancings or restructurings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spacing w:after="0" w:line="9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that we receive from commercial sales.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the section of our Annual Report entitled “Risk Factors” for additional risks associated with our substantial capital requirements.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56" w:name="page57"/>
    <w:bookmarkEnd w:id="5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Cash Flows</w:t>
      </w:r>
    </w:p>
    <w:p>
      <w:pPr>
        <w:spacing w:after="0" w:line="12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shows a summary of our cash flows for each of the periods shown below:</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8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3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 in thousands)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(127,761)</w:t>
            </w:r>
          </w:p>
        </w:tc>
      </w:tr>
      <w:tr>
        <w:trPr>
          <w:trHeight w:val="153"/>
        </w:trPr>
        <w:tc>
          <w:tcPr>
            <w:tcW w:w="82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Non-cash adjustments to reconcile net loss to net cash used in operating activities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(47,806)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53,404</w:t>
            </w:r>
          </w:p>
        </w:tc>
      </w:tr>
      <w:tr>
        <w:trPr>
          <w:trHeight w:val="15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(15,083)</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2,812</w:t>
            </w:r>
          </w:p>
        </w:tc>
      </w:tr>
      <w:tr>
        <w:trPr>
          <w:trHeight w:val="14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(71,545)</w:t>
            </w:r>
          </w:p>
        </w:tc>
      </w:tr>
      <w:tr>
        <w:trPr>
          <w:trHeight w:val="153"/>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w:t>
            </w:r>
          </w:p>
        </w:tc>
      </w:tr>
      <w:tr>
        <w:trPr>
          <w:trHeight w:val="153"/>
        </w:trPr>
        <w:tc>
          <w:tcPr>
            <w:tcW w:w="8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63,177</w:t>
            </w:r>
          </w:p>
        </w:tc>
      </w:tr>
      <w:tr>
        <w:trPr>
          <w:trHeight w:val="14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(75,449)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(9,877)</w:t>
            </w:r>
          </w:p>
        </w:tc>
      </w:tr>
      <w:tr>
        <w:trPr>
          <w:trHeight w:val="15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the beginning of the period</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95,290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80,801</w:t>
            </w:r>
          </w:p>
        </w:tc>
      </w:tr>
      <w:tr>
        <w:trPr>
          <w:trHeight w:val="158"/>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19,841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70,924</w:t>
            </w:r>
          </w:p>
        </w:tc>
      </w:tr>
    </w:tbl>
    <w:p>
      <w:pPr>
        <w:spacing w:after="0" w:line="8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___________________________</w:t>
      </w:r>
    </w:p>
    <w:p>
      <w:pPr>
        <w:spacing w:after="0" w:line="42" w:lineRule="exact"/>
        <w:rPr>
          <w:sz w:val="20"/>
          <w:szCs w:val="20"/>
          <w:color w:val="auto"/>
        </w:rPr>
      </w:pPr>
    </w:p>
    <w:p>
      <w:pPr>
        <w:ind w:left="108" w:right="120" w:hanging="108"/>
        <w:spacing w:after="0" w:line="261" w:lineRule="auto"/>
        <w:tabs>
          <w:tab w:leader="none" w:pos="121"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Primarily includes depreciation, amortization related to our leases, stock-based compensation expense, non-cash interest expense related to our revenue interest liability and our JDRF Award liability, and the changes in fair value of our Contingent Earnout Liability and our derivative liabilities and asset.</w:t>
      </w:r>
    </w:p>
    <w:p>
      <w:pPr>
        <w:spacing w:after="0" w:line="12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231F20"/>
        </w:rPr>
        <w:t>Cash Flow from Operating Activities</w:t>
      </w:r>
    </w:p>
    <w:p>
      <w:pPr>
        <w:spacing w:after="0" w:line="134" w:lineRule="exact"/>
        <w:rPr>
          <w:sz w:val="20"/>
          <w:szCs w:val="20"/>
          <w:color w:val="auto"/>
        </w:rPr>
      </w:pPr>
    </w:p>
    <w:p>
      <w:pPr>
        <w:ind w:left="8" w:right="160" w:firstLine="216"/>
        <w:spacing w:after="0" w:line="279" w:lineRule="auto"/>
        <w:rPr>
          <w:sz w:val="20"/>
          <w:szCs w:val="20"/>
          <w:color w:val="auto"/>
        </w:rPr>
      </w:pPr>
      <w:r>
        <w:rPr>
          <w:rFonts w:ascii="Times New Roman" w:cs="Times New Roman" w:eastAsia="Times New Roman" w:hAnsi="Times New Roman"/>
          <w:sz w:val="12"/>
          <w:szCs w:val="12"/>
          <w:color w:val="231F20"/>
        </w:rPr>
        <w:t xml:space="preserve">The increase in net cash used in operating activities from the </w:t>
      </w:r>
      <w:r>
        <w:rPr>
          <w:rFonts w:ascii="Times New Roman" w:cs="Times New Roman" w:eastAsia="Times New Roman" w:hAnsi="Times New Roman"/>
          <w:sz w:val="12"/>
          <w:szCs w:val="12"/>
          <w:color w:val="000000"/>
        </w:rPr>
        <w:t>nine months ended September 30, 2024</w:t>
      </w:r>
      <w:r>
        <w:rPr>
          <w:rFonts w:ascii="Times New Roman" w:cs="Times New Roman" w:eastAsia="Times New Roman" w:hAnsi="Times New Roman"/>
          <w:sz w:val="12"/>
          <w:szCs w:val="12"/>
          <w:color w:val="231F20"/>
        </w:rPr>
        <w:t xml:space="preserve"> to </w:t>
      </w:r>
      <w:r>
        <w:rPr>
          <w:rFonts w:ascii="Times New Roman" w:cs="Times New Roman" w:eastAsia="Times New Roman" w:hAnsi="Times New Roman"/>
          <w:sz w:val="12"/>
          <w:szCs w:val="12"/>
          <w:color w:val="000000"/>
        </w:rPr>
        <w:t>the nine months ended September 30, 2025 was primarily due to increased spending on preclinical, clinical and commercial</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activities as well as payroll and personnel expenses, expansion of clinical development of the ATEV for use in AV access, and our commercial launch of Symvess.</w:t>
      </w:r>
    </w:p>
    <w:p>
      <w:pPr>
        <w:spacing w:after="0" w:line="8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231F20"/>
        </w:rPr>
        <w:t>Cash Flow from Investing Activities</w:t>
      </w:r>
    </w:p>
    <w:p>
      <w:pPr>
        <w:spacing w:after="0" w:line="12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231F20"/>
        </w:rPr>
        <w:t xml:space="preserve">Net cash used in investing activities for </w:t>
      </w:r>
      <w:r>
        <w:rPr>
          <w:rFonts w:ascii="Times New Roman" w:cs="Times New Roman" w:eastAsia="Times New Roman" w:hAnsi="Times New Roman"/>
          <w:sz w:val="12"/>
          <w:szCs w:val="12"/>
          <w:color w:val="000000"/>
        </w:rPr>
        <w:t>the nine months ended September 30, 2025 and September 30, 2024 consisted of purchases of property and equipment.</w:t>
      </w:r>
    </w:p>
    <w:p>
      <w:pPr>
        <w:spacing w:after="0" w:line="13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231F20"/>
        </w:rPr>
        <w:t>Cash Flow from Financing Activities</w:t>
      </w:r>
    </w:p>
    <w:p>
      <w:pPr>
        <w:spacing w:after="0" w:line="125" w:lineRule="exact"/>
        <w:rPr>
          <w:sz w:val="20"/>
          <w:szCs w:val="20"/>
          <w:color w:val="auto"/>
        </w:rPr>
      </w:pPr>
    </w:p>
    <w:p>
      <w:pPr>
        <w:jc w:val="both"/>
        <w:ind w:left="8" w:right="200" w:firstLine="216"/>
        <w:spacing w:after="0" w:line="265" w:lineRule="auto"/>
        <w:rPr>
          <w:sz w:val="20"/>
          <w:szCs w:val="20"/>
          <w:color w:val="auto"/>
        </w:rPr>
      </w:pPr>
      <w:r>
        <w:rPr>
          <w:rFonts w:ascii="Times New Roman" w:cs="Times New Roman" w:eastAsia="Times New Roman" w:hAnsi="Times New Roman"/>
          <w:sz w:val="12"/>
          <w:szCs w:val="12"/>
          <w:color w:val="auto"/>
        </w:rPr>
        <w:t>Net cash provided by financing activities for the nine months ended September 30, 2025 consisted primarily of $46.7 million of net proceeds from our 2025 Public Offering and $9.8 million of net proceeds from the issuance of stock under our ATM Facility, partially offset by a $50.0 million payment on the revenue interest liability in connection with the Purchase Agreement Amendment. Net cash provided by financing activities for the nine months ended September 30, 2024 consisted primarily of $43.0 million of net proceeds from our 2024 Public Offering and $19.5 million of proceeds from the Purchase Agreement.</w:t>
      </w:r>
    </w:p>
    <w:p>
      <w:pPr>
        <w:spacing w:after="0" w:line="9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231F20"/>
        </w:rPr>
        <w:t xml:space="preserve">Off-Balance </w:t>
      </w:r>
      <w:r>
        <w:rPr>
          <w:rFonts w:ascii="Times New Roman" w:cs="Times New Roman" w:eastAsia="Times New Roman" w:hAnsi="Times New Roman"/>
          <w:sz w:val="12"/>
          <w:szCs w:val="12"/>
          <w:i w:val="1"/>
          <w:iCs w:val="1"/>
          <w:color w:val="000000"/>
        </w:rPr>
        <w:t>Sheet Arrangements</w:t>
      </w:r>
    </w:p>
    <w:p>
      <w:pPr>
        <w:spacing w:after="0" w:line="15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90"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Accounting Estimates</w:t>
      </w:r>
    </w:p>
    <w:p>
      <w:pPr>
        <w:spacing w:after="0" w:line="12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25"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2024 and 2023, included in our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Emerging Growth Company and Smaller Reporting Company Status</w:t>
      </w:r>
    </w:p>
    <w:p>
      <w:pPr>
        <w:spacing w:after="0" w:line="127"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Additionally, we are a “smaller reporting company” as defined in Item 10(f)(1) of Regulation S-K under the Exchange Act (“Regulation S-K”), and may continue to qualify as such even after we no longer qualify as an emerging growth company.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27" w:lineRule="exact"/>
        <w:rPr>
          <w:sz w:val="20"/>
          <w:szCs w:val="20"/>
          <w:color w:val="auto"/>
        </w:rPr>
      </w:pPr>
    </w:p>
    <w:p>
      <w:pPr>
        <w:ind w:right="180" w:firstLine="216"/>
        <w:spacing w:after="0" w:line="327" w:lineRule="auto"/>
        <w:rPr>
          <w:sz w:val="20"/>
          <w:szCs w:val="20"/>
          <w:color w:val="auto"/>
        </w:rPr>
      </w:pPr>
      <w:r>
        <w:rPr>
          <w:rFonts w:ascii="Times New Roman" w:cs="Times New Roman" w:eastAsia="Times New Roman" w:hAnsi="Times New Roman"/>
          <w:sz w:val="11"/>
          <w:szCs w:val="11"/>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69"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As of September 30, 2025,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September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27"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 13a-15(f) and 15d-15(f) under the Exchange Act) during the three months ended September 30, 2025 that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Limitations on Effectiveness of Controls</w:t>
      </w:r>
    </w:p>
    <w:p>
      <w:pPr>
        <w:spacing w:after="0" w:line="136"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27"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On November 18, 2024, James A. Cutshall filed a putative class action lawsuit, captioned Cutshall v. Humacyte, Inc., et al.,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The court has yet to rule on the motion, which remains pending.</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On January 7 and 10, 2025, putative stockholders of the Company filed two verified stockholder derivative actions in the United States District Court for the Middle District of North Carolina, captioned </w:t>
      </w:r>
      <w:r>
        <w:rPr>
          <w:rFonts w:ascii="Times New Roman" w:cs="Times New Roman" w:eastAsia="Times New Roman" w:hAnsi="Times New Roman"/>
          <w:sz w:val="12"/>
          <w:szCs w:val="12"/>
          <w:i w:val="1"/>
          <w:iCs w:val="1"/>
          <w:color w:val="auto"/>
        </w:rPr>
        <w:t>Silva v. Sebelius, et al</w:t>
      </w:r>
      <w:r>
        <w:rPr>
          <w:rFonts w:ascii="Times New Roman" w:cs="Times New Roman" w:eastAsia="Times New Roman" w:hAnsi="Times New Roman"/>
          <w:sz w:val="12"/>
          <w:szCs w:val="12"/>
          <w:color w:val="auto"/>
        </w:rPr>
        <w:t>.,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1:25-cv-00005 (the “</w:t>
      </w:r>
      <w:r>
        <w:rPr>
          <w:rFonts w:ascii="Times New Roman" w:cs="Times New Roman" w:eastAsia="Times New Roman" w:hAnsi="Times New Roman"/>
          <w:sz w:val="12"/>
          <w:szCs w:val="12"/>
          <w:i w:val="1"/>
          <w:iCs w:val="1"/>
          <w:color w:val="auto"/>
        </w:rPr>
        <w:t>Silva</w:t>
      </w:r>
      <w:r>
        <w:rPr>
          <w:rFonts w:ascii="Times New Roman" w:cs="Times New Roman" w:eastAsia="Times New Roman" w:hAnsi="Times New Roman"/>
          <w:sz w:val="12"/>
          <w:szCs w:val="12"/>
          <w:color w:val="auto"/>
        </w:rPr>
        <w:t xml:space="preserve"> Action”) and </w:t>
      </w:r>
      <w:r>
        <w:rPr>
          <w:rFonts w:ascii="Times New Roman" w:cs="Times New Roman" w:eastAsia="Times New Roman" w:hAnsi="Times New Roman"/>
          <w:sz w:val="12"/>
          <w:szCs w:val="12"/>
          <w:i w:val="1"/>
          <w:iCs w:val="1"/>
          <w:color w:val="auto"/>
        </w:rPr>
        <w:t>Misko v. Niklason, et al</w:t>
      </w:r>
      <w:r>
        <w:rPr>
          <w:rFonts w:ascii="Times New Roman" w:cs="Times New Roman" w:eastAsia="Times New Roman" w:hAnsi="Times New Roman"/>
          <w:sz w:val="12"/>
          <w:szCs w:val="12"/>
          <w:color w:val="auto"/>
        </w:rPr>
        <w:t>., No. 1:25-cv-00028 (the “</w:t>
      </w:r>
      <w:r>
        <w:rPr>
          <w:rFonts w:ascii="Times New Roman" w:cs="Times New Roman" w:eastAsia="Times New Roman" w:hAnsi="Times New Roman"/>
          <w:sz w:val="12"/>
          <w:szCs w:val="12"/>
          <w:i w:val="1"/>
          <w:iCs w:val="1"/>
          <w:color w:val="auto"/>
        </w:rPr>
        <w:t>Misko</w:t>
      </w:r>
      <w:r>
        <w:rPr>
          <w:rFonts w:ascii="Times New Roman" w:cs="Times New Roman" w:eastAsia="Times New Roman" w:hAnsi="Times New Roman"/>
          <w:sz w:val="12"/>
          <w:szCs w:val="12"/>
          <w:color w:val="auto"/>
        </w:rPr>
        <w:t xml:space="preserve"> Action”). Each of these derivative actions was brought on behalf of the Company against certain of its current or former directors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officers, as well as Ayabudge LLC. The complaints in each action assert claims for violations of Section 14(a) of the Exchange Act, breach of fiduciary duty, unjust enrichment, abuse of control, gross mismanagement, and waste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corporate assets, based on a variety of allegations including claims that the defendants are responsible for any damages sustained by the Company as a result of the Securities Litigation. The </w:t>
      </w:r>
      <w:r>
        <w:rPr>
          <w:rFonts w:ascii="Times New Roman" w:cs="Times New Roman" w:eastAsia="Times New Roman" w:hAnsi="Times New Roman"/>
          <w:sz w:val="12"/>
          <w:szCs w:val="12"/>
          <w:i w:val="1"/>
          <w:iCs w:val="1"/>
          <w:color w:val="auto"/>
        </w:rPr>
        <w:t>Misko</w:t>
      </w:r>
      <w:r>
        <w:rPr>
          <w:rFonts w:ascii="Times New Roman" w:cs="Times New Roman" w:eastAsia="Times New Roman" w:hAnsi="Times New Roman"/>
          <w:sz w:val="12"/>
          <w:szCs w:val="12"/>
          <w:color w:val="auto"/>
        </w:rPr>
        <w:t xml:space="preserve"> Action also includes a claim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contribution against certain defendants under Sections 10(b) and 21(d) of the Exchange Act for any liability the Company may sustain as a result of the Securities Litigation. On February 18, 2025, the court issued an order consolidating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the </w:t>
      </w:r>
      <w:r>
        <w:rPr>
          <w:rFonts w:ascii="Times New Roman" w:cs="Times New Roman" w:eastAsia="Times New Roman" w:hAnsi="Times New Roman"/>
          <w:sz w:val="11"/>
          <w:szCs w:val="11"/>
          <w:i w:val="1"/>
          <w:iCs w:val="1"/>
          <w:color w:val="auto"/>
        </w:rPr>
        <w:t>Silva</w:t>
      </w:r>
      <w:r>
        <w:rPr>
          <w:rFonts w:ascii="Times New Roman" w:cs="Times New Roman" w:eastAsia="Times New Roman" w:hAnsi="Times New Roman"/>
          <w:sz w:val="11"/>
          <w:szCs w:val="11"/>
          <w:color w:val="auto"/>
        </w:rPr>
        <w:t xml:space="preserve"> Action and the </w:t>
      </w:r>
      <w:r>
        <w:rPr>
          <w:rFonts w:ascii="Times New Roman" w:cs="Times New Roman" w:eastAsia="Times New Roman" w:hAnsi="Times New Roman"/>
          <w:sz w:val="11"/>
          <w:szCs w:val="11"/>
          <w:i w:val="1"/>
          <w:iCs w:val="1"/>
          <w:color w:val="auto"/>
        </w:rPr>
        <w:t>Misko</w:t>
      </w:r>
      <w:r>
        <w:rPr>
          <w:rFonts w:ascii="Times New Roman" w:cs="Times New Roman" w:eastAsia="Times New Roman" w:hAnsi="Times New Roman"/>
          <w:sz w:val="11"/>
          <w:szCs w:val="11"/>
          <w:color w:val="auto"/>
        </w:rPr>
        <w:t xml:space="preserve"> Action (collectively, the “Consolidated Derivative Action”) and staying the defendants’ obligation to respond to any complaint in the Consolidated Derivative Action pending the submission of a proposed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scheduling order. On March 11, 2025, the parties entered a joint motion to stay the Consolidated Derivative Action pending final resolution of the Securities Litigation, which the court granted.</w:t>
      </w:r>
    </w:p>
    <w:p>
      <w:pPr>
        <w:spacing w:after="0" w:line="121"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cs="Times New Roman" w:eastAsia="Times New Roman" w:hAnsi="Times New Roman"/>
          <w:sz w:val="12"/>
          <w:szCs w:val="12"/>
          <w:i w:val="1"/>
          <w:iCs w:val="1"/>
          <w:color w:val="auto"/>
        </w:rPr>
        <w:t>Olson v. Niklason, et al.</w:t>
      </w:r>
      <w:r>
        <w:rPr>
          <w:rFonts w:ascii="Times New Roman" w:cs="Times New Roman" w:eastAsia="Times New Roman" w:hAnsi="Times New Roman"/>
          <w:sz w:val="12"/>
          <w:szCs w:val="12"/>
          <w:color w:val="auto"/>
        </w:rPr>
        <w:t>, No. 1:25-cv-00123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alleging that the Company had refused his demand. The complaint in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asserts substantive claims and allegations that are substantially similar to those asserted in the Consolidated Derivative Action. On April 22, 2025, the parties filed a joint motion to stay the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pending final resolution of the Securities Litigation, which the court granted.</w:t>
      </w:r>
    </w:p>
    <w:p>
      <w:pPr>
        <w:spacing w:after="0" w:line="9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On June 9, 2025, a putative stockholder of the Company filed a verified stockholder derivative action in the United States District Court for the District of Delaware, captioned </w:t>
      </w:r>
      <w:r>
        <w:rPr>
          <w:rFonts w:ascii="Times New Roman" w:cs="Times New Roman" w:eastAsia="Times New Roman" w:hAnsi="Times New Roman"/>
          <w:sz w:val="12"/>
          <w:szCs w:val="12"/>
          <w:i w:val="1"/>
          <w:iCs w:val="1"/>
          <w:color w:val="auto"/>
        </w:rPr>
        <w:t>Dusci v. Bamforth, et al</w:t>
      </w:r>
      <w:r>
        <w:rPr>
          <w:rFonts w:ascii="Times New Roman" w:cs="Times New Roman" w:eastAsia="Times New Roman" w:hAnsi="Times New Roman"/>
          <w:sz w:val="12"/>
          <w:szCs w:val="12"/>
          <w:color w:val="auto"/>
        </w:rPr>
        <w:t>., No. 1:25-cv-00722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The complaint in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asserts substantive claims and allegations that are substantively similar to those asserted in the Consolidated Derivative Action and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On September 8, 2025, the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field a joint stipulation to stay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pending final resolution of the Securities Litigation, which the court granted.</w:t>
      </w:r>
    </w:p>
    <w:p>
      <w:pPr>
        <w:spacing w:after="0" w:line="110"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The Company disputes all claims asserted against it in the Securities Litigation and disputes that the plaintiffs in the Consolidated Derivative Action, the </w:t>
      </w:r>
      <w:r>
        <w:rPr>
          <w:rFonts w:ascii="Times New Roman" w:cs="Times New Roman" w:eastAsia="Times New Roman" w:hAnsi="Times New Roman"/>
          <w:sz w:val="12"/>
          <w:szCs w:val="12"/>
          <w:i w:val="1"/>
          <w:iCs w:val="1"/>
          <w:color w:val="auto"/>
        </w:rPr>
        <w:t>Dusci</w:t>
      </w:r>
      <w:r>
        <w:rPr>
          <w:rFonts w:ascii="Times New Roman" w:cs="Times New Roman" w:eastAsia="Times New Roman" w:hAnsi="Times New Roman"/>
          <w:sz w:val="12"/>
          <w:szCs w:val="12"/>
          <w:color w:val="auto"/>
        </w:rPr>
        <w:t xml:space="preserve"> Action and </w:t>
      </w:r>
      <w:r>
        <w:rPr>
          <w:rFonts w:ascii="Times New Roman" w:cs="Times New Roman" w:eastAsia="Times New Roman" w:hAnsi="Times New Roman"/>
          <w:sz w:val="12"/>
          <w:szCs w:val="12"/>
          <w:i w:val="1"/>
          <w:iCs w:val="1"/>
          <w:color w:val="auto"/>
        </w:rPr>
        <w:t>Olson</w:t>
      </w:r>
      <w:r>
        <w:rPr>
          <w:rFonts w:ascii="Times New Roman" w:cs="Times New Roman" w:eastAsia="Times New Roman" w:hAnsi="Times New Roman"/>
          <w:sz w:val="12"/>
          <w:szCs w:val="12"/>
          <w:color w:val="auto"/>
        </w:rPr>
        <w:t xml:space="preserve"> Action have standing to assert claims derivatively on its behalf. The Company is currently unable to estimate the potential loss or range of loss, if any, associated with these lawsuits, which could be material.</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the section “Legal Matters” contained in Note 12 — Commitments and Contingencies in the notes to our accompanying condensed consolidated financial statements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36" w:lineRule="exact"/>
        <w:rPr>
          <w:sz w:val="20"/>
          <w:szCs w:val="20"/>
          <w:color w:val="auto"/>
        </w:rPr>
      </w:pPr>
    </w:p>
    <w:p>
      <w:pPr>
        <w:ind w:right="100" w:firstLine="216"/>
        <w:spacing w:after="0" w:line="279" w:lineRule="auto"/>
        <w:rPr>
          <w:rFonts w:ascii="Times New Roman" w:cs="Times New Roman" w:eastAsia="Times New Roman" w:hAnsi="Times New Roman"/>
          <w:sz w:val="12"/>
          <w:szCs w:val="12"/>
          <w:color w:val="0E32E1"/>
        </w:rPr>
      </w:pPr>
      <w:hyperlink r:id="rId85">
        <w:r>
          <w:rPr>
            <w:rFonts w:ascii="Times New Roman" w:cs="Times New Roman" w:eastAsia="Times New Roman" w:hAnsi="Times New Roman"/>
            <w:sz w:val="12"/>
            <w:szCs w:val="12"/>
            <w:color w:val="231F20"/>
          </w:rPr>
          <w:t xml:space="preserve">Our risk factors are disclosed in </w:t>
        </w:r>
        <w:r>
          <w:rPr>
            <w:rFonts w:ascii="Times New Roman" w:cs="Times New Roman" w:eastAsia="Times New Roman" w:hAnsi="Times New Roman"/>
            <w:sz w:val="12"/>
            <w:szCs w:val="12"/>
            <w:color w:val="000000"/>
          </w:rPr>
          <w:t>Part I, Item 1A of our Annual Report. T</w:t>
        </w:r>
        <w:r>
          <w:rPr>
            <w:rFonts w:ascii="Times New Roman" w:cs="Times New Roman" w:eastAsia="Times New Roman" w:hAnsi="Times New Roman"/>
            <w:sz w:val="12"/>
            <w:szCs w:val="12"/>
            <w:color w:val="231F20"/>
          </w:rPr>
          <w:t xml:space="preserve">here have been no material changes during the nine months ended September 30, 2025 from, or updates to, the risk factors </w:t>
        </w:r>
        <w:r>
          <w:rPr>
            <w:rFonts w:ascii="Times New Roman" w:cs="Times New Roman" w:eastAsia="Times New Roman" w:hAnsi="Times New Roman"/>
            <w:sz w:val="12"/>
            <w:szCs w:val="12"/>
            <w:color w:val="000000"/>
          </w:rPr>
          <w:t>discussed in Part I, Item 1A,</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u w:val="single" w:color="auto"/>
            <w:color w:val="0E32E1"/>
          </w:rPr>
          <w:t>Risk</w:t>
        </w:r>
      </w:hyperlink>
      <w:r>
        <w:rPr>
          <w:rFonts w:ascii="Times New Roman" w:cs="Times New Roman" w:eastAsia="Times New Roman" w:hAnsi="Times New Roman"/>
          <w:sz w:val="12"/>
          <w:szCs w:val="12"/>
          <w:color w:val="231F20"/>
        </w:rPr>
        <w:t xml:space="preserve"> </w:t>
      </w:r>
      <w:hyperlink r:id="rId85">
        <w:r>
          <w:rPr>
            <w:rFonts w:ascii="Times New Roman" w:cs="Times New Roman" w:eastAsia="Times New Roman" w:hAnsi="Times New Roman"/>
            <w:sz w:val="12"/>
            <w:szCs w:val="12"/>
            <w:u w:val="single" w:color="auto"/>
            <w:color w:val="0E32E1"/>
          </w:rPr>
          <w:t>Factors</w:t>
        </w:r>
        <w:r>
          <w:rPr>
            <w:rFonts w:ascii="Times New Roman" w:cs="Times New Roman" w:eastAsia="Times New Roman" w:hAnsi="Times New Roman"/>
            <w:sz w:val="12"/>
            <w:szCs w:val="12"/>
            <w:color w:val="0E32E1"/>
          </w:rPr>
          <w:t xml:space="preserve"> </w:t>
        </w:r>
        <w:r>
          <w:rPr>
            <w:rFonts w:ascii="Times New Roman" w:cs="Times New Roman" w:eastAsia="Times New Roman" w:hAnsi="Times New Roman"/>
            <w:sz w:val="12"/>
            <w:szCs w:val="12"/>
            <w:color w:val="000000"/>
          </w:rPr>
          <w:t>of our Annual Report, except as follows:</w:t>
        </w:r>
      </w:hyperlink>
    </w:p>
    <w:p>
      <w:pPr>
        <w:spacing w:after="0" w:line="80" w:lineRule="exact"/>
        <w:rPr>
          <w:sz w:val="20"/>
          <w:szCs w:val="20"/>
          <w:color w:val="auto"/>
        </w:rPr>
      </w:pPr>
    </w:p>
    <w:p>
      <w:pPr>
        <w:ind w:right="320" w:firstLine="216"/>
        <w:spacing w:after="0" w:line="286" w:lineRule="auto"/>
        <w:rPr>
          <w:sz w:val="20"/>
          <w:szCs w:val="20"/>
          <w:color w:val="auto"/>
        </w:rPr>
      </w:pPr>
      <w:r>
        <w:rPr>
          <w:rFonts w:ascii="Times New Roman" w:cs="Times New Roman" w:eastAsia="Times New Roman" w:hAnsi="Times New Roman"/>
          <w:sz w:val="12"/>
          <w:szCs w:val="12"/>
          <w:b w:val="1"/>
          <w:bCs w:val="1"/>
          <w:color w:val="auto"/>
        </w:rPr>
        <w:t>We may not successfully execute or achieve the expected benefits of cost-saving measures that we have taken or may take in the future, and our efforts may result in further actions or additional asset impairment charges and adversely affect our business.</w:t>
      </w:r>
    </w:p>
    <w:p>
      <w:pPr>
        <w:spacing w:after="0" w:line="80"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On April 28, 2025, we implemented a cost reduction action to reduce our workforce by 30 employees, cease recruitment of additional planned new hires, and reduce other operating expenses. We undertook these cost reductions to improve our cash runway and to better align our organizational structure with our top business objectives.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and that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use of, our ATEVs.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and Officer Trading Arrangements</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During the three months ended September 30, 2025, no director or officer (as defined in Rule 16a-1(f) under the Exchange Act) of the Company adopted or terminated any “Rule 10b5-1 trading arrangement” or any “non Rule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10b5-1 trading arrangement,” as each term is defined in Item 408(a) of Regulation S-K.</w:t>
      </w: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00"/>
          </w:cols>
          <w:pgMar w:left="300" w:top="390" w:right="599" w:bottom="1440" w:gutter="0" w:footer="0" w:header="0"/>
        </w:sectPr>
      </w:pPr>
    </w:p>
    <w:bookmarkStart w:id="62" w:name="page63"/>
    <w:bookmarkEnd w:id="6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1"/>
          <w:szCs w:val="11"/>
          <w:color w:val="auto"/>
        </w:rPr>
        <w:t>The following exhibits are filed as part of, or incorporated by reference into, this Quarterly Report on Form 10-Q.</w:t>
      </w:r>
    </w:p>
    <w:p>
      <w:pPr>
        <w:sectPr>
          <w:pgSz w:w="11900" w:h="16838" w:orient="portrait"/>
          <w:cols w:equalWidth="0" w:num="1">
            <w:col w:w="11208"/>
          </w:cols>
          <w:pgMar w:left="292" w:top="390" w:right="399" w:bottom="1440" w:gutter="0" w:footer="0" w:header="0"/>
        </w:sectPr>
      </w:pP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Exhibit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86296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62965" cy="5715"/>
                    </a:xfrm>
                    <a:prstGeom prst="rect">
                      <a:avLst/>
                    </a:prstGeom>
                    <a:noFill/>
                  </pic:spPr>
                </pic:pic>
              </a:graphicData>
            </a:graphic>
          </wp:anchor>
        </w:drawing>
      </w:r>
    </w:p>
    <w:p>
      <w:pPr>
        <w:spacing w:after="0" w:line="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4.1</w:t>
      </w:r>
    </w:p>
    <w:p>
      <w:pPr>
        <w:spacing w:after="0" w:line="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2636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63640" cy="5715"/>
                    </a:xfrm>
                    <a:prstGeom prst="rect">
                      <a:avLst/>
                    </a:prstGeom>
                    <a:noFill/>
                  </pic:spPr>
                </pic:pic>
              </a:graphicData>
            </a:graphic>
          </wp:anchor>
        </w:drawing>
      </w:r>
    </w:p>
    <w:p>
      <w:pPr>
        <w:spacing w:after="0" w:line="26" w:lineRule="exact"/>
        <w:rPr>
          <w:sz w:val="20"/>
          <w:szCs w:val="20"/>
          <w:color w:val="auto"/>
        </w:rPr>
      </w:pPr>
    </w:p>
    <w:p>
      <w:pPr>
        <w:spacing w:after="0"/>
        <w:rPr>
          <w:rFonts w:ascii="Times New Roman" w:cs="Times New Roman" w:eastAsia="Times New Roman" w:hAnsi="Times New Roman"/>
          <w:sz w:val="12"/>
          <w:szCs w:val="12"/>
          <w:u w:val="single" w:color="auto"/>
          <w:color w:val="0000FF"/>
        </w:rPr>
      </w:pPr>
      <w:hyperlink r:id="rId90">
        <w:r>
          <w:rPr>
            <w:rFonts w:ascii="Times New Roman" w:cs="Times New Roman" w:eastAsia="Times New Roman" w:hAnsi="Times New Roman"/>
            <w:sz w:val="12"/>
            <w:szCs w:val="12"/>
            <w:u w:val="single" w:color="auto"/>
            <w:color w:val="0000FF"/>
          </w:rPr>
          <w:t>Form of Warrant (incorporated by reference to Exhibit 4.1 to Humacyte, Inc’s Current Report on Form 8-K, filed with the SEC on October 7, 2025).</w:t>
        </w:r>
      </w:hyperlink>
    </w:p>
    <w:p>
      <w:pPr>
        <w:spacing w:after="0" w:line="69" w:lineRule="exact"/>
        <w:rPr>
          <w:sz w:val="20"/>
          <w:szCs w:val="20"/>
          <w:color w:val="auto"/>
        </w:rPr>
      </w:pPr>
    </w:p>
    <w:p>
      <w:pPr>
        <w:ind w:right="80"/>
        <w:spacing w:after="0" w:line="264" w:lineRule="auto"/>
        <w:rPr>
          <w:rFonts w:ascii="Times New Roman" w:cs="Times New Roman" w:eastAsia="Times New Roman" w:hAnsi="Times New Roman"/>
          <w:sz w:val="12"/>
          <w:szCs w:val="12"/>
          <w:u w:val="single" w:color="auto"/>
          <w:color w:val="0000FF"/>
        </w:rPr>
      </w:pPr>
      <w:hyperlink r:id="rId91">
        <w:r>
          <w:rPr>
            <w:rFonts w:ascii="Times New Roman" w:cs="Times New Roman" w:eastAsia="Times New Roman" w:hAnsi="Times New Roman"/>
            <w:sz w:val="12"/>
            <w:szCs w:val="12"/>
            <w:u w:val="single" w:color="auto"/>
            <w:color w:val="0000FF"/>
          </w:rPr>
          <w:t>Amendment No. 2 to the Revenue Interest Purchase Agreement, dated as of September 17, 2025, by and among Humacyte Global, Inc., Humacyte, Inc. and TPC Investments III LP and TPC Investment</w:t>
        </w:r>
      </w:hyperlink>
      <w:r>
        <w:rPr>
          <w:rFonts w:ascii="Times New Roman" w:cs="Times New Roman" w:eastAsia="Times New Roman" w:hAnsi="Times New Roman"/>
          <w:sz w:val="12"/>
          <w:szCs w:val="12"/>
          <w:u w:val="single" w:color="auto"/>
          <w:color w:val="0000FF"/>
        </w:rPr>
        <w:t xml:space="preserve"> </w:t>
      </w:r>
      <w:hyperlink r:id="rId91">
        <w:r>
          <w:rPr>
            <w:rFonts w:ascii="Times New Roman" w:cs="Times New Roman" w:eastAsia="Times New Roman" w:hAnsi="Times New Roman"/>
            <w:sz w:val="12"/>
            <w:szCs w:val="12"/>
            <w:u w:val="single" w:color="auto"/>
            <w:color w:val="0000FF"/>
          </w:rPr>
          <w:t>Solutions LP and Hook SA LLC (incorporated by reference to Exhibit 10.1 to Humacyte, Inc.’s Current Report on Form 8-K, filed with the SEC on September 18, 2025).</w:t>
        </w:r>
      </w:hyperlink>
    </w:p>
    <w:p>
      <w:pPr>
        <w:spacing w:after="0" w:line="37" w:lineRule="exact"/>
        <w:rPr>
          <w:sz w:val="20"/>
          <w:szCs w:val="20"/>
          <w:color w:val="auto"/>
        </w:rPr>
      </w:pPr>
    </w:p>
    <w:p>
      <w:pPr>
        <w:sectPr>
          <w:pgSz w:w="11900" w:h="16838" w:orient="portrait"/>
          <w:cols w:equalWidth="0" w:num="2">
            <w:col w:w="728" w:space="720"/>
            <w:col w:w="9760"/>
          </w:cols>
          <w:pgMar w:left="292" w:top="390" w:right="399" w:bottom="1440" w:gutter="0" w:footer="0" w:header="0"/>
          <w:type w:val="continuous"/>
        </w:sectPr>
      </w:pPr>
    </w:p>
    <w:tbl>
      <w:tblPr>
        <w:tblLayout w:type="fixed"/>
        <w:tblInd w:w="8" w:type="dxa"/>
        <w:tblCellMar>
          <w:top w:w="0" w:type="dxa"/>
          <w:left w:w="0" w:type="dxa"/>
          <w:bottom w:w="0" w:type="dxa"/>
          <w:right w:w="0" w:type="dxa"/>
        </w:tblCellMar>
      </w:tblP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5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Fifth Amendment to Lease, dated September 4, 2019, between ARE–NC Region No. 5, LLC and Humacyte, Inc.</w:t>
            </w:r>
          </w:p>
        </w:tc>
        <w:tc>
          <w:tcPr>
            <w:tcW w:w="4320" w:type="dxa"/>
            <w:vAlign w:val="bottom"/>
            <w:gridSpan w:val="6"/>
          </w:tcPr>
          <w:p>
            <w:pPr>
              <w:spacing w:after="0"/>
              <w:rPr>
                <w:sz w:val="12"/>
                <w:szCs w:val="12"/>
                <w:color w:val="auto"/>
              </w:rPr>
            </w:pPr>
          </w:p>
        </w:tc>
      </w:tr>
      <w:tr>
        <w:trPr>
          <w:trHeight w:val="187"/>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5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Sixth Amendment to Lease, dated September 29, 2025, between ARE–NC Region No. 5, LLC and Humacyte, Inc.</w:t>
            </w:r>
          </w:p>
        </w:tc>
        <w:tc>
          <w:tcPr>
            <w:tcW w:w="4240" w:type="dxa"/>
            <w:vAlign w:val="bottom"/>
            <w:gridSpan w:val="5"/>
          </w:tcPr>
          <w:p>
            <w:pPr>
              <w:spacing w:after="0"/>
              <w:rPr>
                <w:sz w:val="16"/>
                <w:szCs w:val="16"/>
                <w:color w:val="auto"/>
              </w:rPr>
            </w:pPr>
          </w:p>
        </w:tc>
      </w:tr>
      <w:tr>
        <w:trPr>
          <w:trHeight w:val="187"/>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9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9"/>
              </w:rPr>
              <w:t>Certification of Chief Executive Officer pursuant to Rules 13a-14(a) and 15d-14(a) under the Securities Exchange Act of 1934, as adopted pursuant to Section 302 of the Sarbanes-Oxley Act of 2002.</w:t>
            </w:r>
          </w:p>
        </w:tc>
        <w:tc>
          <w:tcPr>
            <w:tcW w:w="200" w:type="dxa"/>
            <w:vAlign w:val="bottom"/>
          </w:tcPr>
          <w:p>
            <w:pPr>
              <w:spacing w:after="0"/>
              <w:rPr>
                <w:sz w:val="16"/>
                <w:szCs w:val="16"/>
                <w:color w:val="auto"/>
              </w:rPr>
            </w:pPr>
          </w:p>
        </w:tc>
      </w:tr>
      <w:tr>
        <w:trPr>
          <w:trHeight w:val="196"/>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9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Rules 13a-14(a) and 15d-14(a) under the Securities Exchange Act of 1934, as adopted pursuant to Section 302 of the Sarbanes-Oxley Act of 2002.</w:t>
            </w:r>
          </w:p>
        </w:tc>
        <w:tc>
          <w:tcPr>
            <w:tcW w:w="240" w:type="dxa"/>
            <w:vAlign w:val="bottom"/>
            <w:gridSpan w:val="2"/>
          </w:tcPr>
          <w:p>
            <w:pPr>
              <w:spacing w:after="0"/>
              <w:rPr>
                <w:sz w:val="17"/>
                <w:szCs w:val="17"/>
                <w:color w:val="auto"/>
              </w:rPr>
            </w:pPr>
          </w:p>
        </w:tc>
      </w:tr>
      <w:tr>
        <w:trPr>
          <w:trHeight w:val="196"/>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9760" w:type="dxa"/>
            <w:vAlign w:val="bottom"/>
            <w:gridSpan w:val="7"/>
          </w:tcPr>
          <w:p>
            <w:pPr>
              <w:spacing w:after="0"/>
              <w:rPr>
                <w:sz w:val="20"/>
                <w:szCs w:val="20"/>
                <w:color w:val="auto"/>
              </w:rPr>
            </w:pPr>
            <w:r>
              <w:rPr>
                <w:rFonts w:ascii="Times New Roman" w:cs="Times New Roman" w:eastAsia="Times New Roman" w:hAnsi="Times New Roman"/>
                <w:sz w:val="12"/>
                <w:szCs w:val="12"/>
                <w:color w:val="0000FF"/>
              </w:rPr>
              <w:t>Certification of Chief Executive Officer pursuant to 18 U.S.C. Section 1350, as adopted pursuant to Section 906 of the Sarbanes-Oxley Act of 2002.</w:t>
            </w:r>
          </w:p>
        </w:tc>
      </w:tr>
      <w:tr>
        <w:trPr>
          <w:trHeight w:val="196"/>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7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rPr>
              <w:t>Certification of Chief Financial Officer pursuant to 18 U.S.C. Section 1350, as adopted pursuant to Section 906 of the Sarbanes-Oxley Act of 2002.</w:t>
            </w:r>
          </w:p>
        </w:tc>
        <w:tc>
          <w:tcPr>
            <w:tcW w:w="2640" w:type="dxa"/>
            <w:vAlign w:val="bottom"/>
            <w:gridSpan w:val="3"/>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7080" w:type="dxa"/>
            <w:vAlign w:val="bottom"/>
            <w:gridSpan w:val="3"/>
            <w:shd w:val="clear" w:color="auto" w:fill="0000FF"/>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9760" w:type="dxa"/>
            <w:vAlign w:val="bottom"/>
            <w:gridSpan w:val="7"/>
          </w:tcPr>
          <w:p>
            <w:pPr>
              <w:spacing w:after="0"/>
              <w:rPr>
                <w:sz w:val="20"/>
                <w:szCs w:val="20"/>
                <w:color w:val="auto"/>
              </w:rPr>
            </w:pPr>
            <w:r>
              <w:rPr>
                <w:rFonts w:ascii="Times New Roman" w:cs="Times New Roman" w:eastAsia="Times New Roman" w:hAnsi="Times New Roman"/>
                <w:sz w:val="12"/>
                <w:szCs w:val="12"/>
                <w:color w:val="auto"/>
                <w:w w:val="99"/>
              </w:rPr>
              <w:t>The following materials from Humacyte, Inc.’s Quarterly Report on Form 10-Q for the quarter ended September 30, 2025, formatted in Inline XBRL (Inline eXtensible Business Reporting Language): (i)</w:t>
            </w:r>
          </w:p>
        </w:tc>
      </w:tr>
      <w:tr>
        <w:trPr>
          <w:trHeight w:val="135"/>
        </w:trPr>
        <w:tc>
          <w:tcPr>
            <w:tcW w:w="1440" w:type="dxa"/>
            <w:vAlign w:val="bottom"/>
          </w:tcPr>
          <w:p>
            <w:pPr>
              <w:spacing w:after="0"/>
              <w:rPr>
                <w:sz w:val="11"/>
                <w:szCs w:val="11"/>
                <w:color w:val="auto"/>
              </w:rPr>
            </w:pPr>
          </w:p>
        </w:tc>
        <w:tc>
          <w:tcPr>
            <w:tcW w:w="9760" w:type="dxa"/>
            <w:vAlign w:val="bottom"/>
            <w:gridSpan w:val="7"/>
          </w:tcPr>
          <w:p>
            <w:pPr>
              <w:spacing w:after="0" w:line="135" w:lineRule="exact"/>
              <w:rPr>
                <w:sz w:val="20"/>
                <w:szCs w:val="20"/>
                <w:color w:val="auto"/>
              </w:rPr>
            </w:pPr>
            <w:r>
              <w:rPr>
                <w:rFonts w:ascii="Times New Roman" w:cs="Times New Roman" w:eastAsia="Times New Roman" w:hAnsi="Times New Roman"/>
                <w:sz w:val="12"/>
                <w:szCs w:val="12"/>
                <w:color w:val="auto"/>
                <w:w w:val="99"/>
              </w:rPr>
              <w:t>Condensed Consolidated Balance Sheets (unaudited), (ii) Condensed Consolidated Statements of Operations and Comprehensive Loss (unaudited), (iii) Condensed Consolidated Statements of Changes in</w:t>
            </w:r>
          </w:p>
        </w:tc>
      </w:tr>
      <w:tr>
        <w:trPr>
          <w:trHeight w:val="135"/>
        </w:trPr>
        <w:tc>
          <w:tcPr>
            <w:tcW w:w="1440" w:type="dxa"/>
            <w:vAlign w:val="bottom"/>
          </w:tcPr>
          <w:p>
            <w:pPr>
              <w:spacing w:after="0"/>
              <w:rPr>
                <w:sz w:val="11"/>
                <w:szCs w:val="11"/>
                <w:color w:val="auto"/>
              </w:rPr>
            </w:pPr>
          </w:p>
        </w:tc>
        <w:tc>
          <w:tcPr>
            <w:tcW w:w="9760" w:type="dxa"/>
            <w:vAlign w:val="bottom"/>
            <w:gridSpan w:val="7"/>
          </w:tcPr>
          <w:p>
            <w:pPr>
              <w:spacing w:after="0" w:line="135" w:lineRule="exact"/>
              <w:rPr>
                <w:sz w:val="20"/>
                <w:szCs w:val="20"/>
                <w:color w:val="auto"/>
              </w:rPr>
            </w:pPr>
            <w:r>
              <w:rPr>
                <w:rFonts w:ascii="Times New Roman" w:cs="Times New Roman" w:eastAsia="Times New Roman" w:hAnsi="Times New Roman"/>
                <w:sz w:val="12"/>
                <w:szCs w:val="12"/>
                <w:color w:val="auto"/>
              </w:rPr>
              <w:t>Stockholders’ Equity (Deficit) (unaudited), (iv) Condensed Consolidated Statements of Cash Flows (unaudited), (v) Notes to Condensed Consolidated Financial Statements (unaudited), and (vi) Cover</w:t>
            </w:r>
          </w:p>
        </w:tc>
      </w:tr>
      <w:tr>
        <w:trPr>
          <w:trHeight w:val="155"/>
        </w:trPr>
        <w:tc>
          <w:tcPr>
            <w:tcW w:w="1440" w:type="dxa"/>
            <w:vAlign w:val="bottom"/>
          </w:tcPr>
          <w:p>
            <w:pPr>
              <w:spacing w:after="0"/>
              <w:rPr>
                <w:sz w:val="13"/>
                <w:szCs w:val="13"/>
                <w:color w:val="auto"/>
              </w:rPr>
            </w:pPr>
          </w:p>
        </w:tc>
        <w:tc>
          <w:tcPr>
            <w:tcW w:w="976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Page.</w:t>
            </w:r>
          </w:p>
        </w:tc>
      </w:tr>
    </w:tbl>
    <w:p>
      <w:pPr>
        <w:spacing w:after="0" w:line="61" w:lineRule="exact"/>
        <w:rPr>
          <w:sz w:val="20"/>
          <w:szCs w:val="20"/>
          <w:color w:val="auto"/>
        </w:rPr>
      </w:pPr>
    </w:p>
    <w:p>
      <w:pPr>
        <w:ind w:left="1448" w:hanging="1436"/>
        <w:spacing w:after="0"/>
        <w:tabs>
          <w:tab w:leader="none" w:pos="1448"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213"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Filed herewith.</w:t>
      </w:r>
    </w:p>
    <w:p>
      <w:pPr>
        <w:spacing w:after="0" w:line="132"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2"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390"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 on this 12th day of November, 2025.</w:t>
      </w:r>
    </w:p>
    <w:p>
      <w:pPr>
        <w:spacing w:after="0" w:line="1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HUMACYTE, INC.</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12, 2025</w:t>
            </w:r>
          </w:p>
        </w:tc>
        <w:tc>
          <w:tcPr>
            <w:tcW w:w="200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By:</w:t>
            </w:r>
          </w:p>
        </w:tc>
        <w:tc>
          <w:tcPr>
            <w:tcW w:w="6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/s/ Laura E. Niklason, M.D., Ph.D.</w:t>
            </w:r>
          </w:p>
        </w:tc>
      </w:tr>
      <w:tr>
        <w:trPr>
          <w:trHeight w:val="155"/>
        </w:trPr>
        <w:tc>
          <w:tcPr>
            <w:tcW w:w="2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Laura E. Niklason, M.D., Ph.D.</w:t>
            </w:r>
          </w:p>
        </w:tc>
      </w:tr>
      <w:tr>
        <w:trPr>
          <w:trHeight w:val="171"/>
        </w:trPr>
        <w:tc>
          <w:tcPr>
            <w:tcW w:w="2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9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84"/>
        </w:trPr>
        <w:tc>
          <w:tcPr>
            <w:tcW w:w="2780" w:type="dxa"/>
            <w:vAlign w:val="bottom"/>
          </w:tcPr>
          <w:p>
            <w:pPr>
              <w:spacing w:after="0"/>
              <w:rPr>
                <w:sz w:val="24"/>
                <w:szCs w:val="24"/>
                <w:color w:val="auto"/>
              </w:rPr>
            </w:pPr>
          </w:p>
        </w:tc>
        <w:tc>
          <w:tcPr>
            <w:tcW w:w="200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By:</w:t>
            </w:r>
          </w:p>
        </w:tc>
        <w:tc>
          <w:tcPr>
            <w:tcW w:w="6520" w:type="dxa"/>
            <w:vAlign w:val="bottom"/>
            <w:tcBorders>
              <w:bottom w:val="single" w:sz="8" w:color="auto"/>
            </w:tcBorders>
            <w:gridSpan w:val="2"/>
          </w:tcPr>
          <w:p>
            <w:pPr>
              <w:jc w:val="right"/>
              <w:ind w:right="5540"/>
              <w:spacing w:after="0"/>
              <w:rPr>
                <w:sz w:val="20"/>
                <w:szCs w:val="20"/>
                <w:color w:val="auto"/>
              </w:rPr>
            </w:pPr>
            <w:r>
              <w:rPr>
                <w:rFonts w:ascii="Times New Roman" w:cs="Times New Roman" w:eastAsia="Times New Roman" w:hAnsi="Times New Roman"/>
                <w:sz w:val="12"/>
                <w:szCs w:val="12"/>
                <w:color w:val="auto"/>
              </w:rPr>
              <w:t>/s/ Dale A. Sander</w:t>
            </w:r>
          </w:p>
        </w:tc>
      </w:tr>
      <w:tr>
        <w:trPr>
          <w:trHeight w:val="155"/>
        </w:trPr>
        <w:tc>
          <w:tcPr>
            <w:tcW w:w="2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Dale A. Sander</w:t>
            </w:r>
          </w:p>
        </w:tc>
      </w:tr>
      <w:tr>
        <w:trPr>
          <w:trHeight w:val="171"/>
        </w:trPr>
        <w:tc>
          <w:tcPr>
            <w:tcW w:w="2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9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Chief Financial Officer, Chief Corporate Development Officer and Treasurer</w:t>
            </w:r>
          </w:p>
        </w:tc>
      </w:tr>
      <w:tr>
        <w:trPr>
          <w:trHeight w:val="603"/>
        </w:trPr>
        <w:tc>
          <w:tcPr>
            <w:tcW w:w="2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tcPr>
          <w:p>
            <w:pPr>
              <w:jc w:val="right"/>
              <w:ind w:right="5540"/>
              <w:spacing w:after="0"/>
              <w:rPr>
                <w:sz w:val="20"/>
                <w:szCs w:val="20"/>
                <w:color w:val="auto"/>
              </w:rPr>
            </w:pPr>
            <w:r>
              <w:rPr>
                <w:rFonts w:ascii="Times New Roman" w:cs="Times New Roman" w:eastAsia="Times New Roman" w:hAnsi="Times New Roman"/>
                <w:sz w:val="12"/>
                <w:szCs w:val="12"/>
                <w:color w:val="auto"/>
              </w:rPr>
              <w:t>64</w:t>
            </w:r>
          </w:p>
        </w:tc>
      </w:tr>
    </w:tbl>
    <w:p>
      <w:pPr>
        <w:sectPr>
          <w:pgSz w:w="11900" w:h="16838" w:orient="portrait"/>
          <w:cols w:equalWidth="0" w:num="1">
            <w:col w:w="11300"/>
          </w:cols>
          <w:pgMar w:left="300" w:top="390" w:right="299" w:bottom="1440"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9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7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0415" cy="6147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7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0415" cy="6147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7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0415" cy="6147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7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0415" cy="6147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53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0415" cy="6153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7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0415" cy="6147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9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Laura E. Niklason, certify that:</w:t>
      </w:r>
    </w:p>
    <w:p>
      <w:pPr>
        <w:spacing w:after="0" w:line="157"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Humacyte, Inc. for the quarter ended September 30, 2025;</w:t>
      </w:r>
    </w:p>
    <w:p>
      <w:pPr>
        <w:spacing w:after="0" w:line="147" w:lineRule="exact"/>
        <w:rPr>
          <w:rFonts w:ascii="Times New Roman" w:cs="Times New Roman" w:eastAsia="Times New Roman" w:hAnsi="Times New Roman"/>
          <w:sz w:val="13"/>
          <w:szCs w:val="13"/>
          <w:color w:val="auto"/>
        </w:rPr>
      </w:pPr>
    </w:p>
    <w:p>
      <w:pPr>
        <w:ind w:left="420" w:hanging="212"/>
        <w:spacing w:after="0" w:line="295" w:lineRule="auto"/>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3"/>
          <w:szCs w:val="13"/>
          <w:color w:val="auto"/>
        </w:rPr>
      </w:pPr>
    </w:p>
    <w:p>
      <w:pPr>
        <w:ind w:left="420" w:right="20" w:hanging="212"/>
        <w:spacing w:after="0" w:line="281" w:lineRule="auto"/>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3"/>
          <w:szCs w:val="13"/>
          <w:color w:val="auto"/>
        </w:rPr>
      </w:pPr>
    </w:p>
    <w:p>
      <w:pPr>
        <w:ind w:left="420" w:right="20" w:hanging="212"/>
        <w:spacing w:after="0" w:line="281" w:lineRule="auto"/>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3"/>
          <w:szCs w:val="13"/>
          <w:color w:val="auto"/>
        </w:rPr>
      </w:pPr>
    </w:p>
    <w:p>
      <w:pPr>
        <w:ind w:left="860" w:hanging="220"/>
        <w:spacing w:after="0" w:line="295" w:lineRule="auto"/>
        <w:tabs>
          <w:tab w:leader="none" w:pos="852"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Times New Roman" w:cs="Times New Roman" w:eastAsia="Times New Roman" w:hAnsi="Times New Roman"/>
          <w:sz w:val="13"/>
          <w:szCs w:val="13"/>
          <w:color w:val="auto"/>
        </w:rPr>
      </w:pPr>
    </w:p>
    <w:p>
      <w:pPr>
        <w:ind w:left="860" w:right="20" w:hanging="220"/>
        <w:spacing w:after="0" w:line="295" w:lineRule="auto"/>
        <w:tabs>
          <w:tab w:leader="none" w:pos="86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3"/>
          <w:szCs w:val="13"/>
          <w:color w:val="auto"/>
        </w:rPr>
      </w:pPr>
    </w:p>
    <w:p>
      <w:pPr>
        <w:ind w:left="860" w:hanging="220"/>
        <w:spacing w:after="0" w:line="295" w:lineRule="auto"/>
        <w:tabs>
          <w:tab w:leader="none" w:pos="852"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3"/>
          <w:szCs w:val="13"/>
          <w:color w:val="auto"/>
        </w:rPr>
      </w:pPr>
    </w:p>
    <w:p>
      <w:pPr>
        <w:ind w:left="860" w:hanging="220"/>
        <w:spacing w:after="0" w:line="281" w:lineRule="auto"/>
        <w:tabs>
          <w:tab w:leader="none" w:pos="86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3"/>
          <w:szCs w:val="13"/>
          <w:color w:val="auto"/>
        </w:rPr>
      </w:pPr>
    </w:p>
    <w:p>
      <w:pPr>
        <w:ind w:left="420" w:hanging="212"/>
        <w:spacing w:after="0" w:line="281" w:lineRule="auto"/>
        <w:tabs>
          <w:tab w:leader="none" w:pos="4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3"/>
          <w:szCs w:val="13"/>
          <w:color w:val="auto"/>
        </w:rPr>
      </w:pPr>
    </w:p>
    <w:p>
      <w:pPr>
        <w:ind w:left="860" w:hanging="220"/>
        <w:spacing w:after="0" w:line="281" w:lineRule="auto"/>
        <w:tabs>
          <w:tab w:leader="none" w:pos="852"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12, 2025</w:t>
            </w:r>
          </w:p>
        </w:tc>
        <w:tc>
          <w:tcPr>
            <w:tcW w:w="2680" w:type="dxa"/>
            <w:vAlign w:val="bottom"/>
          </w:tcPr>
          <w:p>
            <w:pPr>
              <w:ind w:left="1880"/>
              <w:spacing w:after="0"/>
              <w:rPr>
                <w:sz w:val="20"/>
                <w:szCs w:val="20"/>
                <w:color w:val="auto"/>
              </w:rPr>
            </w:pPr>
            <w:r>
              <w:rPr>
                <w:rFonts w:ascii="Times New Roman" w:cs="Times New Roman" w:eastAsia="Times New Roman" w:hAnsi="Times New Roman"/>
                <w:sz w:val="13"/>
                <w:szCs w:val="13"/>
                <w:color w:val="auto"/>
              </w:rPr>
              <w:t>By: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Laura E. Niklason</w:t>
            </w:r>
          </w:p>
        </w:tc>
        <w:tc>
          <w:tcPr>
            <w:tcW w:w="4120" w:type="dxa"/>
            <w:vAlign w:val="bottom"/>
            <w:tcBorders>
              <w:bottom w:val="single" w:sz="8" w:color="auto"/>
            </w:tcBorders>
          </w:tcPr>
          <w:p>
            <w:pPr>
              <w:spacing w:after="0"/>
              <w:rPr>
                <w:sz w:val="15"/>
                <w:szCs w:val="15"/>
                <w:color w:val="auto"/>
              </w:rPr>
            </w:pPr>
          </w:p>
        </w:tc>
      </w:tr>
      <w:tr>
        <w:trPr>
          <w:trHeight w:val="166"/>
        </w:trPr>
        <w:tc>
          <w:tcPr>
            <w:tcW w:w="3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Laura E. Niklason, M.D., Ph.D.</w:t>
            </w:r>
          </w:p>
        </w:tc>
      </w:tr>
      <w:tr>
        <w:trPr>
          <w:trHeight w:val="180"/>
        </w:trPr>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11300"/>
          </w:cols>
          <w:pgMar w:left="300" w:top="699" w:right="2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Dale A. Sander, certify that:</w:t>
      </w:r>
    </w:p>
    <w:p>
      <w:pPr>
        <w:spacing w:after="0" w:line="157"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Humacyte, Inc. for the quarter ended September 30, 2025;</w:t>
      </w:r>
    </w:p>
    <w:p>
      <w:pPr>
        <w:spacing w:after="0" w:line="147" w:lineRule="exact"/>
        <w:rPr>
          <w:rFonts w:ascii="Times New Roman" w:cs="Times New Roman" w:eastAsia="Times New Roman" w:hAnsi="Times New Roman"/>
          <w:sz w:val="13"/>
          <w:szCs w:val="13"/>
          <w:color w:val="auto"/>
        </w:rPr>
      </w:pPr>
    </w:p>
    <w:p>
      <w:pPr>
        <w:ind w:left="420" w:hanging="212"/>
        <w:spacing w:after="0" w:line="295"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3"/>
          <w:szCs w:val="13"/>
          <w:color w:val="auto"/>
        </w:rPr>
      </w:pPr>
    </w:p>
    <w:p>
      <w:pPr>
        <w:ind w:left="420" w:right="20" w:hanging="212"/>
        <w:spacing w:after="0" w:line="281"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3"/>
          <w:szCs w:val="13"/>
          <w:color w:val="auto"/>
        </w:rPr>
      </w:pPr>
    </w:p>
    <w:p>
      <w:pPr>
        <w:ind w:left="420" w:right="20" w:hanging="212"/>
        <w:spacing w:after="0" w:line="281"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3"/>
          <w:szCs w:val="13"/>
          <w:color w:val="auto"/>
        </w:rPr>
      </w:pPr>
    </w:p>
    <w:p>
      <w:pPr>
        <w:ind w:left="860" w:hanging="220"/>
        <w:spacing w:after="0" w:line="295" w:lineRule="auto"/>
        <w:tabs>
          <w:tab w:leader="none" w:pos="852"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Times New Roman" w:cs="Times New Roman" w:eastAsia="Times New Roman" w:hAnsi="Times New Roman"/>
          <w:sz w:val="13"/>
          <w:szCs w:val="13"/>
          <w:color w:val="auto"/>
        </w:rPr>
      </w:pPr>
    </w:p>
    <w:p>
      <w:pPr>
        <w:ind w:left="860" w:right="20" w:hanging="220"/>
        <w:spacing w:after="0" w:line="295" w:lineRule="auto"/>
        <w:tabs>
          <w:tab w:leader="none" w:pos="86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3"/>
          <w:szCs w:val="13"/>
          <w:color w:val="auto"/>
        </w:rPr>
      </w:pPr>
    </w:p>
    <w:p>
      <w:pPr>
        <w:ind w:left="860" w:hanging="220"/>
        <w:spacing w:after="0" w:line="295" w:lineRule="auto"/>
        <w:tabs>
          <w:tab w:leader="none" w:pos="852"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3"/>
          <w:szCs w:val="13"/>
          <w:color w:val="auto"/>
        </w:rPr>
      </w:pPr>
    </w:p>
    <w:p>
      <w:pPr>
        <w:ind w:left="860" w:hanging="220"/>
        <w:spacing w:after="0" w:line="281" w:lineRule="auto"/>
        <w:tabs>
          <w:tab w:leader="none" w:pos="86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3"/>
          <w:szCs w:val="13"/>
          <w:color w:val="auto"/>
        </w:rPr>
      </w:pPr>
    </w:p>
    <w:p>
      <w:pPr>
        <w:ind w:left="420" w:hanging="212"/>
        <w:spacing w:after="0" w:line="281" w:lineRule="auto"/>
        <w:tabs>
          <w:tab w:leader="none" w:pos="4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3"/>
          <w:szCs w:val="13"/>
          <w:color w:val="auto"/>
        </w:rPr>
      </w:pPr>
    </w:p>
    <w:p>
      <w:pPr>
        <w:ind w:left="860" w:hanging="220"/>
        <w:spacing w:after="0" w:line="281" w:lineRule="auto"/>
        <w:tabs>
          <w:tab w:leader="none" w:pos="852"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12, 2025</w:t>
            </w:r>
          </w:p>
        </w:tc>
        <w:tc>
          <w:tcPr>
            <w:tcW w:w="222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By:</w:t>
            </w: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 Dale A. Sander</w:t>
            </w:r>
          </w:p>
        </w:tc>
        <w:tc>
          <w:tcPr>
            <w:tcW w:w="4980" w:type="dxa"/>
            <w:vAlign w:val="bottom"/>
            <w:tcBorders>
              <w:bottom w:val="single" w:sz="8" w:color="auto"/>
            </w:tcBorders>
          </w:tcPr>
          <w:p>
            <w:pPr>
              <w:spacing w:after="0"/>
              <w:rPr>
                <w:sz w:val="15"/>
                <w:szCs w:val="15"/>
                <w:color w:val="auto"/>
              </w:rPr>
            </w:pPr>
          </w:p>
        </w:tc>
      </w:tr>
      <w:tr>
        <w:trPr>
          <w:trHeight w:val="157"/>
        </w:trPr>
        <w:tc>
          <w:tcPr>
            <w:tcW w:w="30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49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Dale A. Sander</w:t>
            </w:r>
          </w:p>
        </w:tc>
      </w:tr>
      <w:tr>
        <w:trPr>
          <w:trHeight w:val="172"/>
        </w:trPr>
        <w:tc>
          <w:tcPr>
            <w:tcW w:w="3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49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Chief Financial Officer, Chief Corporate Development Officer and Treasurer</w:t>
            </w:r>
          </w:p>
        </w:tc>
      </w:tr>
    </w:tbl>
    <w:p>
      <w:pPr>
        <w:sectPr>
          <w:pgSz w:w="11900" w:h="16838" w:orient="portrait"/>
          <w:cols w:equalWidth="0" w:num="1">
            <w:col w:w="11300"/>
          </w:cols>
          <w:pgMar w:left="300" w:top="645" w:right="2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 connection with the Quarterly Report on Form 10-Q of Humacyte, Inc. (the “Company”) for the quarter ended September 30, 2025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134"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12, 2025</w:t>
            </w:r>
          </w:p>
        </w:tc>
        <w:tc>
          <w:tcPr>
            <w:tcW w:w="2580" w:type="dxa"/>
            <w:vAlign w:val="bottom"/>
          </w:tcPr>
          <w:p>
            <w:pPr>
              <w:ind w:left="1900"/>
              <w:spacing w:after="0"/>
              <w:rPr>
                <w:sz w:val="20"/>
                <w:szCs w:val="20"/>
                <w:color w:val="auto"/>
              </w:rPr>
            </w:pPr>
            <w:r>
              <w:rPr>
                <w:rFonts w:ascii="Times New Roman" w:cs="Times New Roman" w:eastAsia="Times New Roman" w:hAnsi="Times New Roman"/>
                <w:sz w:val="13"/>
                <w:szCs w:val="13"/>
                <w:color w:val="auto"/>
              </w:rPr>
              <w:t>By:</w:t>
            </w: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Laura E. Niklason</w:t>
            </w:r>
          </w:p>
        </w:tc>
        <w:tc>
          <w:tcPr>
            <w:tcW w:w="4280" w:type="dxa"/>
            <w:vAlign w:val="bottom"/>
            <w:tcBorders>
              <w:bottom w:val="single" w:sz="8" w:color="auto"/>
            </w:tcBorders>
          </w:tcPr>
          <w:p>
            <w:pPr>
              <w:spacing w:after="0"/>
              <w:rPr>
                <w:sz w:val="15"/>
                <w:szCs w:val="15"/>
                <w:color w:val="auto"/>
              </w:rPr>
            </w:pPr>
          </w:p>
        </w:tc>
      </w:tr>
      <w:tr>
        <w:trPr>
          <w:trHeight w:val="157"/>
        </w:trPr>
        <w:tc>
          <w:tcPr>
            <w:tcW w:w="3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4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Laura E. Niklason, M.D., Ph.D.</w:t>
            </w:r>
          </w:p>
        </w:tc>
      </w:tr>
      <w:tr>
        <w:trPr>
          <w:trHeight w:val="172"/>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4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11300"/>
          </w:cols>
          <w:pgMar w:left="300" w:top="807" w:right="2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In connection with the Quarterly Report on Form 10-Q of Humacyte, Inc. (the “Company”) for the quarter ended September 30, 2025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272"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12, 2025</w:t>
            </w:r>
          </w:p>
        </w:tc>
        <w:tc>
          <w:tcPr>
            <w:tcW w:w="222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By:</w:t>
            </w: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Dale A. Sander</w:t>
            </w:r>
          </w:p>
        </w:tc>
        <w:tc>
          <w:tcPr>
            <w:tcW w:w="4800" w:type="dxa"/>
            <w:vAlign w:val="bottom"/>
            <w:tcBorders>
              <w:bottom w:val="single" w:sz="8" w:color="auto"/>
            </w:tcBorders>
          </w:tcPr>
          <w:p>
            <w:pPr>
              <w:spacing w:after="0"/>
              <w:rPr>
                <w:sz w:val="15"/>
                <w:szCs w:val="15"/>
                <w:color w:val="auto"/>
              </w:rPr>
            </w:pPr>
          </w:p>
        </w:tc>
      </w:tr>
      <w:tr>
        <w:trPr>
          <w:trHeight w:val="157"/>
        </w:trPr>
        <w:tc>
          <w:tcPr>
            <w:tcW w:w="28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48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Dale A. Sander</w:t>
            </w:r>
          </w:p>
        </w:tc>
      </w:tr>
      <w:tr>
        <w:trPr>
          <w:trHeight w:val="172"/>
        </w:trPr>
        <w:tc>
          <w:tcPr>
            <w:tcW w:w="2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48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Chief Financial Officer, Chief Corporate Development Officer and Treasurer</w:t>
            </w:r>
          </w:p>
        </w:tc>
      </w:tr>
    </w:tbl>
    <w:p>
      <w:pPr>
        <w:spacing w:after="0" w:line="1" w:lineRule="exact"/>
        <w:rPr>
          <w:sz w:val="20"/>
          <w:szCs w:val="20"/>
          <w:color w:val="auto"/>
        </w:rPr>
      </w:pPr>
    </w:p>
    <w:sectPr>
      <w:pgSz w:w="11900" w:h="16838" w:orient="portrait"/>
      <w:cols w:equalWidth="0" w:num="1">
        <w:col w:w="11300"/>
      </w:cols>
      <w:pgMar w:left="300" w:top="8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4"/>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85" Type="http://schemas.openxmlformats.org/officeDocument/2006/relationships/hyperlink" Target="https://www.sec.gov/ix?doc=/Archives/edgar/data/1818382/000181838225000034/huma-20241231.htm#ie0573d68fa8e4e4a976867c9ab5d7930_19" TargetMode="External"/><Relationship Id="rId90" Type="http://schemas.openxmlformats.org/officeDocument/2006/relationships/hyperlink" Target="https://www.sec.gov/Archives/edgar/data/1818382/000110465925097591/tm2528189d1_ex4-1.htm" TargetMode="External"/><Relationship Id="rId91" Type="http://schemas.openxmlformats.org/officeDocument/2006/relationships/hyperlink" Target="https://www.sec.gov/Archives/edgar/data/1818382/000110465925090963/tm252640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2025-11-12T15:53:05Z</dcterms:created>
  <dcterms:modified xsi:type="dcterms:W3CDTF">2025-11-12T15:53:05Z</dcterms:modified>
</cp:coreProperties>
</file>