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0.gif" ContentType="image/gif"/>
  <Override PartName="/word/media/image12.jpeg" ContentType="image/jpeg"/>
  <Override PartName="/word/media/image9.jpeg" ContentType="image/jpeg"/>
  <Override PartName="/word/media/image11.jpeg" ContentType="image/jpeg"/>
  <Override PartName="/word/media/image13.jpeg" ContentType="image/jpeg"/>
  <Override PartName="/word/media/image8.jpeg" ContentType="image/jpeg"/>
  <Override PartName="/word/media/image7.jpeg" ContentType="image/jpeg"/>
  <Override PartName="/word/media/image5.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4.gif" ContentType="image/gif"/>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huma-20251231.htm"/>
        <w:bookmarkStart w:id="1" w:name="kshuma20251231"/>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page">
                  <wp:posOffset>914400</wp:posOffset>
                </wp:positionH>
                <wp:positionV relativeFrom="page">
                  <wp:posOffset>316230</wp:posOffset>
                </wp:positionV>
                <wp:extent cx="5943600" cy="175260"/>
                <wp:effectExtent l="0" t="0" r="0" b="0"/>
                <wp:wrapNone/>
                <wp:docPr id="1" name="Frame7"/>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4.9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914400</wp:posOffset>
                </wp:positionH>
                <wp:positionV relativeFrom="page">
                  <wp:posOffset>316230</wp:posOffset>
                </wp:positionV>
                <wp:extent cx="14605" cy="175260"/>
                <wp:effectExtent l="0" t="0" r="0" b="0"/>
                <wp:wrapNone/>
                <wp:docPr id="2" name="Frame6"/>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4.9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6854825</wp:posOffset>
                </wp:positionH>
                <wp:positionV relativeFrom="page">
                  <wp:posOffset>302260</wp:posOffset>
                </wp:positionV>
                <wp:extent cx="14605" cy="175260"/>
                <wp:effectExtent l="0" t="0" r="0" b="0"/>
                <wp:wrapNone/>
                <wp:docPr id="3" name="Frame5"/>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3.8pt;mso-position-vertical-relative:page;margin-left:539.7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914400</wp:posOffset>
                </wp:positionH>
                <wp:positionV relativeFrom="page">
                  <wp:posOffset>299085</wp:posOffset>
                </wp:positionV>
                <wp:extent cx="5943600" cy="175260"/>
                <wp:effectExtent l="0" t="0" r="0" b="0"/>
                <wp:wrapNone/>
                <wp:docPr id="4" name="Frame4"/>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3.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6854825</wp:posOffset>
                </wp:positionH>
                <wp:positionV relativeFrom="page">
                  <wp:posOffset>299085</wp:posOffset>
                </wp:positionV>
                <wp:extent cx="14605" cy="175260"/>
                <wp:effectExtent l="0" t="0" r="0" b="0"/>
                <wp:wrapNone/>
                <wp:docPr id="5" name="Frame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3.55pt;mso-position-vertical-relative:page;margin-left:539.7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914400</wp:posOffset>
                </wp:positionH>
                <wp:positionV relativeFrom="page">
                  <wp:posOffset>299085</wp:posOffset>
                </wp:positionV>
                <wp:extent cx="5941060" cy="175260"/>
                <wp:effectExtent l="0" t="0" r="0" b="0"/>
                <wp:wrapNone/>
                <wp:docPr id="6" name="Frame2"/>
                <a:graphic xmlns:a="http://schemas.openxmlformats.org/drawingml/2006/main">
                  <a:graphicData uri="http://schemas.microsoft.com/office/word/2010/wordprocessingShape">
                    <wps:wsp>
                      <wps:cNvSpPr txBox="1"/>
                      <wps:spPr>
                        <a:xfrm>
                          <a:off x="0" y="0"/>
                          <a:ext cx="594106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7.8pt;height:13.8pt;mso-wrap-distance-left:0pt;mso-wrap-distance-right:0pt;mso-wrap-distance-top:0pt;mso-wrap-distance-bottom:0pt;margin-top:23.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914400</wp:posOffset>
                </wp:positionH>
                <wp:positionV relativeFrom="page">
                  <wp:posOffset>299085</wp:posOffset>
                </wp:positionV>
                <wp:extent cx="5943600" cy="175260"/>
                <wp:effectExtent l="0" t="0" r="0" b="0"/>
                <wp:wrapNone/>
                <wp:docPr id="7" name="Frame1"/>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3.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top w:val="single" w:sz="4" w:space="1" w:color="000000"/>
        </w:pBdr>
        <w:bidi w:val="0"/>
        <w:spacing w:before="80" w:after="283"/>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8642" w:type="dxa"/>
        <w:jc w:val="left"/>
        <w:tblInd w:w="0" w:type="dxa"/>
        <w:tblLayout w:type="fixed"/>
        <w:tblCellMar>
          <w:top w:w="28" w:type="dxa"/>
          <w:left w:w="28" w:type="dxa"/>
          <w:bottom w:w="28" w:type="dxa"/>
          <w:right w:w="28" w:type="dxa"/>
        </w:tblCellMar>
      </w:tblPr>
      <w:tblGrid>
        <w:gridCol w:w="301"/>
        <w:gridCol w:w="8341"/>
      </w:tblGrid>
      <w:tr>
        <w:trPr/>
        <w:tc>
          <w:tcPr>
            <w:tcW w:w="301"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x</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For the fiscal year ended December 31, 2025</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tbl>
      <w:tblPr>
        <w:tblW w:w="8942" w:type="dxa"/>
        <w:jc w:val="left"/>
        <w:tblInd w:w="0" w:type="dxa"/>
        <w:tblLayout w:type="fixed"/>
        <w:tblCellMar>
          <w:top w:w="28" w:type="dxa"/>
          <w:left w:w="28" w:type="dxa"/>
          <w:bottom w:w="28" w:type="dxa"/>
          <w:right w:w="28" w:type="dxa"/>
        </w:tblCellMar>
      </w:tblPr>
      <w:tblGrid>
        <w:gridCol w:w="271"/>
        <w:gridCol w:w="8671"/>
      </w:tblGrid>
      <w:tr>
        <w:trPr/>
        <w:tc>
          <w:tcPr>
            <w:tcW w:w="27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o</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001-39532</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231F20"/>
          <w:sz w:val="42"/>
        </w:rPr>
      </w:pPr>
      <w:r>
        <w:rPr>
          <w:rFonts w:ascii="Times New Roman" w:hAnsi="Times New Roman"/>
          <w:b/>
          <w:color w:val="231F20"/>
          <w:sz w:val="42"/>
        </w:rPr>
        <w:t>Humacyte,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5612" w:type="dxa"/>
        <w:jc w:val="left"/>
        <w:tblInd w:w="0" w:type="dxa"/>
        <w:tblLayout w:type="fixed"/>
        <w:tblCellMar>
          <w:top w:w="28" w:type="dxa"/>
          <w:left w:w="28" w:type="dxa"/>
          <w:bottom w:w="28" w:type="dxa"/>
          <w:right w:w="28" w:type="dxa"/>
        </w:tblCellMar>
      </w:tblPr>
      <w:tblGrid>
        <w:gridCol w:w="2941"/>
        <w:gridCol w:w="2671"/>
      </w:tblGrid>
      <w:tr>
        <w:trPr/>
        <w:tc>
          <w:tcPr>
            <w:tcW w:w="294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85-1763759</w:t>
            </w:r>
          </w:p>
        </w:tc>
      </w:tr>
      <w:tr>
        <w:trPr/>
        <w:tc>
          <w:tcPr>
            <w:tcW w:w="29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(State or other jurisdiction of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2525 East North Carolina Highway 54</w:t>
            </w:r>
          </w:p>
        </w:tc>
        <w:tc>
          <w:tcPr>
            <w:tcW w:w="2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Durham,</w:t>
            </w:r>
            <w:r>
              <w:rPr>
                <w:rFonts w:ascii="Times New Roman" w:hAnsi="Times New Roman"/>
                <w:color w:val="000000"/>
                <w:sz w:val="20"/>
              </w:rPr>
              <w:t xml:space="preserve"> </w:t>
            </w:r>
            <w:r>
              <w:rPr>
                <w:rFonts w:ascii="Times New Roman" w:hAnsi="Times New Roman"/>
                <w:b/>
                <w:color w:val="000000"/>
                <w:sz w:val="16"/>
              </w:rPr>
              <w:t>NC</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27713</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(919) 313-9633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60" w:after="283"/>
        <w:jc w:val="left"/>
        <w:rPr>
          <w:rFonts w:ascii="Times New Roman" w:hAnsi="Times New Roman"/>
          <w:sz w:val="20"/>
        </w:rPr>
      </w:pPr>
      <w:r>
        <w:rPr>
          <w:rFonts w:ascii="Times New Roman" w:hAnsi="Times New Roman"/>
          <w:color w:val="000000"/>
          <w:sz w:val="16"/>
        </w:rPr>
        <w:t>Securities registered pursuant to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1"/>
        <w:gridCol w:w="146"/>
        <w:gridCol w:w="1241"/>
        <w:gridCol w:w="146"/>
        <w:gridCol w:w="252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6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HUMA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Common Stock at an exercise price of $11.50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HUMAW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12(g) of the Act: </w:t>
      </w: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Wingdings;serif" w:hAnsi="Wingdings;serif"/>
          <w:color w:val="000000"/>
          <w:sz w:val="16"/>
        </w:rPr>
        <w:t>o</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r>
        <w:rPr>
          <w:rFonts w:ascii="Wingdings;serif" w:hAnsi="Wingdings;serif"/>
          <w:color w:val="000000"/>
          <w:sz w:val="16"/>
        </w:rPr>
        <w:t>x</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Wingdings;serif" w:hAnsi="Wingdings;serif"/>
          <w:color w:val="000000"/>
          <w:sz w:val="16"/>
        </w:rPr>
        <w:t>o</w:t>
      </w:r>
      <w:r>
        <w:rPr>
          <w:rFonts w:ascii="Times New Roman" w:hAnsi="Times New Roman"/>
          <w:color w:val="000000"/>
          <w:sz w:val="20"/>
        </w:rPr>
        <w:t xml:space="preserve"> </w:t>
      </w:r>
      <w:r>
        <w:rPr>
          <w:rFonts w:ascii="Times New Roman" w:hAnsi="Times New Roman"/>
          <w:color w:val="000000"/>
          <w:sz w:val="16"/>
        </w:rPr>
        <w:t xml:space="preserve">No </w:t>
      </w:r>
      <w:r>
        <w:rPr>
          <w:rFonts w:ascii="Wingdings;serif" w:hAnsi="Wingdings;serif"/>
          <w:color w:val="000000"/>
          <w:sz w:val="16"/>
        </w:rPr>
        <w:t>x</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Wingdings;serif" w:hAnsi="Wingdings;serif"/>
          <w:color w:val="000000"/>
          <w:sz w:val="16"/>
        </w:rPr>
        <w:t>x</w:t>
      </w:r>
      <w:r>
        <w:rPr>
          <w:rFonts w:ascii="Times New Roman" w:hAnsi="Times New Roman"/>
          <w:color w:val="000000"/>
          <w:sz w:val="20"/>
        </w:rPr>
        <w:t xml:space="preserve"> </w:t>
      </w:r>
      <w:r>
        <w:rPr>
          <w:rFonts w:ascii="Times New Roman" w:hAnsi="Times New Roman"/>
          <w:color w:val="000000"/>
          <w:sz w:val="16"/>
        </w:rPr>
        <w:t xml:space="preserve">No </w:t>
      </w:r>
      <w:r>
        <w:rPr>
          <w:rFonts w:ascii="Wingdings;serif" w:hAnsi="Wingdings;serif"/>
          <w:color w:val="000000"/>
          <w:sz w:val="16"/>
        </w:rPr>
        <w:t>o</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w:t>
      </w:r>
      <w:r>
        <w:rPr>
          <w:rFonts w:ascii="Times New Roman" w:hAnsi="Times New Roman"/>
          <w:color w:val="000000"/>
          <w:sz w:val="20"/>
        </w:rPr>
        <w:t xml:space="preserve"> </w:t>
      </w:r>
      <w:r>
        <w:rPr>
          <w:rFonts w:ascii="Wingdings;serif" w:hAnsi="Wingdings;serif"/>
          <w:color w:val="000000"/>
          <w:sz w:val="16"/>
        </w:rPr>
        <w:t>x</w:t>
      </w:r>
      <w:r>
        <w:rPr>
          <w:rFonts w:ascii="Times New Roman" w:hAnsi="Times New Roman"/>
          <w:color w:val="000000"/>
          <w:sz w:val="20"/>
        </w:rPr>
        <w:t xml:space="preserve"> </w:t>
      </w:r>
      <w:r>
        <w:rPr>
          <w:rFonts w:ascii="Times New Roman" w:hAnsi="Times New Roman"/>
          <w:color w:val="000000"/>
          <w:sz w:val="16"/>
        </w:rPr>
        <w:t xml:space="preserve">No </w:t>
      </w:r>
      <w:r>
        <w:rPr>
          <w:rFonts w:ascii="Wingdings;serif" w:hAnsi="Wingdings;serif"/>
          <w:color w:val="000000"/>
          <w:sz w:val="16"/>
        </w:rPr>
        <w:t>o</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in Rule 12b-2 of the Exchange Act. (Check one):</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1666"/>
        <w:gridCol w:w="286"/>
        <w:gridCol w:w="146"/>
        <w:gridCol w:w="2026"/>
        <w:gridCol w:w="331"/>
      </w:tblGrid>
      <w:tr>
        <w:trPr/>
        <w:tc>
          <w:tcPr>
            <w:tcW w:w="16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28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Accelerated filer</w:t>
            </w:r>
          </w:p>
        </w:tc>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o</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28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Smaller reporting company</w:t>
            </w:r>
          </w:p>
        </w:tc>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x</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Emerging growth company</w:t>
            </w:r>
          </w:p>
        </w:tc>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o</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erif" w:hAnsi="Wingdings;serif"/>
          <w:color w:val="000000"/>
          <w:sz w:val="16"/>
        </w:rPr>
        <w:t>o</w:t>
      </w:r>
    </w:p>
    <w:p>
      <w:pPr>
        <w:pStyle w:val="TextBody"/>
        <w:bidi w:val="0"/>
        <w:spacing w:before="60" w:after="283"/>
        <w:jc w:val="left"/>
        <w:rPr>
          <w:rFonts w:ascii="Times New Roman" w:hAnsi="Times New Roman"/>
          <w:sz w:val="20"/>
        </w:rPr>
      </w:pPr>
      <w:r>
        <w:rPr>
          <w:rFonts w:ascii="Times New Roman" w:hAnsi="Times New Roman"/>
          <w:color w:val="231F2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serif" w:hAnsi="Wingdings;serif"/>
          <w:color w:val="000000"/>
          <w:sz w:val="16"/>
        </w:rPr>
        <w:t>o</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w:t>
      </w:r>
      <w:r>
        <w:rPr>
          <w:rFonts w:ascii="Times New Roman" w:hAnsi="Times New Roman"/>
          <w:color w:val="231F20"/>
          <w:sz w:val="16"/>
        </w:rPr>
        <w:t>registered</w:t>
      </w:r>
      <w:r>
        <w:rPr>
          <w:rFonts w:ascii="Times New Roman" w:hAnsi="Times New Roman"/>
          <w:color w:val="000000"/>
          <w:sz w:val="20"/>
        </w:rPr>
        <w:t xml:space="preserve"> </w:t>
      </w:r>
      <w:r>
        <w:rPr>
          <w:rFonts w:ascii="Times New Roman" w:hAnsi="Times New Roman"/>
          <w:color w:val="000000"/>
          <w:sz w:val="16"/>
        </w:rPr>
        <w:t xml:space="preserve">pursuant to Section 12(b) of the Act, indicate by check mark whether the financial statements of the registrant included in the filing reflect the correction of an error to previously issued financial statements. </w:t>
      </w:r>
      <w:r>
        <w:rPr>
          <w:rFonts w:ascii="Wingdings;serif" w:hAnsi="Wingdings;serif"/>
          <w:color w:val="000000"/>
          <w:sz w:val="16"/>
        </w:rPr>
        <w:t>o</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erif" w:hAnsi="Wingdings;serif"/>
          <w:color w:val="000000"/>
          <w:sz w:val="16"/>
        </w:rPr>
        <w:t>o</w:t>
      </w:r>
    </w:p>
    <w:p>
      <w:pPr>
        <w:pStyle w:val="TextBody"/>
        <w:bidi w:val="0"/>
        <w:spacing w:before="60" w:after="283"/>
        <w:jc w:val="both"/>
        <w:rPr>
          <w:rFonts w:ascii="Times New Roman" w:hAnsi="Times New Roman"/>
          <w:sz w:val="20"/>
        </w:rPr>
      </w:pPr>
      <w:r>
        <w:rPr>
          <w:rFonts w:ascii="Times New Roman" w:hAnsi="Times New Roman"/>
          <w:color w:val="231F20"/>
          <w:sz w:val="16"/>
        </w:rPr>
        <w:t>Indicate by check mark whether the registrant is a shell company (as defined in Rule 12b-2 of the Exchange Act).</w:t>
      </w:r>
      <w:r>
        <w:rPr>
          <w:rFonts w:ascii="Times New Roman" w:hAnsi="Times New Roman"/>
          <w:color w:val="231F20"/>
          <w:sz w:val="20"/>
        </w:rPr>
        <w:t xml:space="preserve"> </w:t>
      </w:r>
      <w:r>
        <w:rPr>
          <w:rFonts w:ascii="Times New Roman" w:hAnsi="Times New Roman"/>
          <w:color w:val="000000"/>
          <w:sz w:val="16"/>
        </w:rPr>
        <w:t xml:space="preserve">Yes </w:t>
      </w:r>
      <w:r>
        <w:rPr>
          <w:rFonts w:ascii="Wingdings;serif" w:hAnsi="Wingdings;serif"/>
          <w:color w:val="000000"/>
          <w:sz w:val="16"/>
        </w:rPr>
        <w:t>o</w:t>
      </w:r>
      <w:r>
        <w:rPr>
          <w:rFonts w:ascii="Times New Roman" w:hAnsi="Times New Roman"/>
          <w:color w:val="000000"/>
          <w:sz w:val="20"/>
        </w:rPr>
        <w:t xml:space="preserve"> </w:t>
      </w:r>
      <w:r>
        <w:rPr>
          <w:rFonts w:ascii="Times New Roman" w:hAnsi="Times New Roman"/>
          <w:color w:val="000000"/>
          <w:sz w:val="16"/>
        </w:rPr>
        <w:t xml:space="preserve">No </w:t>
      </w:r>
      <w:r>
        <w:rPr>
          <w:rFonts w:ascii="Wingdings;serif" w:hAnsi="Wingdings;serif"/>
          <w:color w:val="000000"/>
          <w:sz w:val="16"/>
        </w:rPr>
        <w:t>x</w:t>
      </w:r>
    </w:p>
    <w:p>
      <w:pPr>
        <w:pStyle w:val="TextBody"/>
        <w:bidi w:val="0"/>
        <w:spacing w:before="60" w:after="283"/>
        <w:jc w:val="left"/>
        <w:rPr>
          <w:rFonts w:ascii="Times New Roman" w:hAnsi="Times New Roman"/>
          <w:sz w:val="20"/>
        </w:rPr>
      </w:pPr>
      <w:r>
        <w:rPr>
          <w:rFonts w:ascii="Times New Roman" w:hAnsi="Times New Roman"/>
          <w:color w:val="231F20"/>
          <w:sz w:val="16"/>
        </w:rPr>
        <w:t>As of June 30, 2025, the last business day of the registrant’s most recently completed second fiscal quarter, the aggregate market value of common stock held by non-affiliates of the registrant was approximately $280.3</w:t>
      </w:r>
      <w:r>
        <w:rPr>
          <w:rFonts w:ascii="Times New Roman" w:hAnsi="Times New Roman"/>
          <w:color w:val="231F20"/>
          <w:sz w:val="20"/>
        </w:rPr>
        <w:t xml:space="preserve"> </w:t>
      </w:r>
      <w:r>
        <w:rPr>
          <w:rFonts w:ascii="Times New Roman" w:hAnsi="Times New Roman"/>
          <w:color w:val="231F20"/>
          <w:sz w:val="16"/>
        </w:rPr>
        <w:t>million (based on the closing price of the registrant’s common stock as reported on The Nasdaq Global Select Market on that date).</w:t>
      </w:r>
    </w:p>
    <w:p>
      <w:pPr>
        <w:pStyle w:val="TextBody"/>
        <w:bidi w:val="0"/>
        <w:spacing w:before="60" w:after="283"/>
        <w:jc w:val="left"/>
        <w:rPr>
          <w:rFonts w:ascii="Times New Roman" w:hAnsi="Times New Roman"/>
          <w:sz w:val="20"/>
        </w:rPr>
      </w:pPr>
      <w:r>
        <w:rPr>
          <w:rFonts w:ascii="Times New Roman" w:hAnsi="Times New Roman"/>
          <w:color w:val="231F20"/>
          <w:sz w:val="16"/>
        </w:rPr>
        <w:t>As of</w:t>
      </w:r>
      <w:r>
        <w:rPr>
          <w:rFonts w:ascii="Times New Roman" w:hAnsi="Times New Roman"/>
          <w:color w:val="231F20"/>
          <w:sz w:val="20"/>
        </w:rPr>
        <w:t xml:space="preserve"> </w:t>
      </w:r>
      <w:r>
        <w:rPr>
          <w:rFonts w:ascii="Times New Roman" w:hAnsi="Times New Roman"/>
          <w:color w:val="231F20"/>
          <w:sz w:val="16"/>
        </w:rPr>
        <w:t>March 24, 2026, 222,019,108</w:t>
      </w:r>
      <w:r>
        <w:rPr>
          <w:rFonts w:ascii="Times New Roman" w:hAnsi="Times New Roman"/>
          <w:color w:val="231F20"/>
          <w:sz w:val="20"/>
        </w:rPr>
        <w:t xml:space="preserve"> </w:t>
      </w:r>
      <w:r>
        <w:rPr>
          <w:rFonts w:ascii="Times New Roman" w:hAnsi="Times New Roman"/>
          <w:color w:val="231F20"/>
          <w:sz w:val="16"/>
        </w:rPr>
        <w:t>shares of common stock, par value $0.0001, were issued and outstanding.</w:t>
      </w:r>
    </w:p>
    <w:p>
      <w:pPr>
        <w:pStyle w:val="TextBody"/>
        <w:bidi w:val="0"/>
        <w:spacing w:before="60" w:after="283"/>
        <w:jc w:val="center"/>
        <w:rPr>
          <w:rFonts w:ascii="Times New Roman" w:hAnsi="Times New Roman"/>
          <w:b/>
          <w:color w:val="231F20"/>
          <w:sz w:val="16"/>
        </w:rPr>
      </w:pPr>
      <w:r>
        <w:rPr>
          <w:rFonts w:ascii="Times New Roman" w:hAnsi="Times New Roman"/>
          <w:b/>
          <w:color w:val="231F20"/>
          <w:sz w:val="16"/>
        </w:rPr>
        <w:t>DOCUMENTS INCORPORATED BY REFERENCE</w:t>
      </w:r>
    </w:p>
    <w:p>
      <w:pPr>
        <w:pStyle w:val="TextBody"/>
        <w:bidi w:val="0"/>
        <w:spacing w:before="60" w:after="283"/>
        <w:jc w:val="left"/>
        <w:rPr>
          <w:rFonts w:ascii="Times New Roman" w:hAnsi="Times New Roman"/>
          <w:color w:val="231F20"/>
          <w:sz w:val="16"/>
        </w:rPr>
      </w:pPr>
      <w:r>
        <w:rPr>
          <w:rFonts w:ascii="Times New Roman" w:hAnsi="Times New Roman"/>
          <w:color w:val="231F20"/>
          <w:sz w:val="16"/>
        </w:rPr>
        <w:t>Portions of the Registrant’s Proxy Statement relative to the 2026 Annual Meeting of Shareholders are incorporated by reference in Part III hereof.</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section2"/>
      <w:bookmarkEnd w:id="2"/>
      <w:r>
        <w:rPr>
          <w:rFonts w:ascii="Times New Roman" w:hAnsi="Times New Roman"/>
          <w:b/>
          <w:color w:val="000000"/>
          <w:sz w:val="20"/>
        </w:rPr>
        <w:t>Table o</w:t>
      </w:r>
      <w:bookmarkStart w:id="3" w:name="toc_page"/>
      <w:bookmarkEnd w:id="3"/>
      <w:r>
        <w:rPr>
          <w:rFonts w:ascii="Times New Roman" w:hAnsi="Times New Roman"/>
          <w:b/>
          <w:color w:val="000000"/>
          <w:sz w:val="20"/>
        </w:rPr>
        <w:t>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8624"/>
        <w:gridCol w:w="792"/>
      </w:tblGrid>
      <w:tr>
        <w:trPr/>
        <w:tc>
          <w:tcPr>
            <w:tcW w:w="789"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789" w:type="dxa"/>
            <w:tcBorders/>
            <w:tcMar>
              <w:top w:w="0" w:type="dxa"/>
              <w:left w:w="0" w:type="dxa"/>
              <w:bottom w:w="0" w:type="dxa"/>
              <w:right w:w="0" w:type="dxa"/>
            </w:tcMar>
            <w:vAlign w:val="center"/>
          </w:tcPr>
          <w:p>
            <w:pPr>
              <w:pStyle w:val="TableContents"/>
              <w:bidi w:val="0"/>
              <w:spacing w:before="0" w:after="283"/>
              <w:jc w:val="left"/>
              <w:rPr/>
            </w:pPr>
            <w:r>
              <w:rPr/>
              <w:t> </w:t>
            </w:r>
          </w:p>
        </w:tc>
        <w:tc>
          <w:tcPr>
            <w:tcW w:w="8624"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pPr>
            <w:r>
              <w:rPr/>
              <w:t> </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part_i">
              <w:r>
                <w:rPr>
                  <w:rStyle w:val="InternetLink"/>
                  <w:rFonts w:ascii="Times New Roman" w:hAnsi="Times New Roman"/>
                  <w:b/>
                  <w:color w:val="000000"/>
                  <w:sz w:val="20"/>
                </w:rPr>
                <w:t>PART I</w:t>
              </w:r>
            </w:hyperlink>
          </w:p>
        </w:tc>
        <w:tc>
          <w:tcPr>
            <w:tcW w:w="792" w:type="dxa"/>
            <w:tcBorders>
              <w:top w:val="single" w:sz="8" w:space="0" w:color="000000"/>
            </w:tcBorders>
            <w:tcMar>
              <w:left w:w="0" w:type="dxa"/>
              <w:bottom w:w="0" w:type="dxa"/>
              <w:right w:w="0" w:type="dxa"/>
            </w:tcMar>
            <w:vAlign w:val="center"/>
          </w:tcPr>
          <w:p>
            <w:pPr>
              <w:pStyle w:val="TableContents"/>
              <w:bidi w:val="0"/>
              <w:spacing w:before="120" w:after="283"/>
              <w:jc w:val="left"/>
              <w:rPr/>
            </w:pPr>
            <w:r>
              <w:rPr/>
              <w:t> </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business">
              <w:r>
                <w:rPr>
                  <w:rStyle w:val="InternetLink"/>
                  <w:rFonts w:ascii="Times New Roman" w:hAnsi="Times New Roman"/>
                  <w:color w:val="0000FF"/>
                  <w:sz w:val="20"/>
                  <w:u w:val="single"/>
                </w:rPr>
                <w:t>Business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risk_factors">
              <w:r>
                <w:rPr>
                  <w:rStyle w:val="InternetLink"/>
                  <w:rFonts w:ascii="Times New Roman" w:hAnsi="Times New Roman"/>
                  <w:color w:val="0000FF"/>
                  <w:sz w:val="20"/>
                  <w:u w:val="single"/>
                </w:rPr>
                <w:t>Risk Factors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62</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1B.</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1C.</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cybersecurity">
              <w:r>
                <w:rPr>
                  <w:rStyle w:val="InternetLink"/>
                  <w:rFonts w:ascii="Times New Roman" w:hAnsi="Times New Roman"/>
                  <w:color w:val="0000FF"/>
                  <w:sz w:val="20"/>
                  <w:u w:val="single"/>
                </w:rPr>
                <w:t>Cybersecurity</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properties">
              <w:r>
                <w:rPr>
                  <w:rStyle w:val="InternetLink"/>
                  <w:rFonts w:ascii="Times New Roman" w:hAnsi="Times New Roman"/>
                  <w:color w:val="0000FF"/>
                  <w:sz w:val="20"/>
                  <w:u w:val="single"/>
                </w:rPr>
                <w:t>Properties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105</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legal_proceedings">
              <w:r>
                <w:rPr>
                  <w:rStyle w:val="InternetLink"/>
                  <w:rFonts w:ascii="Times New Roman" w:hAnsi="Times New Roman"/>
                  <w:color w:val="0000FF"/>
                  <w:sz w:val="20"/>
                  <w:u w:val="single"/>
                </w:rPr>
                <w:t>Legal Proceedings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105</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mine_safety_disclosures">
              <w:r>
                <w:rPr>
                  <w:rStyle w:val="InternetLink"/>
                  <w:rFonts w:ascii="Times New Roman" w:hAnsi="Times New Roman"/>
                  <w:color w:val="0000FF"/>
                  <w:sz w:val="20"/>
                  <w:u w:val="single"/>
                </w:rPr>
                <w:t>Mine Safety Disclosures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106</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pPr>
            <w:r>
              <w:rPr/>
              <w:t> </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part_ii">
              <w:r>
                <w:rPr>
                  <w:rStyle w:val="InternetLink"/>
                  <w:rFonts w:ascii="Times New Roman" w:hAnsi="Times New Roman"/>
                  <w:b/>
                  <w:color w:val="000000"/>
                  <w:sz w:val="20"/>
                </w:rPr>
                <w:t>PART II</w:t>
              </w:r>
            </w:hyperlink>
          </w:p>
        </w:tc>
        <w:tc>
          <w:tcPr>
            <w:tcW w:w="792"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market_for_registrants_com">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107</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reserved">
              <w:r>
                <w:rPr>
                  <w:rStyle w:val="InternetLink"/>
                  <w:rFonts w:ascii="Times New Roman" w:hAnsi="Times New Roman"/>
                  <w:color w:val="0000FF"/>
                  <w:sz w:val="20"/>
                  <w:u w:val="single"/>
                </w:rPr>
                <w:t>[Reserved]</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107</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7.</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108</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7A.</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quantitativ_and_qualitative_disclosures">
              <w:r>
                <w:rPr>
                  <w:rStyle w:val="InternetLink"/>
                  <w:rFonts w:ascii="Times New Roman" w:hAnsi="Times New Roman"/>
                  <w:color w:val="0000FF"/>
                  <w:sz w:val="20"/>
                  <w:u w:val="single"/>
                </w:rPr>
                <w:t>Quantitative and Qualitative Disclosures About Market Risk</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125</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8.</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financial_statements_and_supplementary">
              <w:r>
                <w:rPr>
                  <w:rStyle w:val="InternetLink"/>
                  <w:rFonts w:ascii="Times New Roman" w:hAnsi="Times New Roman"/>
                  <w:color w:val="0000FF"/>
                  <w:sz w:val="20"/>
                  <w:u w:val="single"/>
                </w:rPr>
                <w:t>Financial Statements and Supplementary Data</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126</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9.</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changes_in_and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182</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9A.</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controls_and_procedures">
              <w:r>
                <w:rPr>
                  <w:rStyle w:val="InternetLink"/>
                  <w:rFonts w:ascii="Times New Roman" w:hAnsi="Times New Roman"/>
                  <w:color w:val="0000FF"/>
                  <w:sz w:val="20"/>
                  <w:u w:val="single"/>
                </w:rPr>
                <w:t>Controls and Procedures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182</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9B.</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other_information">
              <w:r>
                <w:rPr>
                  <w:rStyle w:val="InternetLink"/>
                  <w:rFonts w:ascii="Times New Roman" w:hAnsi="Times New Roman"/>
                  <w:color w:val="0000FF"/>
                  <w:sz w:val="20"/>
                  <w:u w:val="single"/>
                </w:rPr>
                <w:t>Other Information</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182</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9C.</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disclosure_regarding_for">
              <w:r>
                <w:rPr>
                  <w:rStyle w:val="InternetLink"/>
                  <w:rFonts w:ascii="Times New Roman" w:hAnsi="Times New Roman"/>
                  <w:color w:val="0000FF"/>
                  <w:sz w:val="20"/>
                  <w:u w:val="single"/>
                </w:rPr>
                <w:t>Disclosure Regarding Foreign Jurisdictions that Prevent Inspections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183</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pPr>
            <w:r>
              <w:rPr/>
              <w:t> </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part_iii">
              <w:r>
                <w:rPr>
                  <w:rStyle w:val="InternetLink"/>
                  <w:rFonts w:ascii="Times New Roman" w:hAnsi="Times New Roman"/>
                  <w:b/>
                  <w:color w:val="000000"/>
                  <w:sz w:val="20"/>
                </w:rPr>
                <w:t>PART III</w:t>
              </w:r>
            </w:hyperlink>
          </w:p>
        </w:tc>
        <w:tc>
          <w:tcPr>
            <w:tcW w:w="792"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10.</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directors_executive_officers">
              <w:r>
                <w:rPr>
                  <w:rStyle w:val="InternetLink"/>
                  <w:rFonts w:ascii="Times New Roman" w:hAnsi="Times New Roman"/>
                  <w:color w:val="0000FF"/>
                  <w:sz w:val="20"/>
                  <w:u w:val="single"/>
                </w:rPr>
                <w:t>Directors, Executive Officers and Corporate Governance</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11.</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executive_compensation">
              <w:r>
                <w:rPr>
                  <w:rStyle w:val="InternetLink"/>
                  <w:rFonts w:ascii="Times New Roman" w:hAnsi="Times New Roman"/>
                  <w:color w:val="0000FF"/>
                  <w:sz w:val="20"/>
                  <w:u w:val="single"/>
                </w:rPr>
                <w:t>Executive Compensation</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12.</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13.</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certain_relationships_and_related">
              <w:r>
                <w:rPr>
                  <w:rStyle w:val="InternetLink"/>
                  <w:rFonts w:ascii="Times New Roman" w:hAnsi="Times New Roman"/>
                  <w:color w:val="0000FF"/>
                  <w:sz w:val="20"/>
                  <w:u w:val="single"/>
                </w:rPr>
                <w:t>Certain Relationships and Related Transactions, and Director Independence</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14.</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principal_accountant_fees">
              <w:r>
                <w:rPr>
                  <w:rStyle w:val="InternetLink"/>
                  <w:rFonts w:ascii="Times New Roman" w:hAnsi="Times New Roman"/>
                  <w:color w:val="0000FF"/>
                  <w:sz w:val="20"/>
                  <w:u w:val="single"/>
                </w:rPr>
                <w:t>Principal Accountant Fees and Services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184</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pPr>
            <w:r>
              <w:rPr/>
              <w:t> </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part_iv">
              <w:r>
                <w:rPr>
                  <w:rStyle w:val="InternetLink"/>
                  <w:rFonts w:ascii="Times New Roman" w:hAnsi="Times New Roman"/>
                  <w:b/>
                  <w:color w:val="000000"/>
                  <w:sz w:val="20"/>
                </w:rPr>
                <w:t>PART IV</w:t>
              </w:r>
            </w:hyperlink>
          </w:p>
        </w:tc>
        <w:tc>
          <w:tcPr>
            <w:tcW w:w="792"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15.</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exhibits_and_financial_stat">
              <w:r>
                <w:rPr>
                  <w:rStyle w:val="InternetLink"/>
                  <w:rFonts w:ascii="Times New Roman" w:hAnsi="Times New Roman"/>
                  <w:color w:val="0000FF"/>
                  <w:sz w:val="20"/>
                  <w:u w:val="single"/>
                </w:rPr>
                <w:t>Exhibits and Financial Statement Schedules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185</w:t>
            </w:r>
          </w:p>
        </w:tc>
      </w:tr>
      <w:tr>
        <w:trPr/>
        <w:tc>
          <w:tcPr>
            <w:tcW w:w="7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16.</w:t>
            </w:r>
          </w:p>
        </w:tc>
        <w:tc>
          <w:tcPr>
            <w:tcW w:w="8624" w:type="dxa"/>
            <w:tcBorders/>
            <w:tcMar>
              <w:top w:w="0" w:type="dxa"/>
              <w:left w:w="0" w:type="dxa"/>
              <w:bottom w:w="0" w:type="dxa"/>
              <w:right w:w="0" w:type="dxa"/>
            </w:tcMar>
            <w:vAlign w:val="center"/>
          </w:tcPr>
          <w:p>
            <w:pPr>
              <w:pStyle w:val="TableContents"/>
              <w:bidi w:val="0"/>
              <w:spacing w:before="120" w:after="283"/>
              <w:jc w:val="left"/>
              <w:rPr/>
            </w:pPr>
            <w:hyperlink w:anchor="form10k_summary">
              <w:r>
                <w:rPr>
                  <w:rStyle w:val="InternetLink"/>
                  <w:rFonts w:ascii="Times New Roman" w:hAnsi="Times New Roman"/>
                  <w:color w:val="0000FF"/>
                  <w:sz w:val="20"/>
                  <w:u w:val="single"/>
                </w:rPr>
                <w:t>Form 10-K Summary</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189</w:t>
            </w:r>
          </w:p>
        </w:tc>
      </w:tr>
      <w:tr>
        <w:trPr/>
        <w:tc>
          <w:tcPr>
            <w:tcW w:w="9413" w:type="dxa"/>
            <w:gridSpan w:val="2"/>
            <w:tcBorders/>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b/>
                  <w:color w:val="0000FF"/>
                  <w:sz w:val="20"/>
                  <w:u w:val="single"/>
                </w:rPr>
                <w:t>SIGNATURES</w:t>
              </w:r>
            </w:hyperlink>
          </w:p>
        </w:tc>
        <w:tc>
          <w:tcPr>
            <w:tcW w:w="79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190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bookmarkStart w:id="4" w:name="section3"/>
      <w:bookmarkEnd w:id="4"/>
      <w:r>
        <w:rPr>
          <w:rFonts w:ascii="Times New Roman" w:hAnsi="Times New Roman"/>
          <w:b/>
          <w:color w:val="231F20"/>
          <w:sz w:val="20"/>
        </w:rPr>
        <w:t>FORWARD-LOOKING STATEMENTS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This Annual Report on Form 10-K contains forward-looking statements that involve substantial risks and uncertainties. </w:t>
      </w:r>
      <w:r>
        <w:rPr>
          <w:rFonts w:ascii="Times New Roman" w:hAnsi="Times New Roman"/>
          <w:color w:val="000000"/>
          <w:sz w:val="20"/>
        </w:rPr>
        <w:t>“Forward-looking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w:t>
      </w:r>
      <w:r>
        <w:rPr>
          <w:rFonts w:ascii="Times New Roman" w:hAnsi="Times New Roman"/>
          <w:color w:val="231F20"/>
          <w:sz w:val="20"/>
        </w:rPr>
        <w:t>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Forward-looking statements may include, for example, statements about:</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rPr>
        <w:t>our plans and ability to commercialize Symvess</w:t>
      </w:r>
      <w:r>
        <w:rPr>
          <w:rFonts w:ascii="Times New Roman" w:hAnsi="Times New Roman"/>
          <w:color w:val="231F20"/>
          <w:sz w:val="13"/>
        </w:rPr>
        <w:t>®</w:t>
      </w:r>
      <w:r>
        <w:rPr>
          <w:color w:val="231F20"/>
        </w:rPr>
        <w:t xml:space="preserve"> </w:t>
      </w:r>
      <w:r>
        <w:rPr>
          <w:rFonts w:ascii="Times New Roman" w:hAnsi="Times New Roman"/>
          <w:color w:val="231F20"/>
          <w:sz w:val="20"/>
        </w:rPr>
        <w:t>(acellular tissue engineered vessel-tyod or “ATEV”) and, if approved by regulatory authorities, our product candidates, successfully and on our anticipated timelines;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degree of market acceptance of and the availability of third-party coverage and reimbursement for Symvess and, if approved by regulatory authorities, our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manufacture Symvess and, if approved by regulatory authorities, our product candidates in sufficient quantities to satisfy our clinical trial and commercial needs;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expected size of the target populations for Symvess and, if approved by regulatory authorities, our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anticipated benefits of our ATEVs relative to existing alternatives;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assessment of the competitive landscape;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plans and ability to execute product development, process development and preclinical development efforts successfully and on our anticipated timelines;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plans, anticipated timeline and ability to file applications for, and obtain marketing approvals from the United States (“U.S.”) Food and Drug Administration (“FDA”) and other regulatory authorities, including the European Medicines Agency (“EMA”) and Israel, for our ATEVs and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design, initiate and successfully complete clinical trials and other studies for our product candidates and our plans and expectations regarding our ongoing or planned clinical trials, including for our V007 and V012 Phase 3 clinical trials;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execute and achieve the expected benefits of our cost-saving measures and whether our efforts will result in further actions or additional asset impairment charges that adversely affect our business;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outcome of our ongoing discussions with the FDA concerning the design of our clinical trials;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anticipated growth rate and market opportunities;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use our proprietary scientific technology platform to build a pipeline of additional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characteristics and performance of our ATEVs and the public perception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performance of other third parties on which we rely, including our third-party manufacturers, our licensors, our suppliers and the organizations conducting our clinical trials;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obtain and maintain intellectual property protection for our product candidates as well as our ability to operate our business without infringing, misappropriating or otherwise violating the intellectual property rights of others;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maintain the confidentiality of our trade secrets, particularly with respect to our manufacturing process;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compliance with applicable laws and regulatory requirements, including FDA regulations, healthcare laws and regulations, and anti-corruption laws;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attract, retain and motivate qualified personnel and to manage our growth effectively;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estimates regarding how long our existing cash and cash equivalents will be sufficient to fund our anticipated operating expenses, capital expenditures and debt service obligations;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future financial performance and capital requirements, including our ability to raise additional capital in the future;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implement and maintain effective internal controls;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potential liquidity and trading of our securities;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the overall global economy and increasing interest rates and inflation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caution readers not to place undue reliance on any such forward-looking statements, which speak only as of the date they are made. Any forward-looking statements are based on information current as of the date of this Annual Report on Form 10-K and speak only as of the date on which such statements are made. Actual events or results may differ materially from the results, plans, intentions or expectations anticipated by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of this Annual Report on Form 10-K titled “Risk Factors” and “Management’s Discussion and Analysis of Financial Condition and Results of Operations.”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art_i"/>
      <w:bookmarkEnd w:id="5"/>
      <w:r>
        <w:rPr>
          <w:rFonts w:ascii="Times New Roman" w:hAnsi="Times New Roman"/>
          <w:b/>
          <w:color w:val="000000"/>
          <w:sz w:val="20"/>
        </w:rPr>
        <w:t>PART I</w:t>
      </w:r>
    </w:p>
    <w:p>
      <w:pPr>
        <w:pStyle w:val="TextBody"/>
        <w:bidi w:val="0"/>
        <w:spacing w:before="200" w:after="283"/>
        <w:jc w:val="left"/>
        <w:rPr>
          <w:rFonts w:ascii="Times New Roman" w:hAnsi="Times New Roman"/>
          <w:b/>
          <w:color w:val="231F20"/>
          <w:sz w:val="20"/>
        </w:rPr>
      </w:pPr>
      <w:bookmarkStart w:id="6" w:name="business"/>
      <w:bookmarkEnd w:id="6"/>
      <w:r>
        <w:rPr>
          <w:rFonts w:ascii="Times New Roman" w:hAnsi="Times New Roman"/>
          <w:b/>
          <w:color w:val="231F20"/>
          <w:sz w:val="20"/>
        </w:rPr>
        <w:t>Item 1. Business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Business Overview</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Executive Summary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Humacyte, Inc. is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w:t>
      </w:r>
      <w:r>
        <w:rPr>
          <w:rFonts w:ascii="Times New Roman" w:hAnsi="Times New Roman"/>
          <w:color w:val="231F20"/>
          <w:sz w:val="20"/>
        </w:rPr>
        <w:t>and conditions across a range of anatomic locations in multiple therapeutic areas.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are initially using our proprietary, scientific technology platform to engineer and manufacture acellular tissue engineered vessels, or ATEVs. On December 19, 2024, the FDA granted full approval for the ATEV under the brand name </w:t>
      </w:r>
      <w:r>
        <w:rPr>
          <w:rFonts w:ascii="Times New Roman" w:hAnsi="Times New Roman"/>
          <w:color w:val="231F20"/>
          <w:sz w:val="20"/>
        </w:rPr>
        <w:t>Symvess</w:t>
      </w:r>
      <w:r>
        <w:rPr>
          <w:rFonts w:ascii="Times New Roman" w:hAnsi="Times New Roman"/>
          <w:color w:val="231F20"/>
          <w:sz w:val="13"/>
        </w:rPr>
        <w:t>®</w:t>
      </w:r>
      <w:r>
        <w:rPr>
          <w:rFonts w:ascii="Times New Roman" w:hAnsi="Times New Roman"/>
          <w:color w:val="000000"/>
          <w:sz w:val="20"/>
        </w:rPr>
        <w:t xml:space="preserve"> for use in adults as a vascular conduit for extremity arterial injury when urgent revascularization is needed to avoid imminent limb loss, and autologous vein graft is not feasible. Our ATEVs are designed to be easily implanted into any patient without inducing a foreig</w:t>
      </w:r>
      <w:r>
        <w:rPr>
          <w:rFonts w:ascii="Times New Roman" w:hAnsi="Times New Roman"/>
          <w:color w:val="231F20"/>
          <w:sz w:val="20"/>
        </w:rPr>
        <w:t>n body response or leading to immune rejection. We are developing a portfolio, or “cabinet”, of ATEVs with varying diameters and lengths. The ATEV cabinet is initially targeting the vascular repair, reconstruction and replacement market, including vascular trauma, arteriovenous (“AV”) access for hemodialysis, and peripheral artery disease (“PAD”). We are also developing the ATEV for coronary artery bypass grafting (“CABG”) and pediatric heart surgery. Over the longer term, we are developing our ATEV for the delivery of cellular therapies, including pancreatic islet cell transplantation to treat Type 1 diabetes (our BioVascular Pancreas or “BVP</w:t>
      </w:r>
      <w:r>
        <w:rPr>
          <w:rFonts w:ascii="Times New Roman" w:hAnsi="Times New Roman"/>
          <w:color w:val="231F20"/>
          <w:sz w:val="13"/>
        </w:rPr>
        <w:t>TM</w:t>
      </w:r>
      <w:r>
        <w:rPr>
          <w:rFonts w:ascii="Times New Roman" w:hAnsi="Times New Roman"/>
          <w:color w:val="231F20"/>
          <w:sz w:val="20"/>
        </w:rPr>
        <w:t>”). We will continue to explore the application of our technology across a broad range of markets and indications including the development of urinary conduit, trachea, esophagus and other novel cell delivery systems.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that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As of December 31, 2025, our ATEVs have been implanted in approximately 636 patients in clinical trials as well as additional patients following the U.S. commercial launch of Symvess in the vascular trauma indication. In addition to vascular trauma, we are currently conducting a Phase 3 trial of our 6 millimeter ATEV in AV access for hemodialysis, and previously completed Phase 2 trials in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of products that are intended to diagnose, treat or prevent serious or life-threatening conditions facing American military personnel. </w:t>
      </w:r>
      <w:r>
        <w:rPr>
          <w:rFonts w:ascii="Times New Roman" w:hAnsi="Times New Roman"/>
          <w:color w:val="000000"/>
          <w:sz w:val="20"/>
        </w:rPr>
        <w:t xml:space="preserve">We received our first FDA approval of the ATEV on December 19, 2024, a full approval for </w:t>
      </w:r>
      <w:r>
        <w:rPr>
          <w:rFonts w:ascii="Times New Roman" w:hAnsi="Times New Roman"/>
          <w:color w:val="231F20"/>
          <w:sz w:val="20"/>
        </w:rPr>
        <w:t>Symvess</w:t>
      </w:r>
      <w:r>
        <w:rPr>
          <w:rFonts w:ascii="Times New Roman" w:hAnsi="Times New Roman"/>
          <w:color w:val="000000"/>
          <w:sz w:val="20"/>
        </w:rPr>
        <w:t xml:space="preserve"> (acellular tissue engineered vessel-tyod) for use in adults as a vascular conduit for extremity arterial injury when urgent revascularization is needed to avoid imminent limb loss, and autologous vein graft is not feasible.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April 2023, we announced completion of enrollment of our V007 Phase 3 trial of the ATEV for use in AV access for hemodialysis. In July 2024, we announced positive topline results from our V007 Phase 3 trial, where the ATEV met the co-primary endpoints in the study. Dependent upon interim results from our ongoing V012 Phase 3 trial of the ATEV for use in AV access for hemodialysis in women, we plan to submit a supplemental BLA for the ATEV to the FDA for an indication in AV access for hemodialysis in the second half of 2026.</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developed a novel paradigm for manufacturing human tissues that is intended to mimic key aspects of human physiology. We have an 83,000 square foot bioprocessing facility housing our modular manufacturing process with the ability to manufacture ATEVs of different diameters and lengths at commercial scale. As we continue to expand production, we believe we will have the ability to take advantage of economies of scale to reduce costs of production. We believe our established, controlled manufacturing process demonstrates a significant competitive advantage in the regenerative medicine market.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technology is protected by our patent portfolio, which includes certain patents licensed from parties as well as intellectual property generated internally at Humacyte. Our patent portfolio is comprised of 15 families of patents, many of which generally relate to the scaffolds used to make Symvess and our product candidates, the composition of Symvess and our product candidates and systems and methods of manufacturing Symvess and our product candidates. For more information, see “— Intellectual Property” below.</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intend to continue to shape our commercial and distribution strategy by indication and pursue collaborations with partners in markets where such partners provide strategic opportunities in launching our product candidates and enabling access to specific patient populations.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world-class senior management team and board of directors will be instrumental in helping us achieve our goals. Our President and Chief Executive Officer, Laura Niklason M.D., PhD., who founded Legacy Humacyte (as defined below), is an internationally respected physician scientist and a world leader in regenerative medicine technologies. Dr. Niklason is also a member of three national academies — Inventors, Medicine and Engineering. Our current Chair of the Board is Kathleen Sebelius, the former Secretary of the Department of Health and Human Services (“HHS”), and the former Governor of Kansas.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Merger</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August 26, 2021 (the “Closing Date”), Humacyte, Inc. (“Legacy Humacyte”) and Alpha Healthcare Acquisition Corp. (“AHAC”), consummated a merger pursuant to that certain Business Combination Agreement, dated as of February 17, 2021 (the “Merger Agreement”), by and among Legacy Humacyte, AHAC and Hunter Merger Sub (“Merger Sub”), a wholly owned subsidiary of AHAC. As contemplated by the Merger Agreement, Merger Sub merged with and into Legacy Humacyte, with Legacy Humacyte continuing as the surviving corporation and as a wholly owned subsidiary of AHAC (the “Merger” and collectively with the other transactions described in the Merger Agreement, the “Reverse Recapitalization”). On the Closing Date, AHAC changed its name to Humacyte, Inc. and Legacy Humacyte changed its name to Humacyte Global, Inc.</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References to “AHAC” refer to Alpha Healthcare Acquisition Corp. prior to the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Approach</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developed an approach that relies on two key complementary elements to address the significant market opportunity for the global treatment of patients in need of vascular replacement, repair and reconstruction, vascular access for dialysis and potential future indications including complex tissue and organ replacement and treatment of Type-1 diabetes: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proprietary scientific and engineering technology platform allows us to grow human tissues, which are ultimately decellularized and therefore expected to be non-immunogenic and universally implantable;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novel, scalable manufacturing paradigm is designed to allow us to produce thousands of ATEVs per year with the ability to expand manufacturing capacity and breadth to meet expected future global demand and the planned expansion of our pipeline of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Over time, we intend to develop a readily available “cabinet” of ATEVs of varying diameters and lengths to address the significant unmet needs across multiple potential indications in vascular repair, reconstruction and replacement.</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Proprietary Scientific Technology Platform</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proprietary scientific technology platform uses primary human aortic vascular cells from a working cell stock that have been isolated from donor tissues and cryopreserved. The working cell stock is expanded using traditional cell culture techniques, and the cells are transferred onto a biocompatible, biodegradable polymer mesh within a flexible, single-use bioreactor bag. Over the course of weeks,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solutions. The resulting ATEV retains the extracellular matrix constituents and, therefore, the biomechanical properties of the bioengineered vessel, but is cleansed of the cells and cellular components that could induce a foreign body response or immune rejection following implantation. Our functionally closed system allows for the ATEV to be grown, decellularized and ultimately shipped within the same flexible bioreactor bag. Our ATEVs are designed to be shipped to hospitals, trauma centers and outpatient surgical settings, where they can then be refrigerated for immediate use by removing each ATEV from its packaging.</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image summarizes key information about our proprietary scientific technology platform:</w:t>
      </w:r>
    </w:p>
    <w:p>
      <w:pPr>
        <w:pStyle w:val="TextBody"/>
        <w:bidi w:val="0"/>
        <w:spacing w:before="200" w:after="283"/>
        <w:jc w:val="center"/>
        <w:rPr/>
      </w:pPr>
      <w:r>
        <w:rPr/>
        <w:drawing>
          <wp:inline distT="0" distB="0" distL="0" distR="0">
            <wp:extent cx="5581650" cy="27146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581650" cy="27146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Novel Manufacturing Paradigm</w:t>
      </w:r>
    </w:p>
    <w:p>
      <w:pPr>
        <w:pStyle w:val="TextBody"/>
        <w:bidi w:val="0"/>
        <w:spacing w:before="200" w:after="283"/>
        <w:jc w:val="left"/>
        <w:rPr>
          <w:rFonts w:ascii="Times New Roman" w:hAnsi="Times New Roman"/>
          <w:sz w:val="20"/>
        </w:rPr>
      </w:pPr>
      <w:r>
        <w:rPr>
          <w:rFonts w:ascii="Times New Roman" w:hAnsi="Times New Roman"/>
          <w:color w:val="000000"/>
          <w:sz w:val="20"/>
        </w:rPr>
        <w:t>We have developed a novel paradigm for manufacturing human tissues that is intended to mimic key aspects of human physiology. Our proprietary manufacturing process was designed with a modular approach allowing us to produce ATEVs in smaller batches for clinical trials and scale out to larger batches for commercial manufacturing. In 2021 we commenced supplying our ongoing clinical trials with ATEVs produced in our current, commercial-scale LUNA200</w:t>
      </w:r>
      <w:r>
        <w:rPr>
          <w:rFonts w:ascii="Times New Roman" w:hAnsi="Times New Roman"/>
          <w:color w:val="000000"/>
          <w:sz w:val="13"/>
        </w:rPr>
        <w:t xml:space="preserve">TM </w:t>
      </w:r>
      <w:r>
        <w:rPr>
          <w:rFonts w:ascii="Times New Roman" w:hAnsi="Times New Roman"/>
          <w:color w:val="000000"/>
          <w:sz w:val="20"/>
        </w:rPr>
        <w:t>system, which consists of 20 growth drawers per production unit for a total of 200 ATEVs per batch. Each growth drawer is capable of producing ten 42cm ATEVs, each of which is contained within an individual bioreactor bag. Inside a LUNA200, a tubing network connects all ATEVs, allowing the entire system to share nutritive media. In this way, a single LUNA200 can produce up to 200 ATEVs (42cm in length) per batch while maintaining the critical operating parameters, such as biomechanical pulsing, that affect growth. The FDA inspected our manufacturing facility in April 2024 as part of its review and approval of our BLA in extremity vascular trauma, and we are using this facility to provide product for the United States commercial launch in that indication which commenced in the first quarter of 2025.</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current 83,000 square foot manufacturing facility has space to further expand manufacturing capacity as needed to over 40 LUNA200 systems. Currently, eight LUNA200 systems are installed and operational.</w:t>
      </w:r>
    </w:p>
    <w:p>
      <w:pPr>
        <w:pStyle w:val="TextBody"/>
        <w:bidi w:val="0"/>
        <w:spacing w:before="200" w:after="283"/>
        <w:jc w:val="center"/>
        <w:rPr/>
      </w:pPr>
      <w:r>
        <w:rPr/>
        <w:drawing>
          <wp:inline distT="0" distB="0" distL="0" distR="0">
            <wp:extent cx="6286500" cy="22860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286500" cy="2286000"/>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believe that the LUNA200 can produce ATEVs in diameter sizes from 3mm to 10mm and lengths from 10cm to 42cm, making the equipment suitable for the varied array of product candidates in our pipeline. We currently intend to introduce a 13cm-long ATEV line extension after the commercial launch of the 42cm ATEV, for surgeries that require shorter segments of ATEV in the setting of vascular trauma and repair. Using our existing LUNA200 manufacturing equipment without modification, we believe we have the ability to generate 400 ATEVs (13cm in length) or 200 ATEVs (42cm in length) per manufactured batch. We have designed our manufacturing system to be functionally closed, to utilize single-use disposable materials with aseptic connections, and to be highly automated, which allows us to control and maximize ATEV production.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Based on observations to date, the ATEV has withstood maximal pressures that are comparable to those reported for native arteries. For example, the human aorta is reported to have rupture strengths around 1,400 mmHg, while human cerebral arteries rupture around 1,800 mmHg. We have observed ATEVs withstanding maximal pressures of approximately 3,200 mmHg before rupturing, making their mechanical properties on par with native human blood vessels.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Market Opportunity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a biotechnology company that has commenced the U.S. commercial launch of one FDA-approved product, with Phase 3 clinical trials in two indications and a strong pipeline for additional products and indications. Additionally, we have had significant interest from surgeons to use our ATEV in life and limb saving surgeries as demonstrated by their requests to the FDA to use our ATEV in multiple expanded access (compassionate use) cases where no alternative was available, as well as requests from Ukrainian surgeons that led to a humanitarian program conducted during the conflict in that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Our Initial Market Opportunity in Vascular Repair, Reconstruction and Replacement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believe there is a significant market opportunity for our technology across a number of important clinical areas within vascular reconstruction and replacement including vascular trauma, AV access for hemodialysis, PAD, and adult cardiac surgery. To treat these diseases and conditions, patients often require invasive vascular and cardiovascular surgery, which involves the use of alternative vascular synthetic materials or autologous vessels harvested from elsewhere in the body. For more information about our evaluation of market opportunity, see “Risk Factors — Risks Related to the Development and Commercialization of Our Product Candidates — 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pStyle w:val="TextBody"/>
        <w:bidi w:val="0"/>
        <w:spacing w:before="240" w:after="283"/>
        <w:jc w:val="center"/>
        <w:rPr/>
      </w:pPr>
      <w:r>
        <w:rPr/>
        <w:drawing>
          <wp:inline distT="0" distB="0" distL="0" distR="0">
            <wp:extent cx="6172200" cy="28289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172200" cy="2828925"/>
                    </a:xfrm>
                    <a:prstGeom prst="rect">
                      <a:avLst/>
                    </a:prstGeom>
                  </pic:spPr>
                </pic:pic>
              </a:graphicData>
            </a:graphic>
          </wp:inline>
        </w:drawing>
      </w:r>
    </w:p>
    <w:p>
      <w:pPr>
        <w:pStyle w:val="TextBody"/>
        <w:bidi w:val="0"/>
        <w:spacing w:before="200" w:after="283"/>
        <w:jc w:val="left"/>
        <w:rPr>
          <w:rFonts w:ascii="Times New Roman" w:hAnsi="Times New Roman"/>
          <w:sz w:val="20"/>
        </w:rPr>
      </w:pPr>
      <w:r>
        <w:rPr>
          <w:rFonts w:ascii="Times New Roman" w:hAnsi="Times New Roman"/>
          <w:color w:val="231F20"/>
          <w:sz w:val="20"/>
          <w:u w:val="single"/>
        </w:rPr>
        <w:t>Vascular Trauma</w:t>
      </w:r>
      <w:r>
        <w:rPr>
          <w:rFonts w:ascii="Times New Roman" w:hAnsi="Times New Roman"/>
          <w:color w:val="231F20"/>
          <w:sz w:val="20"/>
        </w:rPr>
        <w:t>: 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We estimate that central or peripheral vascular injuries in civilian patients account for approximately 150,000 of all injuries reported in global trauma patients. Furthermore, these injuries account for greater than 20% of all trauma-related deaths.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Civilian patients with central or peripheral vascular injuries are estimated to account for approximately 80,000 of all injuries reported in trauma patients in the United States, inclusive of urgent and iatrogenic vascular trauma injuries, and account for greater than 20% of all trauma-related deaths. Based on an analysis of the Definitive Healthcare Claims (DHC) Database 2023, we estimate that approximately 26,000 patients per year will be eligible for the ATEV within the United States (analysis was based on inclusion of patients with major repairs to injuries of the extremities, and the exclusion of patients with vein injuries, injuries to the torso, head, neck, wrist, hand, ankle or foot, or who received ligation or endovascular repair).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our ATEVs are a promising alternative that can address critical gaps in existing treatment options for acute vascular injuries due to trauma. We have developed our ATEVs with the goal of providing an effective solution in all time-constrained surgical environments and in resource-limited, infection prone civilian and battlefield conditions. The ability to provide immediately available, non-immunogenic, universally implantable human vessels that have low rates of infection represents a clinically significant advantage over existing treatment options. In addition, the Budget Impact Model for the ATEV,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published in the </w:t>
      </w:r>
      <w:r>
        <w:rPr>
          <w:rFonts w:ascii="Times New Roman" w:hAnsi="Times New Roman"/>
          <w:i/>
          <w:color w:val="000000"/>
          <w:sz w:val="20"/>
        </w:rPr>
        <w:t>Journal of Medical Economics</w:t>
      </w:r>
      <w:r>
        <w:rPr>
          <w:rFonts w:ascii="Times New Roman" w:hAnsi="Times New Roman"/>
          <w:color w:val="000000"/>
          <w:sz w:val="20"/>
        </w:rPr>
        <w:t xml:space="preserve"> in March 2025, reported that the ATEV was projected to be cost saving for both trauma centers and third-party payors, primarily due to reductions in the costs related to amputations and conduit infections.</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AV Access for Hemodialysis</w:t>
      </w:r>
      <w:r>
        <w:rPr>
          <w:rFonts w:ascii="Times New Roman" w:hAnsi="Times New Roman"/>
          <w:color w:val="231F20"/>
          <w:sz w:val="20"/>
        </w:rPr>
        <w:t>: An estimated $5 to $6 billion per year is spent on hospital admissions in hemodialysis patients with infection and access complications. In 2024, over 555,000 patients received hemodialysis in the United States. Annually, at least 160,000 existing or new dialysis patients require a new AV access in the U.S. and an additional 150,000 patients require a new AV access in Europe and Japan.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Hemodialysis patients are a chronically ill population, suffering an average of 1.8 hospital admissions, three visits to the emergency department, and four days hospitalized for infections each year. The two most common causes of hospital admissions in hemodialysis patients are infection and access complications. For hemodialysis patients, an infected access site can lead to sepsis, a life-threatening complication that is the most expensive cause for hospitalization in the United States and carries at least a 10% overall mortality rate.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believe that our ATEVs, when used as AV access for hemodialysis, can decrease infections and dialysis access failures, which would improve patient outcomes and lower the burden of dialysis costs on the healthcare system. Subject to the outcome of the interim data analysis of the V012 clinical trial, we expect to file a BLA with the FDA in the second half of 2026 seeking approval for the use of ATEV in AV access for hemodialysis, and to target our commercialization efforts particularly toward those patients who are at high risk of fistula failure or non-maturation, such as women and male patients with two risk factors, such as obesity and diabetes.</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Peripheral Artery Disease</w:t>
      </w:r>
      <w:r>
        <w:rPr>
          <w:rFonts w:ascii="Times New Roman" w:hAnsi="Times New Roman"/>
          <w:color w:val="231F20"/>
          <w:sz w:val="20"/>
        </w:rPr>
        <w:t>: PAD is a cardiovascular disease of blood vessels located outside the brain and heart. Atherosclerosis, which is the buildup of plaque along the artery walls, usually affects arteries in the legs, but it can also affect arteries that carry blood from the heart to the head, arms, kidneys, and intestines. We believe our ATEVs can be used as a bypass conduit in patients suffering from PAD in the legs. Peripheral arterial bypass procedures are common with over 230,000 PAD-related procedures reported annually in the U.S. There are over 200,000 peripheral bypass procedures per year in Europe, and approximately 220,000 per year in Asia.</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While endovascular techniques have become more available over the past ten years to treat an array of vascular occlusions, depending on the nature and length of the blockage these types of treatment options have had limited success and durability as compared to conventional surgical bypass. Both angioplasty and stenting procedures provide near term success, however long-term durability has remained a question, as highlighted in the results of the recent BEST-CLI clinical trial published in the </w:t>
      </w:r>
      <w:r>
        <w:rPr>
          <w:rFonts w:ascii="Times New Roman" w:hAnsi="Times New Roman"/>
          <w:i/>
          <w:color w:val="231F20"/>
          <w:sz w:val="20"/>
        </w:rPr>
        <w:t>New England Journal of Medicine</w:t>
      </w:r>
      <w:r>
        <w:rPr>
          <w:rFonts w:ascii="Times New Roman" w:hAnsi="Times New Roman"/>
          <w:color w:val="231F20"/>
          <w:sz w:val="20"/>
        </w:rPr>
        <w:t xml:space="preserve"> demonstrating that patients treated with surgical bypass had fewer major amputations and less need for repeat procedures than those treated with endovascular therapy.</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Type I Diabetes</w:t>
      </w:r>
      <w:r>
        <w:rPr>
          <w:rFonts w:ascii="Times New Roman" w:hAnsi="Times New Roman"/>
          <w:color w:val="231F20"/>
          <w:sz w:val="20"/>
        </w:rPr>
        <w:t>: Type 1 diabetes, caused by auto-immune destruction of insulin-producing cells in the islets of the pancreas, is a devastating disease affecting more than 1.5 million people in the United States, and costing at least $10 billion to $14 billion annually. In Europe and Asia, the number of patients suffering with Type 1 diabetes is estimated at approximately 2.8 million and 2.0 million, respectively. Even with the newer insulin delivery technologies, less than one-third of patients achieve consistent target blood sugar levels.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Pancreas transplantation is limited due to the associated morbidity and cost of a whole pancreas organ transplantation procedure. As an alternative to pancreas transplantation, the “Edmonton Protocol” has been developed whereby insulin producing cells are transplanted into the portal vein in the liver. However, the majority of the injected cells are lost to inflammation and clotting, and only 16% of Type 1 diabetes patients who receive the Protocol are cured long term.</w:t>
      </w:r>
    </w:p>
    <w:p>
      <w:pPr>
        <w:pStyle w:val="TextBody"/>
        <w:bidi w:val="0"/>
        <w:spacing w:before="200" w:after="283"/>
        <w:jc w:val="left"/>
        <w:rPr>
          <w:rFonts w:ascii="Times New Roman" w:hAnsi="Times New Roman"/>
          <w:sz w:val="20"/>
        </w:rPr>
      </w:pPr>
      <w:r>
        <w:rPr>
          <w:rFonts w:ascii="Times New Roman" w:hAnsi="Times New Roman"/>
          <w:color w:val="231F20"/>
          <w:sz w:val="20"/>
        </w:rPr>
        <w:t>We believe our ATEVs present a means to deliver a therapeutic number of pancreatic islets to patients with Type 1 diabetes. Pancreatic islets are embedded on the outer surface of our ATEV and may be implanted as an AV graft, analogous to the outpatient procedure done for hemodialysis access. After implantation, the islets may have the potential to sense blood glucose and then respond by secreting appropriate levels of insulin to maintain proper glucose levels in the blood. We have termed this new paradigm for pancreatic islet cell delivery the BioVascular Pancreas or “BVP</w:t>
      </w:r>
      <w:r>
        <w:rPr>
          <w:rFonts w:ascii="Times New Roman" w:hAnsi="Times New Roman"/>
          <w:color w:val="231F20"/>
          <w:sz w:val="13"/>
        </w:rPr>
        <w:t>TM</w:t>
      </w:r>
      <w:r>
        <w:rPr>
          <w:rFonts w:ascii="Times New Roman" w:hAnsi="Times New Roman"/>
          <w:color w:val="231F2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believe that a reliable, low-risk, and easily implantable islet cell delivery method that could ensure the survival and functionality of a therapeutic number of islet cells in a human adult would be transformational for the treatment of Type 1 diabetes.</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Coronary Artery Bypass Graft</w:t>
      </w:r>
      <w:r>
        <w:rPr>
          <w:rFonts w:ascii="Times New Roman" w:hAnsi="Times New Roman"/>
          <w:color w:val="231F20"/>
          <w:sz w:val="20"/>
        </w:rPr>
        <w:t>: CABG is a surgery used to treat a blockage or narrowing of one or more of the coronary arteries to restore the blood supply to the heart muscle. We believe our ATEVs can replace existing vascular substitutes and improve patient outcomes, particularly in obese patients or those suffering from diabetes, in whom the risks of saphenous vein harvesting are more substantial. CABG procedures are common, with more than 400,000 CABG procedures reported annually in the U.S. and over 800,000 annual CABG procedures globally.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Typically, a CABG operation involves the use of both the patient’s own artery and vein. In patients who are obese, have diabetes, or who are very elderly, there are higher risks for vein harvest complications, including failure to heal the vein harvest incision, infection, and prolonged swelling of the operative leg. Furthermore, complications from the vein harvest incision site are more common than complications from the chest incision in CABG patients. It is estimated that approximately 20% of patients requiring bypass surgery have no suitable grafts available, with sources reporting as high as 45% of CABG patients are without suitable autologous vein. In preclinical testing, we have evaluated a small diameter ATEV (“sdATEV”) which is 3.5mm in diameter and 20cm in length for use as a CABG conduit. Testing has been performed in non-human primates, pigs and sheep. We plan to utilize the collective preclinical data on the sdATEV to support an Investigational New Drug (“IND”) application to the FDA for CABG during 2025.</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Pediatric Heart Surgery</w:t>
      </w:r>
      <w:r>
        <w:rPr>
          <w:rFonts w:ascii="Times New Roman" w:hAnsi="Times New Roman"/>
          <w:color w:val="231F20"/>
          <w:sz w:val="20"/>
        </w:rPr>
        <w:t>: We have evaluated in preclinical testing a smaller diameter ATEV product for use in pediatric heart surgery as a Blalock Taussig (“BT”) shunt. The BT shunt is a surgical procedure that is used to increase pulmonary blood flow for the treatment of babies born with a complex congenital heart defect called Tetralogy of Fallot, a common type of “blue baby syndrome”. There are approximately 1,800 babies born in the United States with Tetralogy of Fallot each year. The BT shunt is a life-saving procedure for these babies, and we plan to submit an orphan drug application for use of our ATEV as a BT shunt for infants born with cyanotic congenital heart defects. Although 3 – 4mm inner diameter expanded polytetrafluoroethylene (“ePTFE”) grafts are currently used as the most common BT shunt, they suffer from limitations that impact morbidity and mortality in these infants.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Product Pipeline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highlights key information about the most active programs within our current product pipeline:</w:t>
      </w:r>
    </w:p>
    <w:p>
      <w:pPr>
        <w:pStyle w:val="TextBody"/>
        <w:bidi w:val="0"/>
        <w:spacing w:before="200" w:after="283"/>
        <w:jc w:val="center"/>
        <w:rPr/>
      </w:pPr>
      <w:r>
        <w:rPr/>
        <w:drawing>
          <wp:inline distT="0" distB="0" distL="0" distR="0">
            <wp:extent cx="6172200" cy="2076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6172200" cy="2076450"/>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began clinical evaluations of our ATEVs in December 2012, with the enrollment of the first Phase 2 patient in our V001 hemodialysis access trial in Europe. Since then, we have completed two pivotal and one Phase 2 trials in the United States, and currently have one pivotal trial actively enrolling and two trials in long-term follow-up. In clinical trials and in expanded access cases, ATEVs have been implanted in approximately 85 clinical centers in seven countries around the world, and by more than 100 practicing surgeons.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231F20"/>
          <w:sz w:val="20"/>
        </w:rPr>
        <w:t xml:space="preserve">Overview of Clinical Trials Assessing the Safety and Efficacy of the </w:t>
      </w:r>
      <w:r>
        <w:rPr>
          <w:rFonts w:ascii="Times New Roman" w:hAnsi="Times New Roman"/>
          <w:color w:val="231F20"/>
          <w:sz w:val="20"/>
        </w:rPr>
        <w:t xml:space="preserve">ATEV </w:t>
      </w:r>
      <w:r>
        <w:rPr>
          <w:rFonts w:ascii="Times New Roman" w:hAnsi="Times New Roman"/>
          <w:i/>
          <w:color w:val="231F20"/>
          <w:sz w:val="20"/>
        </w:rPr>
        <w:t>in Multiple Indications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6"/>
        <w:gridCol w:w="146"/>
        <w:gridCol w:w="677"/>
        <w:gridCol w:w="146"/>
        <w:gridCol w:w="691"/>
        <w:gridCol w:w="146"/>
        <w:gridCol w:w="1893"/>
        <w:gridCol w:w="146"/>
        <w:gridCol w:w="1967"/>
        <w:gridCol w:w="146"/>
        <w:gridCol w:w="1126"/>
        <w:gridCol w:w="146"/>
        <w:gridCol w:w="2379"/>
      </w:tblGrid>
      <w:tr>
        <w:trPr/>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79" w:type="dxa"/>
            <w:tcBorders/>
            <w:shd w:fill="FFFFFF" w:val="clear"/>
            <w:vAlign w:val="center"/>
          </w:tcPr>
          <w:p>
            <w:pPr>
              <w:pStyle w:val="TableContents"/>
              <w:bidi w:val="0"/>
              <w:spacing w:before="0" w:after="283"/>
              <w:jc w:val="left"/>
              <w:rPr>
                <w:sz w:val="4"/>
                <w:szCs w:val="4"/>
              </w:rPr>
            </w:pPr>
            <w:r>
              <w:rPr>
                <w:sz w:val="4"/>
                <w:szCs w:val="4"/>
              </w:rPr>
            </w:r>
          </w:p>
        </w:tc>
      </w:tr>
      <w:tr>
        <w:trPr/>
        <w:tc>
          <w:tcPr>
            <w:tcW w:w="596"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12"/>
              </w:rPr>
            </w:pPr>
            <w:r>
              <w:rPr>
                <w:rFonts w:ascii="Times New Roman" w:hAnsi="Times New Roman"/>
                <w:b/>
                <w:color w:val="000000"/>
                <w:sz w:val="12"/>
              </w:rPr>
              <w:t>Clinical Trial</w:t>
            </w:r>
          </w:p>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Indication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Begin</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Enrollment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Design/Phase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Number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Subjects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Status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7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Outcomes**</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Vascular Trauma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2/3 Single-arm Historical Comparator Unblinded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 total. Primary analysis based on a total of 51 patients with injuries of extremities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BLA approved by FDA December 19,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84.3%</w:t>
            </w:r>
          </w:p>
          <w:p>
            <w:pPr>
              <w:pStyle w:val="TableContents"/>
              <w:bidi w:val="0"/>
              <w:jc w:val="left"/>
              <w:rPr>
                <w:rFonts w:ascii="Times New Roman" w:hAnsi="Times New Roman"/>
                <w:color w:val="000000"/>
                <w:sz w:val="12"/>
              </w:rPr>
            </w:pPr>
            <w:r>
              <w:rPr>
                <w:rFonts w:ascii="Times New Roman" w:hAnsi="Times New Roman"/>
                <w:color w:val="000000"/>
                <w:sz w:val="12"/>
              </w:rPr>
              <w:t xml:space="preserve">30-day SP: 90.2% </w:t>
            </w:r>
          </w:p>
          <w:p>
            <w:pPr>
              <w:pStyle w:val="TableContents"/>
              <w:bidi w:val="0"/>
              <w:jc w:val="left"/>
              <w:rPr>
                <w:rFonts w:ascii="Times New Roman" w:hAnsi="Times New Roman"/>
                <w:color w:val="000000"/>
                <w:sz w:val="12"/>
              </w:rPr>
            </w:pPr>
            <w:r>
              <w:rPr>
                <w:rFonts w:ascii="Times New Roman" w:hAnsi="Times New Roman"/>
                <w:color w:val="000000"/>
                <w:sz w:val="12"/>
              </w:rPr>
              <w:t>Infection Rate: 2.0%</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Amputation Rate: 9.8%</w:t>
            </w:r>
          </w:p>
        </w:tc>
      </w:tr>
      <w:tr>
        <w:trPr/>
        <w:tc>
          <w:tcPr>
            <w:tcW w:w="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Vascular Trauma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 xml:space="preserve">Retrospective observational study to evaluate the </w:t>
            </w:r>
            <w:r>
              <w:rPr>
                <w:rFonts w:ascii="Times New Roman" w:hAnsi="Times New Roman"/>
                <w:color w:val="231F20"/>
                <w:sz w:val="12"/>
              </w:rPr>
              <w:t>ATEV</w:t>
            </w:r>
            <w:r>
              <w:rPr>
                <w:rFonts w:ascii="Times New Roman" w:hAnsi="Times New Roman"/>
                <w:color w:val="000000"/>
                <w:sz w:val="12"/>
              </w:rPr>
              <w:t> in real-world setting of humanitarian program conducted during wartime in Ukraine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19 total treated under humanitarian program. 17 consented for inclusion in study, 16 of whom had injuries of extremities and were included in primary analysis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Included in BLA submission approved by FDA December 19,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93.8%</w:t>
            </w:r>
          </w:p>
          <w:p>
            <w:pPr>
              <w:pStyle w:val="TableContents"/>
              <w:bidi w:val="0"/>
              <w:jc w:val="left"/>
              <w:rPr>
                <w:rFonts w:ascii="Times New Roman" w:hAnsi="Times New Roman"/>
                <w:color w:val="000000"/>
                <w:sz w:val="12"/>
              </w:rPr>
            </w:pPr>
            <w:r>
              <w:rPr>
                <w:rFonts w:ascii="Times New Roman" w:hAnsi="Times New Roman"/>
                <w:color w:val="000000"/>
                <w:sz w:val="12"/>
              </w:rPr>
              <w:t xml:space="preserve">30-day SP: 93.8% </w:t>
            </w:r>
          </w:p>
          <w:p>
            <w:pPr>
              <w:pStyle w:val="TableContents"/>
              <w:bidi w:val="0"/>
              <w:jc w:val="left"/>
              <w:rPr>
                <w:rFonts w:ascii="Times New Roman" w:hAnsi="Times New Roman"/>
                <w:color w:val="000000"/>
                <w:sz w:val="12"/>
              </w:rPr>
            </w:pPr>
            <w:r>
              <w:rPr>
                <w:rFonts w:ascii="Times New Roman" w:hAnsi="Times New Roman"/>
                <w:color w:val="000000"/>
                <w:sz w:val="12"/>
              </w:rPr>
              <w:t>Infection Rate: 0%</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Amputation Rate: 0%</w:t>
            </w:r>
          </w:p>
        </w:tc>
      </w:tr>
      <w:tr>
        <w:trPr/>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Dialysis Access</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Dialysis Access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2 Single-arm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95%</w:t>
            </w:r>
          </w:p>
          <w:p>
            <w:pPr>
              <w:pStyle w:val="TableContents"/>
              <w:bidi w:val="0"/>
              <w:jc w:val="left"/>
              <w:rPr>
                <w:rFonts w:ascii="Times New Roman" w:hAnsi="Times New Roman"/>
                <w:color w:val="000000"/>
                <w:sz w:val="12"/>
              </w:rPr>
            </w:pPr>
            <w:r>
              <w:rPr>
                <w:rFonts w:ascii="Times New Roman" w:hAnsi="Times New Roman"/>
                <w:color w:val="000000"/>
                <w:sz w:val="12"/>
              </w:rPr>
              <w:t xml:space="preserve">6-month SP: 100% </w:t>
            </w:r>
          </w:p>
          <w:p>
            <w:pPr>
              <w:pStyle w:val="TableContents"/>
              <w:bidi w:val="0"/>
              <w:jc w:val="left"/>
              <w:rPr>
                <w:rFonts w:ascii="Times New Roman" w:hAnsi="Times New Roman"/>
                <w:color w:val="000000"/>
                <w:sz w:val="12"/>
              </w:rPr>
            </w:pPr>
            <w:r>
              <w:rPr>
                <w:rFonts w:ascii="Times New Roman" w:hAnsi="Times New Roman"/>
                <w:color w:val="000000"/>
                <w:sz w:val="12"/>
              </w:rPr>
              <w:t>12-month SP: 97%</w:t>
            </w:r>
          </w:p>
          <w:p>
            <w:pPr>
              <w:pStyle w:val="TableContents"/>
              <w:bidi w:val="0"/>
              <w:jc w:val="left"/>
              <w:rPr>
                <w:rFonts w:ascii="Times New Roman" w:hAnsi="Times New Roman"/>
                <w:color w:val="000000"/>
                <w:sz w:val="12"/>
              </w:rPr>
            </w:pPr>
            <w:r>
              <w:rPr>
                <w:rFonts w:ascii="Times New Roman" w:hAnsi="Times New Roman"/>
                <w:color w:val="000000"/>
                <w:sz w:val="12"/>
              </w:rPr>
              <w:t>60-month SP: 58%</w:t>
            </w:r>
          </w:p>
          <w:p>
            <w:pPr>
              <w:pStyle w:val="TableContents"/>
              <w:bidi w:val="0"/>
              <w:jc w:val="left"/>
              <w:rPr>
                <w:rFonts w:ascii="Times New Roman" w:hAnsi="Times New Roman"/>
                <w:color w:val="000000"/>
                <w:sz w:val="12"/>
              </w:rPr>
            </w:pPr>
            <w:r>
              <w:rPr>
                <w:rFonts w:ascii="Times New Roman" w:hAnsi="Times New Roman"/>
                <w:color w:val="000000"/>
                <w:sz w:val="12"/>
              </w:rPr>
              <w:t>Infection Rate/yr: 0%</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Number of Rejections: 0</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Dialysis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2 Single-arm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Completed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95%</w:t>
            </w:r>
          </w:p>
          <w:p>
            <w:pPr>
              <w:pStyle w:val="TableContents"/>
              <w:bidi w:val="0"/>
              <w:jc w:val="left"/>
              <w:rPr>
                <w:rFonts w:ascii="Times New Roman" w:hAnsi="Times New Roman"/>
                <w:color w:val="000000"/>
                <w:sz w:val="12"/>
              </w:rPr>
            </w:pPr>
            <w:r>
              <w:rPr>
                <w:rFonts w:ascii="Times New Roman" w:hAnsi="Times New Roman"/>
                <w:color w:val="000000"/>
                <w:sz w:val="12"/>
              </w:rPr>
              <w:t>6-month SP: 89%</w:t>
            </w:r>
          </w:p>
          <w:p>
            <w:pPr>
              <w:pStyle w:val="TableContents"/>
              <w:bidi w:val="0"/>
              <w:jc w:val="left"/>
              <w:rPr>
                <w:rFonts w:ascii="Times New Roman" w:hAnsi="Times New Roman"/>
                <w:color w:val="000000"/>
                <w:sz w:val="12"/>
              </w:rPr>
            </w:pPr>
            <w:r>
              <w:rPr>
                <w:rFonts w:ascii="Times New Roman" w:hAnsi="Times New Roman"/>
                <w:color w:val="000000"/>
                <w:sz w:val="12"/>
              </w:rPr>
              <w:t>12-month SP: 81%</w:t>
            </w:r>
          </w:p>
          <w:p>
            <w:pPr>
              <w:pStyle w:val="TableContents"/>
              <w:bidi w:val="0"/>
              <w:jc w:val="left"/>
              <w:rPr>
                <w:rFonts w:ascii="Times New Roman" w:hAnsi="Times New Roman"/>
                <w:color w:val="000000"/>
                <w:sz w:val="12"/>
              </w:rPr>
            </w:pPr>
            <w:r>
              <w:rPr>
                <w:rFonts w:ascii="Times New Roman" w:hAnsi="Times New Roman"/>
                <w:color w:val="000000"/>
                <w:sz w:val="12"/>
              </w:rPr>
              <w:t xml:space="preserve">Infection Rate/yr: 4% (1 event) </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Number of Rejections: 0</w:t>
            </w:r>
          </w:p>
        </w:tc>
      </w:tr>
      <w:tr>
        <w:trPr/>
        <w:tc>
          <w:tcPr>
            <w:tcW w:w="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Dialysis Access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3 Prospective Randomized Blinded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 xml:space="preserve">355 total; 177 received </w:t>
            </w:r>
            <w:r>
              <w:rPr>
                <w:rFonts w:ascii="Times New Roman" w:hAnsi="Times New Roman"/>
                <w:color w:val="231F20"/>
                <w:sz w:val="12"/>
              </w:rPr>
              <w:t>ATEV,</w:t>
            </w:r>
            <w:r>
              <w:rPr>
                <w:rFonts w:ascii="Times New Roman" w:hAnsi="Times New Roman"/>
                <w:color w:val="000000"/>
                <w:sz w:val="12"/>
              </w:rPr>
              <w:t> 178 received ePTFE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sz w:val="12"/>
              </w:rPr>
            </w:pPr>
            <w:r>
              <w:rPr>
                <w:rFonts w:ascii="Times New Roman" w:hAnsi="Times New Roman"/>
                <w:color w:val="000000"/>
                <w:sz w:val="12"/>
              </w:rPr>
              <w:t xml:space="preserve">30-day PP </w:t>
            </w:r>
            <w:r>
              <w:rPr>
                <w:rFonts w:ascii="Times New Roman" w:hAnsi="Times New Roman"/>
                <w:color w:val="231F20"/>
                <w:sz w:val="12"/>
              </w:rPr>
              <w:t>ATEV</w:t>
            </w:r>
            <w:r>
              <w:rPr>
                <w:rFonts w:ascii="Times New Roman" w:hAnsi="Times New Roman"/>
                <w:color w:val="000000"/>
                <w:sz w:val="12"/>
              </w:rPr>
              <w:t>: 93%</w:t>
            </w:r>
          </w:p>
          <w:p>
            <w:pPr>
              <w:pStyle w:val="TableContents"/>
              <w:bidi w:val="0"/>
              <w:jc w:val="left"/>
              <w:rPr>
                <w:rFonts w:ascii="Times New Roman" w:hAnsi="Times New Roman"/>
                <w:sz w:val="12"/>
              </w:rPr>
            </w:pPr>
            <w:r>
              <w:rPr>
                <w:rFonts w:ascii="Times New Roman" w:hAnsi="Times New Roman"/>
                <w:color w:val="000000"/>
                <w:sz w:val="12"/>
              </w:rPr>
              <w:t xml:space="preserve">12-month SP </w:t>
            </w:r>
            <w:r>
              <w:rPr>
                <w:rFonts w:ascii="Times New Roman" w:hAnsi="Times New Roman"/>
                <w:color w:val="231F20"/>
                <w:sz w:val="12"/>
              </w:rPr>
              <w:t>ATEV</w:t>
            </w:r>
            <w:r>
              <w:rPr>
                <w:rFonts w:ascii="Times New Roman" w:hAnsi="Times New Roman"/>
                <w:color w:val="000000"/>
                <w:sz w:val="12"/>
              </w:rPr>
              <w:t>: 82%</w:t>
            </w:r>
          </w:p>
          <w:p>
            <w:pPr>
              <w:pStyle w:val="TableContents"/>
              <w:bidi w:val="0"/>
              <w:jc w:val="left"/>
              <w:rPr>
                <w:rFonts w:ascii="Times New Roman" w:hAnsi="Times New Roman"/>
                <w:sz w:val="12"/>
              </w:rPr>
            </w:pPr>
            <w:r>
              <w:rPr>
                <w:rFonts w:ascii="Times New Roman" w:hAnsi="Times New Roman"/>
                <w:color w:val="000000"/>
                <w:sz w:val="12"/>
              </w:rPr>
              <w:t xml:space="preserve">24-month SP </w:t>
            </w:r>
            <w:r>
              <w:rPr>
                <w:rFonts w:ascii="Times New Roman" w:hAnsi="Times New Roman"/>
                <w:color w:val="231F20"/>
                <w:sz w:val="12"/>
              </w:rPr>
              <w:t>ATEV</w:t>
            </w:r>
            <w:r>
              <w:rPr>
                <w:rFonts w:ascii="Times New Roman" w:hAnsi="Times New Roman"/>
                <w:color w:val="000000"/>
                <w:sz w:val="12"/>
              </w:rPr>
              <w:t>: 67%</w:t>
            </w:r>
          </w:p>
          <w:p>
            <w:pPr>
              <w:pStyle w:val="TableContents"/>
              <w:bidi w:val="0"/>
              <w:jc w:val="left"/>
              <w:rPr>
                <w:rFonts w:ascii="Times New Roman" w:hAnsi="Times New Roman"/>
                <w:color w:val="000000"/>
                <w:sz w:val="12"/>
              </w:rPr>
            </w:pPr>
            <w:r>
              <w:rPr>
                <w:rFonts w:ascii="Times New Roman" w:hAnsi="Times New Roman"/>
                <w:color w:val="000000"/>
                <w:sz w:val="12"/>
              </w:rPr>
              <w:t>12-month SP ePTFE: 80%</w:t>
            </w:r>
          </w:p>
          <w:p>
            <w:pPr>
              <w:pStyle w:val="TableContents"/>
              <w:bidi w:val="0"/>
              <w:jc w:val="left"/>
              <w:rPr>
                <w:rFonts w:ascii="Times New Roman" w:hAnsi="Times New Roman"/>
                <w:sz w:val="12"/>
              </w:rPr>
            </w:pPr>
            <w:r>
              <w:rPr>
                <w:rFonts w:ascii="Times New Roman" w:hAnsi="Times New Roman"/>
                <w:color w:val="000000"/>
                <w:sz w:val="12"/>
              </w:rPr>
              <w:t xml:space="preserve">24-month SP ePTFE: 74% Infection Rate </w:t>
            </w:r>
            <w:r>
              <w:rPr>
                <w:rFonts w:ascii="Times New Roman" w:hAnsi="Times New Roman"/>
                <w:color w:val="231F20"/>
                <w:sz w:val="12"/>
              </w:rPr>
              <w:t>ATEV</w:t>
            </w:r>
            <w:r>
              <w:rPr>
                <w:rFonts w:ascii="Times New Roman" w:hAnsi="Times New Roman"/>
                <w:color w:val="000000"/>
                <w:sz w:val="12"/>
              </w:rPr>
              <w:t>/yr: 0.93%</w:t>
            </w:r>
          </w:p>
          <w:p>
            <w:pPr>
              <w:pStyle w:val="TableContents"/>
              <w:bidi w:val="0"/>
              <w:jc w:val="left"/>
              <w:rPr>
                <w:rFonts w:ascii="Times New Roman" w:hAnsi="Times New Roman"/>
                <w:color w:val="000000"/>
                <w:sz w:val="12"/>
              </w:rPr>
            </w:pPr>
            <w:r>
              <w:rPr>
                <w:rFonts w:ascii="Times New Roman" w:hAnsi="Times New Roman"/>
                <w:color w:val="000000"/>
                <w:sz w:val="12"/>
              </w:rPr>
              <w:t xml:space="preserve">Infection Rate ePTFE/yr: 4.5% </w:t>
            </w:r>
          </w:p>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Number of </w:t>
            </w:r>
            <w:r>
              <w:rPr>
                <w:rFonts w:ascii="Times New Roman" w:hAnsi="Times New Roman"/>
                <w:color w:val="231F20"/>
                <w:sz w:val="12"/>
              </w:rPr>
              <w:t>ATEV</w:t>
            </w:r>
            <w:r>
              <w:rPr>
                <w:rFonts w:ascii="Times New Roman" w:hAnsi="Times New Roman"/>
                <w:color w:val="000000"/>
                <w:sz w:val="12"/>
              </w:rPr>
              <w:t> Rejections: 0</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Dialysis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3 Prospective Randomized Blinded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242 total; 123 received ATEV, 119 received AVF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Topline results reported August 2024, two-year follow-up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6-month SP ATEV: 81%</w:t>
            </w:r>
          </w:p>
          <w:p>
            <w:pPr>
              <w:pStyle w:val="TableContents"/>
              <w:bidi w:val="0"/>
              <w:jc w:val="left"/>
              <w:rPr>
                <w:rFonts w:ascii="Times New Roman" w:hAnsi="Times New Roman"/>
                <w:color w:val="000000"/>
                <w:sz w:val="12"/>
              </w:rPr>
            </w:pPr>
            <w:r>
              <w:rPr>
                <w:rFonts w:ascii="Times New Roman" w:hAnsi="Times New Roman"/>
                <w:color w:val="000000"/>
                <w:sz w:val="12"/>
              </w:rPr>
              <w:t>12-month SP ATEV: 68%</w:t>
            </w:r>
          </w:p>
          <w:p>
            <w:pPr>
              <w:pStyle w:val="TableContents"/>
              <w:bidi w:val="0"/>
              <w:jc w:val="left"/>
              <w:rPr>
                <w:rFonts w:ascii="Times New Roman" w:hAnsi="Times New Roman"/>
                <w:color w:val="000000"/>
                <w:sz w:val="12"/>
              </w:rPr>
            </w:pPr>
            <w:r>
              <w:rPr>
                <w:rFonts w:ascii="Times New Roman" w:hAnsi="Times New Roman"/>
                <w:color w:val="000000"/>
                <w:sz w:val="12"/>
              </w:rPr>
              <w:t>6-month SP AVF: 66%</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12-month SP AVF: 62%</w:t>
            </w:r>
          </w:p>
        </w:tc>
      </w:tr>
      <w:tr>
        <w:trPr/>
        <w:tc>
          <w:tcPr>
            <w:tcW w:w="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Dialysis Access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2 (LUNA200 Manufacturing System Bridging Study)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97%</w:t>
            </w:r>
          </w:p>
          <w:p>
            <w:pPr>
              <w:pStyle w:val="TableContents"/>
              <w:bidi w:val="0"/>
              <w:jc w:val="left"/>
              <w:rPr>
                <w:rFonts w:ascii="Times New Roman" w:hAnsi="Times New Roman"/>
                <w:color w:val="000000"/>
                <w:sz w:val="12"/>
              </w:rPr>
            </w:pPr>
            <w:r>
              <w:rPr>
                <w:rFonts w:ascii="Times New Roman" w:hAnsi="Times New Roman"/>
                <w:color w:val="000000"/>
                <w:sz w:val="12"/>
              </w:rPr>
              <w:t>30-day SP: 100%</w:t>
            </w:r>
          </w:p>
          <w:p>
            <w:pPr>
              <w:pStyle w:val="TableContents"/>
              <w:bidi w:val="0"/>
              <w:jc w:val="left"/>
              <w:rPr>
                <w:rFonts w:ascii="Times New Roman" w:hAnsi="Times New Roman"/>
                <w:color w:val="000000"/>
                <w:sz w:val="12"/>
              </w:rPr>
            </w:pPr>
            <w:r>
              <w:rPr>
                <w:rFonts w:ascii="Times New Roman" w:hAnsi="Times New Roman"/>
                <w:color w:val="000000"/>
                <w:sz w:val="12"/>
              </w:rPr>
              <w:t>12-month SP: 83%</w:t>
            </w:r>
          </w:p>
          <w:p>
            <w:pPr>
              <w:pStyle w:val="TableContents"/>
              <w:bidi w:val="0"/>
              <w:jc w:val="left"/>
              <w:rPr>
                <w:rFonts w:ascii="Times New Roman" w:hAnsi="Times New Roman"/>
                <w:sz w:val="12"/>
              </w:rPr>
            </w:pPr>
            <w:r>
              <w:rPr>
                <w:rFonts w:ascii="Times New Roman" w:hAnsi="Times New Roman"/>
                <w:color w:val="000000"/>
                <w:sz w:val="12"/>
              </w:rPr>
              <w:t xml:space="preserve">Infection Rate </w:t>
            </w:r>
            <w:r>
              <w:rPr>
                <w:rFonts w:ascii="Times New Roman" w:hAnsi="Times New Roman"/>
                <w:color w:val="231F20"/>
                <w:sz w:val="12"/>
              </w:rPr>
              <w:t>ATEV</w:t>
            </w:r>
            <w:r>
              <w:rPr>
                <w:rFonts w:ascii="Times New Roman" w:hAnsi="Times New Roman"/>
                <w:color w:val="000000"/>
                <w:sz w:val="12"/>
              </w:rPr>
              <w:t xml:space="preserve">/yr: 0% </w:t>
            </w:r>
          </w:p>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Number of </w:t>
            </w:r>
            <w:r>
              <w:rPr>
                <w:rFonts w:ascii="Times New Roman" w:hAnsi="Times New Roman"/>
                <w:color w:val="231F20"/>
                <w:sz w:val="12"/>
              </w:rPr>
              <w:t>ATEV</w:t>
            </w:r>
            <w:r>
              <w:rPr>
                <w:rFonts w:ascii="Times New Roman" w:hAnsi="Times New Roman"/>
                <w:color w:val="000000"/>
                <w:sz w:val="12"/>
              </w:rPr>
              <w:t> Rejections: 0</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Dialysis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3 Prospective Randomized Blinded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Target 150 women total, 113 currently enrolled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Enrollment ongoing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Trial is currently enrolling, interim analysis planned on first 80 patients after one-year of follow up. The 80th patient is expected to complete one year of follow up in April 2026.</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Peripheral Artery Disease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2 Single-arm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10-year follow-up ongoing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100%</w:t>
            </w:r>
          </w:p>
          <w:p>
            <w:pPr>
              <w:pStyle w:val="TableContents"/>
              <w:bidi w:val="0"/>
              <w:jc w:val="left"/>
              <w:rPr>
                <w:rFonts w:ascii="Times New Roman" w:hAnsi="Times New Roman"/>
                <w:color w:val="000000"/>
                <w:sz w:val="12"/>
              </w:rPr>
            </w:pPr>
            <w:r>
              <w:rPr>
                <w:rFonts w:ascii="Times New Roman" w:hAnsi="Times New Roman"/>
                <w:color w:val="000000"/>
                <w:sz w:val="12"/>
              </w:rPr>
              <w:t>6-month SP: 84%</w:t>
            </w:r>
          </w:p>
          <w:p>
            <w:pPr>
              <w:pStyle w:val="TableContents"/>
              <w:bidi w:val="0"/>
              <w:jc w:val="left"/>
              <w:rPr>
                <w:rFonts w:ascii="Times New Roman" w:hAnsi="Times New Roman"/>
                <w:color w:val="000000"/>
                <w:sz w:val="12"/>
              </w:rPr>
            </w:pPr>
            <w:r>
              <w:rPr>
                <w:rFonts w:ascii="Times New Roman" w:hAnsi="Times New Roman"/>
                <w:color w:val="000000"/>
                <w:sz w:val="12"/>
              </w:rPr>
              <w:t>12-month SP: 84%</w:t>
            </w:r>
          </w:p>
          <w:p>
            <w:pPr>
              <w:pStyle w:val="TableContents"/>
              <w:bidi w:val="0"/>
              <w:jc w:val="left"/>
              <w:rPr>
                <w:rFonts w:ascii="Times New Roman" w:hAnsi="Times New Roman"/>
                <w:color w:val="000000"/>
                <w:sz w:val="12"/>
              </w:rPr>
            </w:pPr>
            <w:r>
              <w:rPr>
                <w:rFonts w:ascii="Times New Roman" w:hAnsi="Times New Roman"/>
                <w:color w:val="000000"/>
                <w:sz w:val="12"/>
              </w:rPr>
              <w:t>72-month SP: 60%</w:t>
            </w:r>
          </w:p>
          <w:p>
            <w:pPr>
              <w:pStyle w:val="TableContents"/>
              <w:bidi w:val="0"/>
              <w:jc w:val="left"/>
              <w:rPr>
                <w:rFonts w:ascii="Times New Roman" w:hAnsi="Times New Roman"/>
                <w:color w:val="000000"/>
                <w:sz w:val="12"/>
              </w:rPr>
            </w:pPr>
            <w:r>
              <w:rPr>
                <w:rFonts w:ascii="Times New Roman" w:hAnsi="Times New Roman"/>
                <w:color w:val="000000"/>
                <w:sz w:val="12"/>
              </w:rPr>
              <w:t>Infection Rate/yr: 0%</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Number of Rejections: 0</w:t>
            </w:r>
          </w:p>
        </w:tc>
      </w:tr>
      <w:tr>
        <w:trPr/>
        <w:tc>
          <w:tcPr>
            <w:tcW w:w="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V004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PAD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Phase 2 Single-arm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30-day PP: 100%</w:t>
            </w:r>
          </w:p>
          <w:p>
            <w:pPr>
              <w:pStyle w:val="TableContents"/>
              <w:bidi w:val="0"/>
              <w:jc w:val="left"/>
              <w:rPr>
                <w:rFonts w:ascii="Times New Roman" w:hAnsi="Times New Roman"/>
                <w:color w:val="000000"/>
                <w:sz w:val="12"/>
              </w:rPr>
            </w:pPr>
            <w:r>
              <w:rPr>
                <w:rFonts w:ascii="Times New Roman" w:hAnsi="Times New Roman"/>
                <w:color w:val="000000"/>
                <w:sz w:val="12"/>
              </w:rPr>
              <w:t>6-month SP: 86%</w:t>
            </w:r>
          </w:p>
          <w:p>
            <w:pPr>
              <w:pStyle w:val="TableContents"/>
              <w:bidi w:val="0"/>
              <w:jc w:val="left"/>
              <w:rPr>
                <w:rFonts w:ascii="Times New Roman" w:hAnsi="Times New Roman"/>
                <w:color w:val="000000"/>
                <w:sz w:val="12"/>
              </w:rPr>
            </w:pPr>
            <w:r>
              <w:rPr>
                <w:rFonts w:ascii="Times New Roman" w:hAnsi="Times New Roman"/>
                <w:color w:val="000000"/>
                <w:sz w:val="12"/>
              </w:rPr>
              <w:t>12-month SP: 64%</w:t>
            </w:r>
          </w:p>
          <w:p>
            <w:pPr>
              <w:pStyle w:val="TableContents"/>
              <w:bidi w:val="0"/>
              <w:jc w:val="left"/>
              <w:rPr>
                <w:rFonts w:ascii="Times New Roman" w:hAnsi="Times New Roman"/>
                <w:color w:val="000000"/>
                <w:sz w:val="12"/>
              </w:rPr>
            </w:pPr>
            <w:r>
              <w:rPr>
                <w:rFonts w:ascii="Times New Roman" w:hAnsi="Times New Roman"/>
                <w:color w:val="000000"/>
                <w:sz w:val="12"/>
              </w:rPr>
              <w:t>Infection Rate/yr: 0%</w:t>
            </w:r>
          </w:p>
          <w:p>
            <w:pPr>
              <w:pStyle w:val="TableContents"/>
              <w:bidi w:val="0"/>
              <w:jc w:val="left"/>
              <w:rPr>
                <w:rFonts w:ascii="Times New Roman" w:hAnsi="Times New Roman"/>
                <w:color w:val="000000"/>
                <w:sz w:val="12"/>
              </w:rPr>
            </w:pPr>
            <w:r>
              <w:rPr>
                <w:rFonts w:ascii="Times New Roman" w:hAnsi="Times New Roman"/>
                <w:color w:val="000000"/>
                <w:sz w:val="12"/>
              </w:rPr>
              <w:t>Number of Rejections: 0</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Number of Amputations: 0</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18"/>
        </w:rPr>
      </w:pPr>
      <w:r>
        <w:rPr>
          <w:rFonts w:ascii="Times New Roman" w:hAnsi="Times New Roman"/>
          <w:color w:val="231F20"/>
          <w:sz w:val="18"/>
        </w:rPr>
        <w:t>** PP: Primary Patency, which is the interval of time of access placement until any intervention designed to maintain or reestablish patency, access thrombosis, or the time of measurement of patency, i.e. patent without interventions.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18"/>
        </w:rPr>
      </w:pPr>
      <w:r>
        <w:rPr>
          <w:rFonts w:ascii="Times New Roman" w:hAnsi="Times New Roman"/>
          <w:color w:val="231F20"/>
          <w:sz w:val="18"/>
        </w:rPr>
        <w:t>SP: Secondary Patency, which is the interval from the time of access placement until abandonment, i.e. patent with or without interventions.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approximately 636 patients worldwide have received our ATEVs in clinical trials, and expanded access and humanitarian programs, for the treatment of vascular trauma, AV access for hemodialysis, PAD, and in expanded access cases resulting in approximately 1,363 subject-years of exposure to the ATEV, in each case excluding additional patients that have received our ATEVs following the U.S. commercial launch of Symvess in the vascular trauma indication. Our cumulative ATEV exposure in clinical trials is approximately 1,026 subject-years in the hemodialysis access population, 216 subject-years in the PAD population, and 121 subject-years in the arterial trauma population. The longest our ATEV has been in a patient and used for dialysis is more than ten years. A total of 30 expanded access/compassionate use cases have been granted by the FDA, and another 35 patients with severe PAD have been treated with the ATEV under an investigator IND at the Mayo Clinic. Lastly, 19 patients suffering vascular injuries during the conflict in Ukraine have been treated with the ATEV under a humanitarian program. Throughout all of these trials and other programs, we have observed that our ATEVs functioned as intended and provided functional blood flow to affected limbs. We have also observed consistent durability with a strong tolerability profile. Furthermore, we have observed no evidence of clinically relevant immunologic reactions to our ATEVs, supporting the potential use of our ATEVs as off-the-shelf, universally implantable, bioengineered human tissues.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Overall, the ATEV has functioned well and as intended, across ten different clinical trials in three clinical indications. As of December 31, 2025, the ATEV has been implanted in patients in clinical trials across more than 85 clinical sites in seven countries, over more than ten years. We have observed zero instances of clinical rejection of the ATEV in any clinical trial over the past ten years, suggesting that the ATEV was not immunologically rejected after implantation.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Based on clinical trial results to date, we have observed that the ATEVs have a low infection rate, with an infection rate averaging approximately 1.0% or less per patient-year in our AV access trials, and low infection rates in our trauma and PAD trials (ranging from 0% to approximately 2%, depending on the trial and indication). Vascular graft infections are a potentially serious complication and can result in adverse outcomes such as sepsis, hospitalization, long-term antibiotic use, repeat procedures and even death.</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ATEVs Remodel with Host Cells After Implantation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Additionally, based on clinical samples obtained during our Phase 2 AV access trials and published in three peer reviewed journals, </w:t>
      </w:r>
      <w:r>
        <w:rPr>
          <w:rFonts w:ascii="Times New Roman" w:hAnsi="Times New Roman"/>
          <w:i/>
          <w:color w:val="231F20"/>
          <w:sz w:val="20"/>
        </w:rPr>
        <w:t xml:space="preserve">The Lancet </w:t>
      </w:r>
      <w:r>
        <w:rPr>
          <w:rFonts w:ascii="Times New Roman" w:hAnsi="Times New Roman"/>
          <w:color w:val="231F20"/>
          <w:sz w:val="20"/>
        </w:rPr>
        <w:t xml:space="preserve">in 2016, </w:t>
      </w:r>
      <w:r>
        <w:rPr>
          <w:rFonts w:ascii="Times New Roman" w:hAnsi="Times New Roman"/>
          <w:i/>
          <w:color w:val="231F20"/>
          <w:sz w:val="20"/>
        </w:rPr>
        <w:t xml:space="preserve">Science Translational Medicine </w:t>
      </w:r>
      <w:r>
        <w:rPr>
          <w:rFonts w:ascii="Times New Roman" w:hAnsi="Times New Roman"/>
          <w:color w:val="231F20"/>
          <w:sz w:val="20"/>
        </w:rPr>
        <w:t xml:space="preserve">in 2019, and in the </w:t>
      </w:r>
      <w:r>
        <w:rPr>
          <w:rFonts w:ascii="Times New Roman" w:hAnsi="Times New Roman"/>
          <w:i/>
          <w:color w:val="231F20"/>
          <w:sz w:val="20"/>
        </w:rPr>
        <w:t xml:space="preserve">Journal of Vascular Surgery </w:t>
      </w:r>
      <w:r>
        <w:rPr>
          <w:rFonts w:ascii="Times New Roman" w:hAnsi="Times New Roman"/>
          <w:color w:val="231F20"/>
          <w:sz w:val="20"/>
        </w:rPr>
        <w:t>in 2020, we observed that the ATEV became populated with healthy, vascular cells from the patient. As described in these publications, over time the patient’s cells have been observed to transform the ATEV into a multi-layered living tissue similar to native blood vessels. In these trials we have also observed ongoing cellular repair of ATEV tissues that had been previously injured during cannulation with dialysis needles, which suggests that the recellularized ATEV may be capable of self-healing. The image below shows an ATEV that had been implanted in a hemodialysis patient for 44 weeks, that had developed alpha-actin positive vascular smooth muscle cells throughout the wall (red staining in the left-hand panel), and had developed a layer of CD31+ endothelial cells on the inner luminal surface of the ATEV (line of red endothelial cells indicated in the right-hand panel).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Histological Images of ATEV Repopulated with the Patient’s Own Vascular Cells</w:t>
      </w:r>
    </w:p>
    <w:p>
      <w:pPr>
        <w:pStyle w:val="TextBody"/>
        <w:bidi w:val="0"/>
        <w:spacing w:before="200" w:after="283"/>
        <w:jc w:val="center"/>
        <w:rPr/>
      </w:pPr>
      <w:r>
        <w:rPr/>
        <w:drawing>
          <wp:inline distT="0" distB="0" distL="0" distR="0">
            <wp:extent cx="5514975" cy="24193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5514975" cy="2419350"/>
                    </a:xfrm>
                    <a:prstGeom prst="rect">
                      <a:avLst/>
                    </a:prstGeom>
                  </pic:spPr>
                </pic:pic>
              </a:graphicData>
            </a:graphic>
          </wp:inline>
        </w:drawing>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ATEVs Low Rate of Infection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July 2023, a preclinical study that supported a possible scientific basis for the low rates of infection that have been observed in clinical trials of the ATEV was published in the </w:t>
      </w:r>
      <w:r>
        <w:rPr>
          <w:rFonts w:ascii="Times New Roman" w:hAnsi="Times New Roman"/>
          <w:i/>
          <w:color w:val="231F20"/>
          <w:sz w:val="20"/>
        </w:rPr>
        <w:t>Journal of Vascular Surgery – Vascular Science</w:t>
      </w:r>
      <w:r>
        <w:rPr>
          <w:rFonts w:ascii="Times New Roman" w:hAnsi="Times New Roman"/>
          <w:color w:val="231F20"/>
          <w:sz w:val="20"/>
        </w:rPr>
        <w:t>. This work compared the infection resistance of the ATEV to ePTFE grafts, which are made of plastic. The laboratory results suggest that the bioengineered human tissue of the ATEV may have superior compatibility with the body's own neutrophils (white blood cells that combat bacterial infections) as compared to ePTFE. Histology and laboratory analyses performed in the preclinical study suggests that while human white blood cells die when they come in contact with ePTFE, the cells survive and function in contact with the ATEV, which may improve the ability of the ATEV to fight dangerous infections once implanted in the body.</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Indication #1: Use of ATEV to Repair Extremity Vascular Trauma</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Overview of Vascular Trauma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Consequently, we believe there is an increasingly urgent unmet need for novel materials that are immediately available for permanent vascular repair for both civilian and military vascular trauma.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Options in Surgical Treatment of Vascular Trauma</w:t>
      </w:r>
    </w:p>
    <w:p>
      <w:pPr>
        <w:pStyle w:val="TextBody"/>
        <w:bidi w:val="0"/>
        <w:spacing w:before="200" w:after="283"/>
        <w:jc w:val="center"/>
        <w:rPr/>
      </w:pPr>
      <w:r>
        <w:rPr/>
        <w:drawing>
          <wp:inline distT="0" distB="0" distL="0" distR="0">
            <wp:extent cx="5238750" cy="23336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5238750" cy="2333625"/>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Autologous vein is the preferred conduit for vascular repair. However, harvesting of autologous vein is not always feasible, due to damage to vein or lower limb, prior vein harvest, inadequate size of the vein or venous disease. Harvesting autologous vein is a serious operation that requires additional time and resources. Delaying the time from injury to operative intervention from less than one hour, to three hours or greater, more than doubles the risk of limb amputation. Limb amputation, in turn, almost triples the length of intensive care unit stay, nearly doubles the length of hospital stay, and is devastating to patient quality of life. Additionally, the morbidity associated with saphenous vein harvest includes surgical site infections, chronic pain, and limb swelling. Synthetic materials have been shown to be inferior to autologous vein in resistance to infection and durability and, therefore, are generally only used for vascular repair when autologous vein is not an option.</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The ATEV as a Solution for Vascular Trauma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believe our ATEVs are a promising alternative that can address critical gaps in existing treatment options for acute vascular injuries due to trauma. We have developed our ATEVs with the goal of providing an effective solution in all time-constrained surgical environments and in resource-limited, infection prone civilian and battlefield environments. The ability to create immediately available, non-immunogenic, universally implantable material that has a low infection rate represents a clinically significant advantage over existing options.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Humacyte has a strong working relationship with the Department of Defense (“DoD”) that has led to a partnership over the last decade to support their unmet need to reconstruct and repair vascular injuries through the development of our ATEVs. As a result of this collaboration and partnership with the DoD, we anticipate Humacyte would supply ATEVs for use in military hospitals to treat injured soldiers and veterans. The DoD assigned a priority designation to the ATEV technology under Public Law 115-92. Under this law, FDA and DoD work together to expedite the development and review of critical technologies and therapies requested by DoD. Additionally, we have received an approximately $6.8 million grant from the DoD for the development of our ATEVs for vascular reconstruction and repair.</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FDA Approval of ATEV for Extremity Vascular Trauma</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May 2023, the FDA granted RMAT designation for use of the ATEV in urgent arterial repair following extremity vascular trauma. In December 2023, the Company filed a BLA with the FDA for urgent arterial repair following extremity vascular trauma when synthetic graft is not indicated, and autologous vein use is not feasible. The BLA submission was supported by results from the V005 Phase 2/3 clinical trial, and real-world outcomes from the treatment of wartime injuries in Ukraine, both of which are described below. On December 19, 2024, the FDA granted full approval for </w:t>
      </w:r>
      <w:r>
        <w:rPr>
          <w:rFonts w:ascii="Times New Roman" w:hAnsi="Times New Roman"/>
          <w:color w:val="231F20"/>
          <w:sz w:val="20"/>
        </w:rPr>
        <w:t>Symvess</w:t>
      </w:r>
      <w:r>
        <w:rPr>
          <w:rFonts w:ascii="Times New Roman" w:hAnsi="Times New Roman"/>
          <w:color w:val="000000"/>
          <w:sz w:val="20"/>
        </w:rPr>
        <w:t xml:space="preserve"> (acellular tissue engineered vessel-tyod) for use in adults as a vascular conduit for extremity arterial injury when urgent revascularization is needed to avoid imminent limb loss, and autologous vein graft is not feasible.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V005 Phase 2/3 Civilian Trial for Vascular Trauma</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Trial Design: </w:t>
      </w:r>
      <w:r>
        <w:rPr>
          <w:rFonts w:ascii="Times New Roman" w:hAnsi="Times New Roman"/>
          <w:color w:val="231F20"/>
          <w:sz w:val="20"/>
        </w:rPr>
        <w:t>Our V005 civilian trial was a single-arm, multi-center, non-randomized clinical trial to evaluate the efficacy, safety and tolerability of our 6 millimeter ATEV in replacement or reconstruction of vascular tissues in patients with life or limb-threatening vascular trauma for whom the standard of care, saphenous vein, was not feasible or available for vascular repair. As a single-arm study, the comparators for the ATEV results were derived from a systematic literature review and meta-analysis of studies evaluating synthetic grafts in vascular injury repair. A total of 72 patients were enrolled in the V005 trial, of which 51 had vascular injury of the extremities and comprised the primary evaluation group for the study. The primary efficacy endpoint was patency of the ATEV at 30 days</w:t>
      </w:r>
      <w:r>
        <w:rPr>
          <w:rFonts w:ascii="Times New Roman" w:hAnsi="Times New Roman"/>
          <w:color w:val="000000"/>
          <w:sz w:val="20"/>
        </w:rPr>
        <w:t>, with 30-day rates of infection and amputation comprising the secondary endpoints.</w:t>
      </w:r>
    </w:p>
    <w:p>
      <w:pPr>
        <w:pStyle w:val="TextBody"/>
        <w:bidi w:val="0"/>
        <w:spacing w:before="200" w:after="283"/>
        <w:jc w:val="left"/>
        <w:rPr>
          <w:rFonts w:ascii="Times New Roman" w:hAnsi="Times New Roman"/>
          <w:sz w:val="20"/>
        </w:rPr>
      </w:pPr>
      <w:r>
        <w:rPr>
          <w:rFonts w:ascii="Times New Roman" w:hAnsi="Times New Roman"/>
          <w:b/>
          <w:color w:val="231F20"/>
          <w:sz w:val="20"/>
        </w:rPr>
        <w:t>V005 Trial Results:</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results discussed below are for the subgroup of 51 V005 patients with extremity injury submitted with the BLA as the primary analysis subgroup. In this subset of V005 patients, the range of trauma injuries were broad, including penetrating trauma cases and blunt injury cases. Mechanisms of injury included motor vehicle accidents, gunshot wounds, industrial accidents, and falls in the V005 trial. The ATEVs were placed throughout the body, including in the lower limbs and upper limbs and were used to repair the axillary artery, femoral artery, popliteal artery and vein, and the brachial artery. Many of the injuries treated in the V005 trial were contaminated injuries that are at elevated risk of graft infection.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most common reasons reported by clinicians for using the ATEV in the V005 trial instead of the standard of care, saphenous vein, was the need to avoid the time required to harvest saphenous vein (32.3%), the quality of the patient’s vein (25.8%), and concomitant injuries to the vein (16.1%), suggesting that the ready, off-the-shelf feature of the ATEV has the potential to save valuable time for surgeons in the restoration of blood flow.</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V005 trial met its objectives. V005 results included in the BLA submission to the FDA and published in </w:t>
      </w:r>
      <w:r>
        <w:rPr>
          <w:rFonts w:ascii="Times New Roman" w:hAnsi="Times New Roman"/>
          <w:i/>
          <w:color w:val="231F20"/>
          <w:sz w:val="20"/>
        </w:rPr>
        <w:t>JAMA Surgery</w:t>
      </w:r>
      <w:r>
        <w:rPr>
          <w:rFonts w:ascii="Times New Roman" w:hAnsi="Times New Roman"/>
          <w:color w:val="231F20"/>
          <w:sz w:val="20"/>
        </w:rPr>
        <w:t>, an American Medical Association peer-reviewed journal, in November 2024, are summarized in the following table.</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V005 Phase 2/3 ATEV Results in Vascular Trauma Compared to Synthetic Graft Benchmark</w:t>
      </w:r>
    </w:p>
    <w:p>
      <w:pPr>
        <w:pStyle w:val="TextBody"/>
        <w:bidi w:val="0"/>
        <w:jc w:val="center"/>
        <w:rPr/>
      </w:pPr>
      <w:r>
        <w:rPr/>
        <w:t> </w:t>
      </w:r>
    </w:p>
    <w:tbl>
      <w:tblPr>
        <w:tblW w:w="6835" w:type="dxa"/>
        <w:jc w:val="left"/>
        <w:tblInd w:w="0" w:type="dxa"/>
        <w:tblLayout w:type="fixed"/>
        <w:tblCellMar>
          <w:top w:w="28" w:type="dxa"/>
          <w:left w:w="28" w:type="dxa"/>
          <w:bottom w:w="28" w:type="dxa"/>
          <w:right w:w="28" w:type="dxa"/>
        </w:tblCellMar>
      </w:tblPr>
      <w:tblGrid>
        <w:gridCol w:w="1666"/>
        <w:gridCol w:w="146"/>
        <w:gridCol w:w="2386"/>
        <w:gridCol w:w="146"/>
        <w:gridCol w:w="24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30-Day Endpoint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8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sz w:val="16"/>
              </w:rPr>
            </w:pPr>
            <w:r>
              <w:rPr>
                <w:rFonts w:ascii="Times New Roman" w:hAnsi="Times New Roman"/>
                <w:b/>
                <w:color w:val="000000"/>
                <w:sz w:val="16"/>
              </w:rPr>
              <w:t>V005 Trial</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231F20"/>
                <w:sz w:val="16"/>
              </w:rPr>
              <w:t>ATEV</w:t>
            </w:r>
            <w:r>
              <w:rPr>
                <w:rFonts w:ascii="Times New Roman" w:hAnsi="Times New Roman"/>
                <w:color w:val="000000"/>
                <w:sz w:val="16"/>
              </w:rPr>
              <w:t> </w:t>
            </w:r>
            <w:r>
              <w:rPr>
                <w:rFonts w:ascii="Times New Roman" w:hAnsi="Times New Roman"/>
                <w:b/>
                <w:color w:val="000000"/>
                <w:sz w:val="16"/>
              </w:rPr>
              <w:t>Extremity Group (n=51)</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49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Synthetic Graft Benchmark (%)</w:t>
            </w:r>
          </w:p>
        </w:tc>
      </w:tr>
      <w:tr>
        <w:trPr/>
        <w:tc>
          <w:tcPr>
            <w:tcW w:w="166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Primary Patency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78.9%</w:t>
            </w:r>
          </w:p>
        </w:tc>
      </w:tr>
      <w:tr>
        <w:trPr/>
        <w:tc>
          <w:tcPr>
            <w:tcW w:w="166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Secondary Patency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78.9%</w:t>
            </w:r>
          </w:p>
        </w:tc>
      </w:tr>
      <w:tr>
        <w:trPr/>
        <w:tc>
          <w:tcPr>
            <w:tcW w:w="166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Conduit Infections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8.4%</w:t>
            </w:r>
          </w:p>
        </w:tc>
      </w:tr>
      <w:tr>
        <w:trPr/>
        <w:tc>
          <w:tcPr>
            <w:tcW w:w="166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Amputations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24.3%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the package insert for </w:t>
      </w:r>
      <w:r>
        <w:rPr>
          <w:rFonts w:ascii="Times New Roman" w:hAnsi="Times New Roman"/>
          <w:color w:val="231F20"/>
          <w:sz w:val="20"/>
        </w:rPr>
        <w:t>Symvess</w:t>
      </w:r>
      <w:r>
        <w:rPr>
          <w:rFonts w:ascii="Times New Roman" w:hAnsi="Times New Roman"/>
          <w:color w:val="000000"/>
          <w:sz w:val="20"/>
        </w:rPr>
        <w:t xml:space="preserve">, the FDA applied a different imputing methodology for V005 </w:t>
      </w:r>
      <w:r>
        <w:rPr>
          <w:rFonts w:ascii="Times New Roman" w:hAnsi="Times New Roman"/>
          <w:color w:val="231F20"/>
          <w:sz w:val="20"/>
        </w:rPr>
        <w:t>Symvess</w:t>
      </w:r>
      <w:r>
        <w:rPr>
          <w:rFonts w:ascii="Times New Roman" w:hAnsi="Times New Roman"/>
          <w:color w:val="000000"/>
          <w:sz w:val="20"/>
        </w:rPr>
        <w:t xml:space="preserve"> patients who did not have a day 30 assessment. For patients who missed day 30 follow-up due to unrelated death or loss of follow-up, patients were imputed as treatment failures (i.e., loss of patency, and failure of limb salvage). The FDA also added three more patients enrolled after data cutoff.</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V005 Phase 2/3 ATEV Results in Vascular Trauma in Package Insert</w:t>
      </w:r>
    </w:p>
    <w:p>
      <w:pPr>
        <w:pStyle w:val="TextBody"/>
        <w:bidi w:val="0"/>
        <w:jc w:val="center"/>
        <w:rPr/>
      </w:pPr>
      <w:r>
        <w:rPr/>
        <w:t> </w:t>
      </w:r>
    </w:p>
    <w:tbl>
      <w:tblPr>
        <w:tblW w:w="4663" w:type="dxa"/>
        <w:jc w:val="left"/>
        <w:tblInd w:w="0" w:type="dxa"/>
        <w:tblLayout w:type="fixed"/>
        <w:tblCellMar>
          <w:top w:w="28" w:type="dxa"/>
          <w:left w:w="28" w:type="dxa"/>
          <w:bottom w:w="28" w:type="dxa"/>
          <w:right w:w="28" w:type="dxa"/>
        </w:tblCellMar>
      </w:tblPr>
      <w:tblGrid>
        <w:gridCol w:w="1666"/>
        <w:gridCol w:w="146"/>
        <w:gridCol w:w="285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30-Day Endpoint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V005 Trial</w:t>
            </w:r>
          </w:p>
          <w:p>
            <w:pPr>
              <w:pStyle w:val="TableContents"/>
              <w:bidi w:val="0"/>
              <w:spacing w:before="0" w:after="30"/>
              <w:jc w:val="center"/>
              <w:rPr>
                <w:rFonts w:ascii="Times New Roman" w:hAnsi="Times New Roman"/>
                <w:sz w:val="16"/>
              </w:rPr>
            </w:pPr>
            <w:r>
              <w:rPr>
                <w:rFonts w:ascii="Times New Roman" w:hAnsi="Times New Roman"/>
                <w:b/>
                <w:color w:val="231F20"/>
                <w:sz w:val="16"/>
              </w:rPr>
              <w:t>ATEV</w:t>
            </w:r>
            <w:r>
              <w:rPr>
                <w:rFonts w:ascii="Times New Roman" w:hAnsi="Times New Roman"/>
                <w:color w:val="000000"/>
                <w:sz w:val="16"/>
              </w:rPr>
              <w:t> </w:t>
            </w:r>
            <w:r>
              <w:rPr>
                <w:rFonts w:ascii="Times New Roman" w:hAnsi="Times New Roman"/>
                <w:b/>
                <w:color w:val="000000"/>
                <w:sz w:val="16"/>
              </w:rPr>
              <w:t>Extremity Group (n=54) (%)*</w:t>
            </w:r>
          </w:p>
        </w:tc>
      </w:tr>
      <w:tr>
        <w:trPr/>
        <w:tc>
          <w:tcPr>
            <w:tcW w:w="166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Primary Patency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66.7%</w:t>
            </w:r>
          </w:p>
        </w:tc>
      </w:tr>
      <w:tr>
        <w:trPr/>
        <w:tc>
          <w:tcPr>
            <w:tcW w:w="166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Secondary Patency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72.2%</w:t>
            </w:r>
          </w:p>
        </w:tc>
      </w:tr>
      <w:tr>
        <w:trPr/>
        <w:tc>
          <w:tcPr>
            <w:tcW w:w="166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Conduit Infections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1.9%</w:t>
            </w:r>
          </w:p>
        </w:tc>
      </w:tr>
      <w:tr>
        <w:trPr/>
        <w:tc>
          <w:tcPr>
            <w:tcW w:w="166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Limb Salvage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75.9%</w:t>
            </w:r>
          </w:p>
        </w:tc>
      </w:tr>
    </w:tbl>
    <w:p>
      <w:pPr>
        <w:pStyle w:val="TextBody"/>
        <w:bidi w:val="0"/>
        <w:jc w:val="left"/>
        <w:rPr>
          <w:rFonts w:ascii="Times New Roman" w:hAnsi="Times New Roman"/>
          <w:color w:val="000000"/>
          <w:sz w:val="18"/>
        </w:rPr>
      </w:pPr>
      <w:r>
        <w:rPr>
          <w:rFonts w:ascii="Times New Roman" w:hAnsi="Times New Roman"/>
          <w:color w:val="000000"/>
          <w:sz w:val="18"/>
        </w:rPr>
        <w:t>_________________</w:t>
      </w:r>
    </w:p>
    <w:p>
      <w:pPr>
        <w:pStyle w:val="TextBody"/>
        <w:bidi w:val="0"/>
        <w:jc w:val="left"/>
        <w:rPr>
          <w:rFonts w:ascii="Times New Roman" w:hAnsi="Times New Roman"/>
          <w:color w:val="000000"/>
          <w:sz w:val="18"/>
        </w:rPr>
      </w:pPr>
      <w:r>
        <w:rPr>
          <w:rFonts w:ascii="Times New Roman" w:hAnsi="Times New Roman"/>
          <w:color w:val="000000"/>
          <w:sz w:val="18"/>
        </w:rPr>
        <w:t>* Nine patients not available for Day 30 assessment were imputed as failures for patency and limb salvage estimation.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imputing methodology used in the package insert was different than that used in the synthetic graft benchmark publications. The FDA elected to exclude the synthetic graft comparator from the package insert.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safety profile of the ATEV in the V005 trial was consistent with previous studies and there were no cases of clinical rejection of the ATEV. A summary of adverse events (“AEs”) for the duration of the study (mean duration of follow up is 295 days) is included in the table below.</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V005 Phase 2/3 ATEV Adverse Events</w:t>
      </w:r>
    </w:p>
    <w:p>
      <w:pPr>
        <w:pStyle w:val="TextBody"/>
        <w:bidi w:val="0"/>
        <w:jc w:val="center"/>
        <w:rPr/>
      </w:pPr>
      <w:r>
        <w:rPr/>
        <w:t> </w:t>
      </w:r>
    </w:p>
    <w:tbl>
      <w:tblPr>
        <w:tblW w:w="6402" w:type="dxa"/>
        <w:jc w:val="left"/>
        <w:tblInd w:w="0" w:type="dxa"/>
        <w:tblLayout w:type="fixed"/>
        <w:tblCellMar>
          <w:top w:w="28" w:type="dxa"/>
          <w:left w:w="28" w:type="dxa"/>
          <w:bottom w:w="28" w:type="dxa"/>
          <w:right w:w="28" w:type="dxa"/>
        </w:tblCellMar>
      </w:tblPr>
      <w:tblGrid>
        <w:gridCol w:w="776"/>
        <w:gridCol w:w="2104"/>
        <w:gridCol w:w="146"/>
        <w:gridCol w:w="3376"/>
      </w:tblGrid>
      <w:tr>
        <w:trPr/>
        <w:tc>
          <w:tcPr>
            <w:tcW w:w="77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880" w:type="dxa"/>
            <w:gridSpan w:val="2"/>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Adverse Event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7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sz w:val="16"/>
              </w:rPr>
            </w:pPr>
            <w:r>
              <w:rPr>
                <w:rFonts w:ascii="Times New Roman" w:hAnsi="Times New Roman"/>
                <w:b/>
                <w:color w:val="000000"/>
                <w:sz w:val="16"/>
              </w:rPr>
              <w:t xml:space="preserve">V005 Trial - </w:t>
            </w:r>
            <w:r>
              <w:rPr>
                <w:rFonts w:ascii="Times New Roman" w:hAnsi="Times New Roman"/>
                <w:b/>
                <w:color w:val="231F20"/>
                <w:sz w:val="16"/>
              </w:rPr>
              <w:t>ATEV</w:t>
            </w:r>
            <w:r>
              <w:rPr>
                <w:rFonts w:ascii="Times New Roman" w:hAnsi="Times New Roman"/>
                <w:color w:val="000000"/>
                <w:sz w:val="16"/>
              </w:rPr>
              <w:t> </w:t>
            </w:r>
            <w:r>
              <w:rPr>
                <w:rFonts w:ascii="Times New Roman" w:hAnsi="Times New Roman"/>
                <w:b/>
                <w:color w:val="000000"/>
                <w:sz w:val="16"/>
              </w:rPr>
              <w:t>Extremity Group (n=51)</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Number of Patients (%)</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Total Adverse Events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50 (98.0%)</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Non-Fatal Serious Adverse 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28 (54.9%)</w:t>
            </w:r>
          </w:p>
        </w:tc>
      </w:tr>
      <w:tr>
        <w:trPr/>
        <w:tc>
          <w:tcPr>
            <w:tcW w:w="77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4"/>
              </w:rPr>
            </w:pPr>
            <w:r>
              <w:rPr>
                <w:rFonts w:ascii="Times New Roman" w:hAnsi="Times New Roman"/>
                <w:color w:val="000000"/>
                <w:sz w:val="20"/>
              </w:rPr>
              <w:t>Deaths:</w:t>
            </w:r>
            <w:r>
              <w:rPr>
                <w:rFonts w:ascii="Times New Roman" w:hAnsi="Times New Roman"/>
                <w:color w:val="000000"/>
                <w:sz w:val="24"/>
              </w:rPr>
              <w:br/>
              <w:t> </w:t>
            </w:r>
          </w:p>
        </w:tc>
        <w:tc>
          <w:tcPr>
            <w:tcW w:w="2104"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4"/>
              </w:rPr>
            </w:pPr>
            <w:r>
              <w:rPr>
                <w:rFonts w:ascii="Times New Roman" w:hAnsi="Times New Roman"/>
                <w:color w:val="000000"/>
                <w:sz w:val="24"/>
              </w:rPr>
              <w:br/>
            </w:r>
            <w:r>
              <w:rPr>
                <w:rFonts w:ascii="Times New Roman" w:hAnsi="Times New Roman"/>
                <w:color w:val="000000"/>
                <w:sz w:val="20"/>
              </w:rPr>
              <w:t>At Day 30</w:t>
            </w:r>
            <w:r>
              <w:rPr>
                <w:rFonts w:ascii="Times New Roman" w:hAnsi="Times New Roman"/>
                <w:color w:val="000000"/>
                <w:sz w:val="24"/>
              </w:rPr>
              <w:br/>
            </w:r>
            <w:r>
              <w:rPr>
                <w:rFonts w:ascii="Times New Roman" w:hAnsi="Times New Roman"/>
                <w:color w:val="000000"/>
                <w:sz w:val="20"/>
              </w:rPr>
              <w:t>Over Duration of Study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 (5.9%)</w:t>
            </w:r>
            <w:r>
              <w:rPr>
                <w:rFonts w:ascii="Times New Roman" w:hAnsi="Times New Roman"/>
                <w:color w:val="000000"/>
                <w:sz w:val="24"/>
              </w:rPr>
              <w:br/>
            </w:r>
            <w:r>
              <w:rPr>
                <w:rFonts w:ascii="Times New Roman" w:hAnsi="Times New Roman"/>
                <w:color w:val="000000"/>
                <w:sz w:val="20"/>
              </w:rPr>
              <w:t>4 (7.8%)</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231F20"/>
                <w:sz w:val="20"/>
              </w:rPr>
              <w:t>ATEV</w:t>
            </w:r>
            <w:r>
              <w:rPr>
                <w:rFonts w:ascii="Times New Roman" w:hAnsi="Times New Roman"/>
                <w:color w:val="000000"/>
                <w:sz w:val="20"/>
              </w:rPr>
              <w:t> Infections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 (3.9%)</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231F20"/>
                <w:sz w:val="20"/>
              </w:rPr>
              <w:t>ATEV</w:t>
            </w:r>
            <w:r>
              <w:rPr>
                <w:rFonts w:ascii="Times New Roman" w:hAnsi="Times New Roman"/>
                <w:color w:val="000000"/>
                <w:sz w:val="20"/>
              </w:rPr>
              <w:t> Rupture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 (2.0%)</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231F20"/>
                <w:sz w:val="20"/>
              </w:rPr>
              <w:t>ATEV</w:t>
            </w:r>
            <w:r>
              <w:rPr>
                <w:rFonts w:ascii="Times New Roman" w:hAnsi="Times New Roman"/>
                <w:color w:val="000000"/>
                <w:sz w:val="20"/>
              </w:rPr>
              <w:t> Occlusion/Thrombosis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15 (29.4%)</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Pseudoaneurysm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 (2.0%)</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Aneurysm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 (2.0%)</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 (3.9%)</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were no unexpected safety signals for the ATEV in the V005 trial. The most common AEs were thrombosis, anemia, pyrexia, thrombocytopenia, constipation, nausea, peripheral edema, and tachycardia. The most common non-fatal Serious Adverse Events (“SAEs”) were thrombosis, anastomotic stenosis, wound infection, muscle necrosis, wound infection, hemorrhage shock, and cardiac arrest. Deaths occurring prior to day 30 were adjudicated as not casually related to the ATEV by an Independent Adjudication Committee.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December 2025 long-term data assessing the durability of ATEV in patients followed from the V005 trial were published in the Journal of Vascular Surgery Cases, Innovations and Techniques (JVS-CIT). In the study, titled “Long-term Safety and Efficacy Outcomes of the Acellular Tissue Engineered Vessel (ATEV) in Extremity Arterial Trauma Repair,” the ATEV was observed to maintain structural integrity over the long term, exhibit low infection rates, and support high rates of limb salvage in patients followed for up to 36 months. Once early complications from the traumatic injuries resolved, the rates of conduit infection, limb salvage, and patient survival plateaued and remained relatively constant through the three years of follow-up. Symvess maintained an infection-free rate of 92.9% from months 3–36, with no infections after day 37 and only three conduit infections overall. Limb salvage rates were 87.3% at 12 months and 82.5% at 24 months, despite a severely injured trauma cohort. Adverse events and serious adverse events were also observed to decline over time, supporting the long-term durability of this vascular repair. Importantly, no deaths, amputations, or mechanical failures were attributed to Symvess. No spontaneous (i.e., unprovoked by external factors) ruptures or structural failures were reported in any patient throughout the follow-up period.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believe the V005 trial results indicate that for patients in need of extremity arterial repair, when use of autologous vein was not suitable, and who were at high-risk level for wound infection, the ATEV may offer an effective option for revascularization. A case study from the trial is shown in the figure below, a photograph of an ATEV that was used to repair both an artery and a vein in the knee of a patient who suffered a gunshot wound. This patient was doing well at the 30-day follow-up visit with both repairs remaining patent and functional.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Intra-operative photograph of ATEV repair of popliteal artery (left) and vein (right) in V005 subject.</w:t>
      </w:r>
    </w:p>
    <w:p>
      <w:pPr>
        <w:pStyle w:val="TextBody"/>
        <w:bidi w:val="0"/>
        <w:spacing w:before="200" w:after="283"/>
        <w:jc w:val="center"/>
        <w:rPr/>
      </w:pPr>
      <w:r>
        <w:rPr/>
        <w:drawing>
          <wp:inline distT="0" distB="0" distL="0" distR="0">
            <wp:extent cx="3590925" cy="22860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3590925" cy="2286000"/>
                    </a:xfrm>
                    <a:prstGeom prst="rect">
                      <a:avLst/>
                    </a:prstGeom>
                  </pic:spPr>
                </pic:pic>
              </a:graphicData>
            </a:graphic>
          </wp:inline>
        </w:drawing>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Ukraine Humanitarian Program, - V017 Trial</w:t>
      </w:r>
    </w:p>
    <w:p>
      <w:pPr>
        <w:pStyle w:val="TextBody"/>
        <w:bidi w:val="0"/>
        <w:spacing w:before="200" w:after="283"/>
        <w:jc w:val="left"/>
        <w:rPr>
          <w:rFonts w:ascii="Times New Roman" w:hAnsi="Times New Roman"/>
          <w:sz w:val="20"/>
        </w:rPr>
      </w:pPr>
      <w:r>
        <w:rPr>
          <w:rFonts w:ascii="Times New Roman" w:hAnsi="Times New Roman"/>
          <w:b/>
          <w:color w:val="231F20"/>
          <w:sz w:val="20"/>
        </w:rPr>
        <w:t>V017 Background and Results:</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A0A0A"/>
          <w:sz w:val="20"/>
        </w:rPr>
        <w:t xml:space="preserve">In the second quarter of 2022, Humacyte launched a humanitarian initiative to provide its </w:t>
      </w:r>
      <w:r>
        <w:rPr>
          <w:rFonts w:ascii="Times New Roman" w:hAnsi="Times New Roman"/>
          <w:color w:val="231F20"/>
          <w:sz w:val="20"/>
        </w:rPr>
        <w:t>ATEV</w:t>
      </w:r>
      <w:r>
        <w:rPr>
          <w:rFonts w:ascii="Times New Roman" w:hAnsi="Times New Roman"/>
          <w:color w:val="0A0A0A"/>
          <w:sz w:val="20"/>
        </w:rPr>
        <w:t xml:space="preserve">s to hospitals in Ukraine for the treatment of wounded civilians and soldiers with vascular trauma injuries. Ukrainian surgeons presented patient outcomes from the use of the </w:t>
      </w:r>
      <w:r>
        <w:rPr>
          <w:rFonts w:ascii="Times New Roman" w:hAnsi="Times New Roman"/>
          <w:color w:val="231F20"/>
          <w:sz w:val="20"/>
        </w:rPr>
        <w:t>ATEV</w:t>
      </w:r>
      <w:r>
        <w:rPr>
          <w:rFonts w:ascii="Times New Roman" w:hAnsi="Times New Roman"/>
          <w:color w:val="0A0A0A"/>
          <w:sz w:val="20"/>
        </w:rPr>
        <w:t xml:space="preserve"> to treat wartime vascular trauma at two vascular conferences in December 2022, the VI Congress of Vascular Surgeons, Phlebologists, and Angiologists of Ukraine in Kyiv, Ukraine, and the 11th Munich Vascular Conference (MAC) 2022. The surgeons described long-standing limitations in vascular tissue repair and replacement as well as the injuries that they have observed during the Russian-Ukrainian conflict. Surgeons utilized the </w:t>
      </w:r>
      <w:r>
        <w:rPr>
          <w:rFonts w:ascii="Times New Roman" w:hAnsi="Times New Roman"/>
          <w:color w:val="231F20"/>
          <w:sz w:val="20"/>
        </w:rPr>
        <w:t>ATEV</w:t>
      </w:r>
      <w:r>
        <w:rPr>
          <w:rFonts w:ascii="Times New Roman" w:hAnsi="Times New Roman"/>
          <w:color w:val="0A0A0A"/>
          <w:sz w:val="20"/>
        </w:rPr>
        <w:t xml:space="preserve"> to treat patients with wartime injuries including blast trauma, shrapnel injuries, and gunshot wounds. The surgeons observed that access to the </w:t>
      </w:r>
      <w:r>
        <w:rPr>
          <w:rFonts w:ascii="Times New Roman" w:hAnsi="Times New Roman"/>
          <w:color w:val="231F20"/>
          <w:sz w:val="20"/>
        </w:rPr>
        <w:t>ATEV</w:t>
      </w:r>
      <w:r>
        <w:rPr>
          <w:rFonts w:ascii="Times New Roman" w:hAnsi="Times New Roman"/>
          <w:color w:val="0A0A0A"/>
          <w:sz w:val="20"/>
        </w:rPr>
        <w:t xml:space="preserve">, a biologic conduit, has improved their ability to perform vascular reconstructions by eliminating the need to harvest a venous conduit. A total of 19 vascular patients were treated under this humanitarian program, and results from 16 of these patients were published in </w:t>
      </w:r>
      <w:r>
        <w:rPr>
          <w:rFonts w:ascii="Times New Roman" w:hAnsi="Times New Roman"/>
          <w:i/>
          <w:color w:val="0A0A0A"/>
          <w:sz w:val="20"/>
        </w:rPr>
        <w:t xml:space="preserve">JAMA Surgery </w:t>
      </w:r>
      <w:r>
        <w:rPr>
          <w:rFonts w:ascii="Times New Roman" w:hAnsi="Times New Roman"/>
          <w:color w:val="0A0A0A"/>
          <w:sz w:val="20"/>
        </w:rPr>
        <w:t>in November 2024, along with results from the V005 trial.</w:t>
      </w:r>
    </w:p>
    <w:p>
      <w:pPr>
        <w:pStyle w:val="TextBody"/>
        <w:bidi w:val="0"/>
        <w:spacing w:before="200" w:after="283"/>
        <w:jc w:val="left"/>
        <w:rPr>
          <w:rFonts w:ascii="Times New Roman" w:hAnsi="Times New Roman"/>
          <w:color w:val="0A0A0A"/>
          <w:sz w:val="20"/>
        </w:rPr>
      </w:pPr>
      <w:r>
        <w:rPr>
          <w:rFonts w:ascii="Times New Roman" w:hAnsi="Times New Roman"/>
          <w:color w:val="0A0A0A"/>
          <w:sz w:val="20"/>
        </w:rPr>
        <w:t>The FDA advised Humacyte to include in the BLA submission patient outcomes from the Ukraine humanitarian program. We refer to the results for the 16 patients from Ukraine with extremity vascular trauma who provided consent for use of their results in the BLA filing as the V017 trial. A high success rate for the 16 extremity patients in the V017 trial was observed, despite the presence of contaminated wound beds, as summarized in the table below.</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V017 Ukraine Humanitarian ATEV Results in Vascular Trauma</w:t>
      </w:r>
    </w:p>
    <w:p>
      <w:pPr>
        <w:pStyle w:val="TextBody"/>
        <w:bidi w:val="0"/>
        <w:jc w:val="center"/>
        <w:rPr/>
      </w:pPr>
      <w:r>
        <w:rPr/>
        <w:t> </w:t>
      </w:r>
    </w:p>
    <w:tbl>
      <w:tblPr>
        <w:tblW w:w="4048" w:type="dxa"/>
        <w:jc w:val="left"/>
        <w:tblInd w:w="0" w:type="dxa"/>
        <w:tblLayout w:type="fixed"/>
        <w:tblCellMar>
          <w:top w:w="28" w:type="dxa"/>
          <w:left w:w="28" w:type="dxa"/>
          <w:bottom w:w="28" w:type="dxa"/>
          <w:right w:w="28" w:type="dxa"/>
        </w:tblCellMar>
      </w:tblPr>
      <w:tblGrid>
        <w:gridCol w:w="1666"/>
        <w:gridCol w:w="146"/>
        <w:gridCol w:w="223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30-Day Endpoint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sz w:val="16"/>
              </w:rPr>
            </w:pPr>
            <w:r>
              <w:rPr>
                <w:rFonts w:ascii="Times New Roman" w:hAnsi="Times New Roman"/>
                <w:b/>
                <w:color w:val="000000"/>
                <w:sz w:val="16"/>
              </w:rPr>
              <w:t>V017 Trial</w:t>
            </w:r>
            <w:r>
              <w:rPr>
                <w:rFonts w:ascii="Times New Roman" w:hAnsi="Times New Roman"/>
                <w:color w:val="000000"/>
                <w:sz w:val="16"/>
              </w:rPr>
              <w:t xml:space="preserve"> </w:t>
            </w:r>
          </w:p>
          <w:p>
            <w:pPr>
              <w:pStyle w:val="TableContents"/>
              <w:bidi w:val="0"/>
              <w:spacing w:before="20" w:after="30"/>
              <w:jc w:val="center"/>
              <w:rPr>
                <w:rFonts w:ascii="Times New Roman" w:hAnsi="Times New Roman"/>
                <w:sz w:val="16"/>
              </w:rPr>
            </w:pPr>
            <w:r>
              <w:rPr>
                <w:rFonts w:ascii="Times New Roman" w:hAnsi="Times New Roman"/>
                <w:b/>
                <w:color w:val="231F20"/>
                <w:sz w:val="16"/>
              </w:rPr>
              <w:t>ATEV</w:t>
            </w:r>
            <w:r>
              <w:rPr>
                <w:rFonts w:ascii="Times New Roman" w:hAnsi="Times New Roman"/>
                <w:color w:val="000000"/>
                <w:sz w:val="16"/>
              </w:rPr>
              <w:t> </w:t>
            </w:r>
            <w:r>
              <w:rPr>
                <w:rFonts w:ascii="Times New Roman" w:hAnsi="Times New Roman"/>
                <w:b/>
                <w:color w:val="000000"/>
                <w:sz w:val="16"/>
              </w:rPr>
              <w:t>Extremity Group (%)</w:t>
            </w:r>
          </w:p>
        </w:tc>
      </w:tr>
      <w:tr>
        <w:trPr/>
        <w:tc>
          <w:tcPr>
            <w:tcW w:w="166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Primary Patency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93.8%</w:t>
            </w:r>
          </w:p>
        </w:tc>
      </w:tr>
      <w:tr>
        <w:trPr/>
        <w:tc>
          <w:tcPr>
            <w:tcW w:w="166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Secondary Patency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93.8%</w:t>
            </w:r>
          </w:p>
        </w:tc>
      </w:tr>
      <w:tr>
        <w:trPr/>
        <w:tc>
          <w:tcPr>
            <w:tcW w:w="166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Conduit Infections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0.0%</w:t>
            </w:r>
          </w:p>
        </w:tc>
      </w:tr>
      <w:tr>
        <w:trPr/>
        <w:tc>
          <w:tcPr>
            <w:tcW w:w="166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Amputations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safety profile of the ATEV in the V017 trial was consistent with previous studies and there were no cases of clinical rejection of the ATEV. A summary of AEs for the duration of the study (mean duration of follow up is 139 days) is included in the table below.</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V017 Ukraine Humanitarian ATEV Adverse Events</w:t>
      </w:r>
    </w:p>
    <w:p>
      <w:pPr>
        <w:pStyle w:val="TextBody"/>
        <w:bidi w:val="0"/>
        <w:jc w:val="center"/>
        <w:rPr/>
      </w:pPr>
      <w:r>
        <w:rPr/>
        <w:t> </w:t>
      </w:r>
    </w:p>
    <w:tbl>
      <w:tblPr>
        <w:tblW w:w="6402" w:type="dxa"/>
        <w:jc w:val="left"/>
        <w:tblInd w:w="0" w:type="dxa"/>
        <w:tblLayout w:type="fixed"/>
        <w:tblCellMar>
          <w:top w:w="28" w:type="dxa"/>
          <w:left w:w="28" w:type="dxa"/>
          <w:bottom w:w="28" w:type="dxa"/>
          <w:right w:w="28" w:type="dxa"/>
        </w:tblCellMar>
      </w:tblPr>
      <w:tblGrid>
        <w:gridCol w:w="776"/>
        <w:gridCol w:w="2104"/>
        <w:gridCol w:w="146"/>
        <w:gridCol w:w="3376"/>
      </w:tblGrid>
      <w:tr>
        <w:trPr/>
        <w:tc>
          <w:tcPr>
            <w:tcW w:w="77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880" w:type="dxa"/>
            <w:gridSpan w:val="2"/>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Adverse Event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7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sz w:val="16"/>
              </w:rPr>
            </w:pPr>
            <w:r>
              <w:rPr>
                <w:rFonts w:ascii="Times New Roman" w:hAnsi="Times New Roman"/>
                <w:b/>
                <w:color w:val="000000"/>
                <w:sz w:val="16"/>
              </w:rPr>
              <w:t xml:space="preserve">V017 Trial - </w:t>
            </w:r>
            <w:r>
              <w:rPr>
                <w:rFonts w:ascii="Times New Roman" w:hAnsi="Times New Roman"/>
                <w:b/>
                <w:color w:val="231F20"/>
                <w:sz w:val="16"/>
              </w:rPr>
              <w:t>ATEV</w:t>
            </w:r>
            <w:r>
              <w:rPr>
                <w:rFonts w:ascii="Times New Roman" w:hAnsi="Times New Roman"/>
                <w:color w:val="000000"/>
                <w:sz w:val="16"/>
              </w:rPr>
              <w:t> </w:t>
            </w:r>
            <w:r>
              <w:rPr>
                <w:rFonts w:ascii="Times New Roman" w:hAnsi="Times New Roman"/>
                <w:b/>
                <w:color w:val="000000"/>
                <w:sz w:val="16"/>
              </w:rPr>
              <w:t>Extremity Group (n=16)</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Number of Patients (%)</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Total Adverse Events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4 (25.0%)</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Non-Fatal Serious Adverse 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 (6.3%)</w:t>
            </w:r>
          </w:p>
        </w:tc>
      </w:tr>
      <w:tr>
        <w:trPr/>
        <w:tc>
          <w:tcPr>
            <w:tcW w:w="77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Deaths:</w:t>
            </w:r>
          </w:p>
        </w:tc>
        <w:tc>
          <w:tcPr>
            <w:tcW w:w="2104"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4"/>
              </w:rPr>
            </w:pPr>
            <w:r>
              <w:rPr>
                <w:rFonts w:ascii="Times New Roman" w:hAnsi="Times New Roman"/>
                <w:color w:val="000000"/>
                <w:sz w:val="24"/>
              </w:rPr>
              <w:br/>
            </w:r>
            <w:r>
              <w:rPr>
                <w:rFonts w:ascii="Times New Roman" w:hAnsi="Times New Roman"/>
                <w:color w:val="000000"/>
                <w:sz w:val="20"/>
              </w:rPr>
              <w:t>At Day 30</w:t>
            </w:r>
            <w:r>
              <w:rPr>
                <w:rFonts w:ascii="Times New Roman" w:hAnsi="Times New Roman"/>
                <w:color w:val="000000"/>
                <w:sz w:val="24"/>
              </w:rPr>
              <w:br/>
            </w:r>
            <w:r>
              <w:rPr>
                <w:rFonts w:ascii="Times New Roman" w:hAnsi="Times New Roman"/>
                <w:color w:val="000000"/>
                <w:sz w:val="20"/>
              </w:rPr>
              <w:t>Over Duration of Study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0 (0.0%)</w:t>
            </w:r>
            <w:r>
              <w:rPr>
                <w:rFonts w:ascii="Times New Roman" w:hAnsi="Times New Roman"/>
                <w:color w:val="000000"/>
                <w:sz w:val="24"/>
              </w:rPr>
              <w:br/>
            </w:r>
            <w:r>
              <w:rPr>
                <w:rFonts w:ascii="Times New Roman" w:hAnsi="Times New Roman"/>
                <w:color w:val="000000"/>
                <w:sz w:val="20"/>
              </w:rPr>
              <w:t>0 (0.0%)</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231F20"/>
                <w:sz w:val="20"/>
              </w:rPr>
              <w:t>ATEV</w:t>
            </w:r>
            <w:r>
              <w:rPr>
                <w:rFonts w:ascii="Times New Roman" w:hAnsi="Times New Roman"/>
                <w:color w:val="000000"/>
                <w:sz w:val="20"/>
              </w:rPr>
              <w:t> Infections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 (0.0%)</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231F20"/>
                <w:sz w:val="20"/>
              </w:rPr>
              <w:t>ATEV</w:t>
            </w:r>
            <w:r>
              <w:rPr>
                <w:rFonts w:ascii="Times New Roman" w:hAnsi="Times New Roman"/>
                <w:color w:val="000000"/>
                <w:sz w:val="20"/>
              </w:rPr>
              <w:t> Rupture*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 (6.3%)</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231F20"/>
                <w:sz w:val="20"/>
              </w:rPr>
              <w:t>ATEV</w:t>
            </w:r>
            <w:r>
              <w:rPr>
                <w:rFonts w:ascii="Times New Roman" w:hAnsi="Times New Roman"/>
                <w:color w:val="000000"/>
                <w:sz w:val="20"/>
              </w:rPr>
              <w:t> Occlusion/Thrombosis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 (6.3%)</w:t>
            </w:r>
          </w:p>
        </w:tc>
      </w:tr>
      <w:tr>
        <w:trPr/>
        <w:tc>
          <w:tcPr>
            <w:tcW w:w="2880" w:type="dxa"/>
            <w:gridSpan w:val="2"/>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Pseudoaneurysm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 (0.0%)</w:t>
            </w:r>
          </w:p>
        </w:tc>
      </w:tr>
      <w:tr>
        <w:trPr/>
        <w:tc>
          <w:tcPr>
            <w:tcW w:w="2880" w:type="dxa"/>
            <w:gridSpan w:val="2"/>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Aneurysm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 (0.0%)</w:t>
            </w:r>
          </w:p>
        </w:tc>
      </w:tr>
    </w:tbl>
    <w:p>
      <w:pPr>
        <w:pStyle w:val="TextBody"/>
        <w:bidi w:val="0"/>
        <w:jc w:val="left"/>
        <w:rPr>
          <w:rFonts w:ascii="Times New Roman" w:hAnsi="Times New Roman"/>
          <w:color w:val="0A0A0A"/>
          <w:sz w:val="20"/>
        </w:rPr>
      </w:pPr>
      <w:r>
        <w:rPr>
          <w:rFonts w:ascii="Times New Roman" w:hAnsi="Times New Roman"/>
          <w:color w:val="0A0A0A"/>
          <w:sz w:val="20"/>
        </w:rPr>
        <w:t>__________________</w:t>
      </w:r>
    </w:p>
    <w:p>
      <w:pPr>
        <w:pStyle w:val="TextBody"/>
        <w:bidi w:val="0"/>
        <w:jc w:val="left"/>
        <w:rPr>
          <w:rFonts w:ascii="Times New Roman" w:hAnsi="Times New Roman"/>
          <w:sz w:val="20"/>
        </w:rPr>
      </w:pPr>
      <w:r>
        <w:rPr>
          <w:rFonts w:ascii="Times New Roman" w:hAnsi="Times New Roman"/>
          <w:color w:val="0A0A0A"/>
          <w:sz w:val="18"/>
        </w:rPr>
        <w:t xml:space="preserve">* One </w:t>
      </w:r>
      <w:r>
        <w:rPr>
          <w:rFonts w:ascii="Times New Roman" w:hAnsi="Times New Roman"/>
          <w:color w:val="231F20"/>
          <w:sz w:val="18"/>
        </w:rPr>
        <w:t>ATEV</w:t>
      </w:r>
      <w:r>
        <w:rPr>
          <w:rFonts w:ascii="Times New Roman" w:hAnsi="Times New Roman"/>
          <w:color w:val="0A0A0A"/>
          <w:sz w:val="20"/>
        </w:rPr>
        <w:t xml:space="preserve"> </w:t>
      </w:r>
      <w:r>
        <w:rPr>
          <w:rFonts w:ascii="Times New Roman" w:hAnsi="Times New Roman"/>
          <w:color w:val="0A0A0A"/>
          <w:sz w:val="18"/>
        </w:rPr>
        <w:t>rupture associated with extensive shrapnel remnants in the wound that caused bleeding.</w:t>
      </w:r>
    </w:p>
    <w:p>
      <w:pPr>
        <w:pStyle w:val="TextBody"/>
        <w:bidi w:val="0"/>
        <w:spacing w:before="200" w:after="283"/>
        <w:jc w:val="left"/>
        <w:rPr>
          <w:rFonts w:ascii="Times New Roman" w:hAnsi="Times New Roman"/>
          <w:sz w:val="20"/>
        </w:rPr>
      </w:pPr>
      <w:r>
        <w:rPr>
          <w:rFonts w:ascii="Times New Roman" w:hAnsi="Times New Roman"/>
          <w:color w:val="0A0A0A"/>
          <w:sz w:val="20"/>
        </w:rPr>
        <w:t xml:space="preserve">In the figure below, photographs are shown of the first patient treated under the humanitarian program in Ukraine. The patient was a 42-year-old male who suffered a gunshot wound in the leg which damaged his femoral artery. The patient was initially treated using synthetic graft which became infected, and the patient experienced critical right lower extremity ischemia. The </w:t>
      </w:r>
      <w:r>
        <w:rPr>
          <w:rFonts w:ascii="Times New Roman" w:hAnsi="Times New Roman"/>
          <w:color w:val="231F20"/>
          <w:sz w:val="20"/>
        </w:rPr>
        <w:t>ATEV</w:t>
      </w:r>
      <w:r>
        <w:rPr>
          <w:rFonts w:ascii="Times New Roman" w:hAnsi="Times New Roman"/>
          <w:color w:val="0A0A0A"/>
          <w:sz w:val="20"/>
        </w:rPr>
        <w:t xml:space="preserve"> was implanted as a right superficial femoral artery reconstruction to achieve wound healing and limb salvage. After three months, the </w:t>
      </w:r>
      <w:r>
        <w:rPr>
          <w:rFonts w:ascii="Times New Roman" w:hAnsi="Times New Roman"/>
          <w:color w:val="231F20"/>
          <w:sz w:val="20"/>
        </w:rPr>
        <w:t>ATEV</w:t>
      </w:r>
      <w:r>
        <w:rPr>
          <w:rFonts w:ascii="Times New Roman" w:hAnsi="Times New Roman"/>
          <w:color w:val="0A0A0A"/>
          <w:sz w:val="20"/>
        </w:rPr>
        <w:t xml:space="preserve"> was reported to have retained primary patency with no evidence of </w:t>
      </w:r>
      <w:r>
        <w:rPr>
          <w:rFonts w:ascii="Times New Roman" w:hAnsi="Times New Roman"/>
          <w:color w:val="231F20"/>
          <w:sz w:val="20"/>
        </w:rPr>
        <w:t>ATEV</w:t>
      </w:r>
      <w:r>
        <w:rPr>
          <w:rFonts w:ascii="Times New Roman" w:hAnsi="Times New Roman"/>
          <w:color w:val="0A0A0A"/>
          <w:sz w:val="20"/>
        </w:rPr>
        <w:t xml:space="preserve"> infection.</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Intra-operative photographs of attempted synthetic graft repair of femoral artery (left) and subsequent repair with ATEV (right) in patient from Ukraine humanitarian program.</w:t>
      </w:r>
    </w:p>
    <w:p>
      <w:pPr>
        <w:pStyle w:val="TextBody"/>
        <w:bidi w:val="0"/>
        <w:jc w:val="center"/>
        <w:rPr/>
      </w:pPr>
      <w:r>
        <w:rPr/>
        <w:t> </w:t>
      </w:r>
    </w:p>
    <w:p>
      <w:pPr>
        <w:pStyle w:val="TextBody"/>
        <w:bidi w:val="0"/>
        <w:jc w:val="center"/>
        <w:rPr/>
      </w:pPr>
      <w:r>
        <w:rPr/>
        <w:drawing>
          <wp:inline distT="0" distB="0" distL="0" distR="0">
            <wp:extent cx="6057900" cy="168592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6057900" cy="1685925"/>
                    </a:xfrm>
                    <a:prstGeom prst="rect">
                      <a:avLst/>
                    </a:prstGeom>
                  </pic:spPr>
                </pic:pic>
              </a:graphicData>
            </a:graphic>
          </wp:inline>
        </w:drawing>
      </w:r>
    </w:p>
    <w:p>
      <w:pPr>
        <w:pStyle w:val="TextBody"/>
        <w:bidi w:val="0"/>
        <w:spacing w:before="200" w:after="283"/>
        <w:jc w:val="left"/>
        <w:rPr>
          <w:rFonts w:ascii="Times New Roman" w:hAnsi="Times New Roman"/>
          <w:color w:val="0A0A0A"/>
          <w:sz w:val="20"/>
        </w:rPr>
      </w:pPr>
      <w:r>
        <w:rPr>
          <w:rFonts w:ascii="Times New Roman" w:hAnsi="Times New Roman"/>
          <w:color w:val="0A0A0A"/>
          <w:sz w:val="20"/>
        </w:rPr>
        <w:t>In September 2025 long-term results from the V017 trial were published in Oxford Academic’s Military Medicine. The publication, titled “Evaluating the Safety and Efficacy of Humacyte Acellular Tissue-Engineered Vessel in a Real-World Combat Setting: A Retrospective Observational Multicenter Study,” reported that patients from the V017 trial were observed to have a continued high rate of patency (87.1%), 100% limb salvage, and zero cases of conduit infection in 17 patients with arterial injury repairs followed for up to 18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Combined V005 and V017 Results of ATEV for Vascular Trauma</w:t>
      </w:r>
    </w:p>
    <w:p>
      <w:pPr>
        <w:pStyle w:val="TextBody"/>
        <w:bidi w:val="0"/>
        <w:spacing w:before="200" w:after="283"/>
        <w:jc w:val="left"/>
        <w:rPr>
          <w:rFonts w:ascii="Times New Roman" w:hAnsi="Times New Roman"/>
          <w:sz w:val="20"/>
        </w:rPr>
      </w:pPr>
      <w:r>
        <w:rPr>
          <w:rFonts w:ascii="Times New Roman" w:hAnsi="Times New Roman"/>
          <w:color w:val="000000"/>
          <w:sz w:val="20"/>
        </w:rPr>
        <w:t>The BLA submission was supported by the combined results from the V005 (civilian) Phase 2/3 clinical trial and real-world outcomes from the treatment of wartime injuries in Ukraine in the V017 (military) trial.</w:t>
      </w:r>
      <w:r>
        <w:rPr>
          <w:rFonts w:ascii="Times New Roman" w:hAnsi="Times New Roman"/>
          <w:color w:val="231F20"/>
          <w:sz w:val="20"/>
        </w:rPr>
        <w:t xml:space="preserve"> Combined results included in the BLA submission to the FDA and published in </w:t>
      </w:r>
      <w:r>
        <w:rPr>
          <w:rFonts w:ascii="Times New Roman" w:hAnsi="Times New Roman"/>
          <w:i/>
          <w:color w:val="231F20"/>
          <w:sz w:val="20"/>
        </w:rPr>
        <w:t xml:space="preserve">JAMA Surgery </w:t>
      </w:r>
      <w:r>
        <w:rPr>
          <w:rFonts w:ascii="Times New Roman" w:hAnsi="Times New Roman"/>
          <w:color w:val="231F20"/>
          <w:sz w:val="20"/>
        </w:rPr>
        <w:t>in November 2024 are summarized in the following table. The Synthetic Graft Benchmark publications included a combination of civilian and military injuries.</w:t>
      </w:r>
    </w:p>
    <w:p>
      <w:pPr>
        <w:pStyle w:val="TextBody"/>
        <w:bidi w:val="0"/>
        <w:spacing w:before="200" w:after="283"/>
        <w:jc w:val="center"/>
        <w:rPr>
          <w:rFonts w:ascii="Times New Roman" w:hAnsi="Times New Roman"/>
          <w:sz w:val="20"/>
        </w:rPr>
      </w:pPr>
      <w:r>
        <w:rPr>
          <w:rFonts w:ascii="Times New Roman" w:hAnsi="Times New Roman"/>
          <w:i/>
          <w:color w:val="231F20"/>
          <w:sz w:val="20"/>
        </w:rPr>
        <w:t>Combined V005 Phase 2/3 ATEV and V017 Ukraine Real-World Results in Vascular Trauma</w:t>
      </w:r>
      <w:r>
        <w:rPr>
          <w:rFonts w:ascii="Times New Roman" w:hAnsi="Times New Roman"/>
          <w:color w:val="231F20"/>
          <w:sz w:val="20"/>
        </w:rPr>
        <w:t xml:space="preserve"> </w:t>
      </w:r>
    </w:p>
    <w:p>
      <w:pPr>
        <w:pStyle w:val="TextBody"/>
        <w:bidi w:val="0"/>
        <w:jc w:val="center"/>
        <w:rPr>
          <w:rFonts w:ascii="Times New Roman" w:hAnsi="Times New Roman"/>
          <w:i/>
          <w:color w:val="231F20"/>
          <w:sz w:val="20"/>
        </w:rPr>
      </w:pPr>
      <w:r>
        <w:rPr>
          <w:rFonts w:ascii="Times New Roman" w:hAnsi="Times New Roman"/>
          <w:i/>
          <w:color w:val="231F20"/>
          <w:sz w:val="20"/>
        </w:rPr>
        <w:t>Compared to Synthetic Graft Benchmark</w:t>
      </w:r>
    </w:p>
    <w:p>
      <w:pPr>
        <w:pStyle w:val="TextBody"/>
        <w:bidi w:val="0"/>
        <w:jc w:val="center"/>
        <w:rPr/>
      </w:pPr>
      <w:r>
        <w:rPr/>
        <w:t> </w:t>
      </w:r>
    </w:p>
    <w:tbl>
      <w:tblPr>
        <w:tblW w:w="7714" w:type="dxa"/>
        <w:jc w:val="left"/>
        <w:tblInd w:w="0" w:type="dxa"/>
        <w:tblLayout w:type="fixed"/>
        <w:tblCellMar>
          <w:top w:w="28" w:type="dxa"/>
          <w:left w:w="28" w:type="dxa"/>
          <w:bottom w:w="28" w:type="dxa"/>
          <w:right w:w="28" w:type="dxa"/>
        </w:tblCellMar>
      </w:tblPr>
      <w:tblGrid>
        <w:gridCol w:w="1996"/>
        <w:gridCol w:w="146"/>
        <w:gridCol w:w="991"/>
        <w:gridCol w:w="146"/>
        <w:gridCol w:w="991"/>
        <w:gridCol w:w="146"/>
        <w:gridCol w:w="1861"/>
        <w:gridCol w:w="146"/>
        <w:gridCol w:w="12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Outcome Day 30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ATEV V005</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(n=51)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ATEV V017</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(n=16)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Combined ATEV (n=67)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Synthetic Graft</w:t>
            </w:r>
          </w:p>
          <w:p>
            <w:pPr>
              <w:pStyle w:val="TableContents"/>
              <w:bidi w:val="0"/>
              <w:spacing w:before="23" w:after="30"/>
              <w:jc w:val="center"/>
              <w:rPr>
                <w:rFonts w:ascii="Times New Roman" w:hAnsi="Times New Roman"/>
                <w:b/>
                <w:color w:val="000000"/>
                <w:sz w:val="16"/>
              </w:rPr>
            </w:pPr>
            <w:r>
              <w:rPr>
                <w:rFonts w:ascii="Times New Roman" w:hAnsi="Times New Roman"/>
                <w:b/>
                <w:color w:val="000000"/>
                <w:sz w:val="16"/>
              </w:rPr>
              <w:t>Benchmark</w:t>
            </w:r>
          </w:p>
        </w:tc>
      </w:tr>
      <w:tr>
        <w:trPr/>
        <w:tc>
          <w:tcPr>
            <w:tcW w:w="1996" w:type="dxa"/>
            <w:tcBorders/>
            <w:shd w:fill="CCEEFF" w:val="clear"/>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Primary Patency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93.8%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78.9%</w:t>
            </w:r>
          </w:p>
        </w:tc>
      </w:tr>
      <w:tr>
        <w:trPr/>
        <w:tc>
          <w:tcPr>
            <w:tcW w:w="1996"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Secondary Patency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78.9%</w:t>
            </w:r>
          </w:p>
        </w:tc>
      </w:tr>
      <w:tr>
        <w:trPr/>
        <w:tc>
          <w:tcPr>
            <w:tcW w:w="199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Conduit Infection Rate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8.4%</w:t>
            </w:r>
          </w:p>
        </w:tc>
      </w:tr>
      <w:tr>
        <w:trPr/>
        <w:tc>
          <w:tcPr>
            <w:tcW w:w="1996"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Amputation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24.3%</w:t>
            </w:r>
          </w:p>
        </w:tc>
      </w:tr>
      <w:tr>
        <w:trPr/>
        <w:tc>
          <w:tcPr>
            <w:tcW w:w="199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Death Rate (all causes)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3.4%</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231F20"/>
          <w:sz w:val="20"/>
        </w:rPr>
        <w:t>The ATEV demonstrated a higher 30-day secondary patency rate, and patients treated with the ATEV were only 40% as likely to lose blood flow through their conduit after one month compared to the rate historically reported for synthetic grafts, which is a key period for recovery after traumatic injury. In addition, patients treated with the ATEV had approximately 1/5</w:t>
      </w:r>
      <w:r>
        <w:rPr>
          <w:rFonts w:ascii="Times New Roman" w:hAnsi="Times New Roman"/>
          <w:color w:val="231F20"/>
          <w:sz w:val="13"/>
        </w:rPr>
        <w:t>th</w:t>
      </w:r>
      <w:r>
        <w:rPr>
          <w:rFonts w:ascii="Times New Roman" w:hAnsi="Times New Roman"/>
          <w:color w:val="231F20"/>
          <w:sz w:val="20"/>
        </w:rPr>
        <w:t xml:space="preserve"> the amputation rate, and approximately 1/9</w:t>
      </w:r>
      <w:r>
        <w:rPr>
          <w:rFonts w:ascii="Times New Roman" w:hAnsi="Times New Roman"/>
          <w:color w:val="231F20"/>
          <w:sz w:val="13"/>
        </w:rPr>
        <w:t>th</w:t>
      </w:r>
      <w:r>
        <w:rPr>
          <w:rFonts w:ascii="Times New Roman" w:hAnsi="Times New Roman"/>
          <w:color w:val="231F20"/>
          <w:sz w:val="20"/>
        </w:rPr>
        <w:t xml:space="preserve"> rate of infection compared to that historically reported for synthetic grafts.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BLA Approval and Indication</w:t>
      </w:r>
    </w:p>
    <w:p>
      <w:pPr>
        <w:pStyle w:val="TextBody"/>
        <w:bidi w:val="0"/>
        <w:spacing w:before="200" w:after="283"/>
        <w:jc w:val="left"/>
        <w:rPr>
          <w:rFonts w:ascii="Times New Roman" w:hAnsi="Times New Roman"/>
          <w:sz w:val="20"/>
        </w:rPr>
      </w:pPr>
      <w:r>
        <w:rPr>
          <w:rFonts w:ascii="Times New Roman" w:hAnsi="Times New Roman"/>
          <w:color w:val="231F20"/>
          <w:sz w:val="20"/>
        </w:rPr>
        <w:t>On December 19, 2024, the FDA granted full approval for the ATEV for use in adults with extremity vascular trauma. The granted indication language was: “</w:t>
      </w:r>
      <w:r>
        <w:rPr>
          <w:rFonts w:ascii="Times New Roman" w:hAnsi="Times New Roman"/>
          <w:color w:val="000000"/>
          <w:sz w:val="20"/>
        </w:rPr>
        <w:t>for use in adults as a vascular conduit for extremity arterial injury when urgent revascularization is needed to avoid imminent limb loss, and when autologous vein graft is not feasible.” Although Humacyte had originally filed for an indication of use that included when “autologous vein was not feasible and synthetic graft was not indicated,” the FDA granted an indication for when “autologous vein is not feasible,” a broader indication of use without the restriction of “when synthetic graft was not indicated.”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Budget Impact Model</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March 2025, the Budget Impact Model for Symvess was published in the </w:t>
      </w:r>
      <w:r>
        <w:rPr>
          <w:rFonts w:ascii="Times New Roman" w:hAnsi="Times New Roman"/>
          <w:i/>
          <w:color w:val="000000"/>
          <w:sz w:val="20"/>
        </w:rPr>
        <w:t>Journal of Medical Economics</w:t>
      </w:r>
      <w:r>
        <w:rPr>
          <w:rFonts w:ascii="Times New Roman" w:hAnsi="Times New Roman"/>
          <w:color w:val="000000"/>
          <w:sz w:val="20"/>
        </w:rPr>
        <w:t xml:space="preserve">. The publication reported that Symvess was projected to be cost saving for both trauma centers and third-party payers, primarily due to reductions in the costs related to amputations and conduit infections. This publication used inputs from the PROOVIT vascular trauma registry, databases of hospital charges and insurance claims, published literature (including the V005 results data published in the November 2024 </w:t>
      </w:r>
      <w:r>
        <w:rPr>
          <w:rFonts w:ascii="Times New Roman" w:hAnsi="Times New Roman"/>
          <w:i/>
          <w:color w:val="000000"/>
          <w:sz w:val="20"/>
        </w:rPr>
        <w:t>JAMA Surgery</w:t>
      </w:r>
      <w:r>
        <w:rPr>
          <w:rFonts w:ascii="Times New Roman" w:hAnsi="Times New Roman"/>
          <w:color w:val="000000"/>
          <w:sz w:val="20"/>
        </w:rPr>
        <w:t xml:space="preserve"> article), and expert opinion to evaluate the economic impact from the perspective of Level I trauma centers and third-party commercial, Medicare and Medicaid payors. The publication was developed in collaboration with health economists and vascular surgeons to ensure that current practices in extremity arterial trauma practices were reflected, and that current health economic modeling standards were followed. Based on the model, the per-patient cost for trauma centers of treating patients with Symvess is estimated to be less than the cost of treating trauma patients with synthetic and other non-autologous grafts as shown in the graph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Symvess (ATEV) Budget Impact Model</w:t>
      </w:r>
    </w:p>
    <w:p>
      <w:pPr>
        <w:pStyle w:val="TextBody"/>
        <w:bidi w:val="0"/>
        <w:jc w:val="center"/>
        <w:rPr>
          <w:rFonts w:ascii="Times New Roman" w:hAnsi="Times New Roman"/>
          <w:i/>
          <w:color w:val="231F20"/>
          <w:sz w:val="20"/>
        </w:rPr>
      </w:pPr>
      <w:r>
        <w:rPr>
          <w:rFonts w:ascii="Times New Roman" w:hAnsi="Times New Roman"/>
          <w:i/>
          <w:color w:val="231F20"/>
          <w:sz w:val="20"/>
        </w:rPr>
        <w:t>Estimated Per-Patient Cost for Trauma Centers</w:t>
      </w:r>
    </w:p>
    <w:p>
      <w:pPr>
        <w:pStyle w:val="TextBody"/>
        <w:bidi w:val="0"/>
        <w:spacing w:before="200" w:after="283"/>
        <w:jc w:val="center"/>
        <w:rPr/>
      </w:pPr>
      <w:r>
        <w:rPr/>
        <w:drawing>
          <wp:inline distT="0" distB="0" distL="0" distR="0">
            <wp:extent cx="6400800" cy="400050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6400800" cy="4000500"/>
                    </a:xfrm>
                    <a:prstGeom prst="rect">
                      <a:avLst/>
                    </a:prstGeom>
                  </pic:spPr>
                </pic:pic>
              </a:graphicData>
            </a:graphic>
          </wp:inline>
        </w:drawing>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model also showed greater savings for third-party payors (compared to trauma centers) due to the avoidance of late complications occurring after patients’ release from the hospital as shown in the graph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Symvess (ATEV) Budget Impact Model</w:t>
      </w:r>
    </w:p>
    <w:p>
      <w:pPr>
        <w:pStyle w:val="TextBody"/>
        <w:bidi w:val="0"/>
        <w:jc w:val="center"/>
        <w:rPr>
          <w:rFonts w:ascii="Times New Roman" w:hAnsi="Times New Roman"/>
          <w:i/>
          <w:color w:val="231F20"/>
          <w:sz w:val="20"/>
        </w:rPr>
      </w:pPr>
      <w:r>
        <w:rPr>
          <w:rFonts w:ascii="Times New Roman" w:hAnsi="Times New Roman"/>
          <w:i/>
          <w:color w:val="231F20"/>
          <w:sz w:val="20"/>
        </w:rPr>
        <w:t>Estimated Per-Patient Cost for Third-Party Payors</w:t>
      </w:r>
    </w:p>
    <w:p>
      <w:pPr>
        <w:pStyle w:val="TextBody"/>
        <w:bidi w:val="0"/>
        <w:jc w:val="center"/>
        <w:rPr/>
      </w:pPr>
      <w:r>
        <w:rPr/>
        <w:drawing>
          <wp:inline distT="0" distB="0" distL="0" distR="0">
            <wp:extent cx="6400800" cy="31051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6400800" cy="3105150"/>
                    </a:xfrm>
                    <a:prstGeom prst="rect">
                      <a:avLst/>
                    </a:prstGeom>
                  </pic:spPr>
                </pic:pic>
              </a:graphicData>
            </a:graphic>
          </wp:inline>
        </w:drawing>
      </w:r>
    </w:p>
    <w:p>
      <w:pPr>
        <w:pStyle w:val="TextBody"/>
        <w:bidi w:val="0"/>
        <w:spacing w:before="200" w:after="283"/>
        <w:jc w:val="left"/>
        <w:rPr>
          <w:rFonts w:ascii="Times New Roman" w:hAnsi="Times New Roman"/>
          <w:color w:val="0A0A0A"/>
          <w:sz w:val="20"/>
        </w:rPr>
      </w:pPr>
      <w:r>
        <w:rPr>
          <w:rFonts w:ascii="Times New Roman" w:hAnsi="Times New Roman"/>
          <w:color w:val="0A0A0A"/>
          <w:sz w:val="20"/>
        </w:rPr>
        <w:t>The major drivers of cost savings in the Budget Impact Model associated with Symvess across all stakeholders were attributed to reductions in the rate of vascular conduit infection and amputation.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Proposed Indication #2: Use of the ATEV for AV Access for Hemodialysis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Overview of Hemodialysis and Existing Methods of AV Access for Hemodialysis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End-stage renal disease (“ESRD”) develops when chronic kidney disease progresses to a point where either dialysis or a kidney transplant is required for the patient to survive. For hemodialysis to be conducted, a point of vascular access to the patient’s circulatory system must be created, termed vascular access, so that blood can be transported from the body to the dialyzer and then back to the body. The demand for vascular access conduits includes the need for both new hemodialysis patients who have progressed to ESRD requiring an initial access, and existing patients that require the replacement of their existing access. There are currently three traditional methods for obtaining vascular access for hemodialysis: an AV fistula, a synthetic graft, and a catheter. Each of these vascular access methods has substantial limitations, as outlined below:</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Three Traditional Methods for Obtaining Vascular Access for Hemodialysis</w:t>
      </w:r>
    </w:p>
    <w:p>
      <w:pPr>
        <w:pStyle w:val="TextBody"/>
        <w:bidi w:val="0"/>
        <w:spacing w:before="200" w:after="283"/>
        <w:jc w:val="center"/>
        <w:rPr/>
      </w:pPr>
      <w:r>
        <w:rPr/>
        <w:drawing>
          <wp:inline distT="0" distB="0" distL="0" distR="0">
            <wp:extent cx="6057900" cy="181927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6057900" cy="18192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Fistula</w:t>
      </w:r>
      <w:r>
        <w:rPr>
          <w:rFonts w:ascii="Times New Roman" w:hAnsi="Times New Roman"/>
          <w:color w:val="231F20"/>
          <w:sz w:val="20"/>
        </w:rPr>
        <w:t>. An AV fistula is created by surgically connecting a vein to an artery, typically in the patient’s arm. Fistulae are often considered the preferred means of access for hemodialysis due to lower infection rates of approximately 0.5% – 1.5% per patient-year as well as long-term durability. However, many patients are not suitable candidates for fistula placement, including women and patients with small vessel anatomy, advanced age, obesity, diabetes or other comorbidities. Approximately 40% of patients who undergo surgery for fistula creation will not gain any benefit from the surgery because the fistula lacks sufficient vein enlargement and increased blood flow, a process called fistula maturation, that is necessary for hemodialysis. Additionally, during the period in which the fistula is maturing, catheters are generally used to provide the patient access for dialysis. There is a high risk of infection and morbidity, and health care cost, associated with prolonged catheter dependence while waiting for the fistula to mature.</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Catheters</w:t>
      </w:r>
      <w:r>
        <w:rPr>
          <w:rFonts w:ascii="Times New Roman" w:hAnsi="Times New Roman"/>
          <w:color w:val="231F20"/>
          <w:sz w:val="20"/>
        </w:rPr>
        <w:t>. A catheter, which is tunneled underneath the skin and placed directly into a large vein in the patient, is generally the least desirable access solution. Given the time necessary for fistulae to mature, the vast majority of patients in the United States begin hemodialysis using a catheter while awaiting fistula maturation. Catheters have rates of blood stream infections as high as 200% per patient-year, with high associated morbidity and health care costs.</w:t>
      </w:r>
    </w:p>
    <w:p>
      <w:pPr>
        <w:pStyle w:val="TextBody"/>
        <w:bidi w:val="0"/>
        <w:spacing w:before="200" w:after="283"/>
        <w:jc w:val="left"/>
        <w:rPr>
          <w:rFonts w:ascii="Times New Roman" w:hAnsi="Times New Roman"/>
          <w:sz w:val="20"/>
        </w:rPr>
      </w:pPr>
      <w:r>
        <w:rPr>
          <w:rFonts w:ascii="Times New Roman" w:hAnsi="Times New Roman"/>
          <w:color w:val="231F20"/>
          <w:sz w:val="20"/>
          <w:u w:val="single"/>
        </w:rPr>
        <w:t>Synthetic graft</w:t>
      </w:r>
      <w:r>
        <w:rPr>
          <w:rFonts w:ascii="Times New Roman" w:hAnsi="Times New Roman"/>
          <w:color w:val="231F20"/>
          <w:sz w:val="20"/>
        </w:rPr>
        <w:t>. A synthetic graft, typically made from ePTFE and sewn between an artery and vein in the patient’s arm, is generally used in patients who are not candidates for fistulae. The drawbacks of synthetic grafts include higher infection rates, which can be as high as 10% – 15% per patient-year, and gradual degradation of the non-healing ePTFE graft material caused by persistent needle punctures. A recent systematic meta-analysis measuring the functional patency of ePTFE grafts shows that, on average, only 70% of ePTFE dialysis access grafts remain functional one year after implantation.</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Distribution of Hemodialysis Access Modes in Use in the United States</w:t>
      </w:r>
    </w:p>
    <w:p>
      <w:pPr>
        <w:pStyle w:val="TextBody"/>
        <w:bidi w:val="0"/>
        <w:jc w:val="center"/>
        <w:rPr/>
      </w:pPr>
      <w:r>
        <w:rPr/>
        <w:t> </w:t>
      </w:r>
    </w:p>
    <w:tbl>
      <w:tblPr>
        <w:tblW w:w="8049" w:type="dxa"/>
        <w:jc w:val="left"/>
        <w:tblInd w:w="0" w:type="dxa"/>
        <w:tblLayout w:type="fixed"/>
        <w:tblCellMar>
          <w:top w:w="28" w:type="dxa"/>
          <w:left w:w="28" w:type="dxa"/>
          <w:bottom w:w="28" w:type="dxa"/>
          <w:right w:w="28" w:type="dxa"/>
        </w:tblCellMar>
      </w:tblPr>
      <w:tblGrid>
        <w:gridCol w:w="3961"/>
        <w:gridCol w:w="146"/>
        <w:gridCol w:w="161"/>
        <w:gridCol w:w="515"/>
        <w:gridCol w:w="271"/>
        <w:gridCol w:w="146"/>
        <w:gridCol w:w="193"/>
        <w:gridCol w:w="618"/>
        <w:gridCol w:w="271"/>
        <w:gridCol w:w="146"/>
        <w:gridCol w:w="311"/>
        <w:gridCol w:w="994"/>
        <w:gridCol w:w="31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Access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Fistulae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Catheters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Synthetic Grafts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Incident Patients: At Initiation of Hemodialysis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Prevalent Patients: For Ongoing Hemodialysis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Overview of ATEV Experience in Hemodialysis Access: </w:t>
      </w:r>
      <w:r>
        <w:rPr>
          <w:rFonts w:ascii="Times New Roman" w:hAnsi="Times New Roman"/>
          <w:color w:val="231F20"/>
          <w:sz w:val="20"/>
        </w:rPr>
        <w:t>A table listing our clinical trials of the ATEV in hemodialysis access is included below. We have implanted the ATEV into approximately 445 total patients for hemodialysis access, for a total of more than 1,026 patient-years of exposure, as of December 31, 2025. Throughout these trials, we have observed consistent and sustained high primary and secondary patency rates. We have observed zero instances of clinical rejection of any ATEV in any hemodialysis access trial.</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Implantation of ATEV for Hemodialysis</w:t>
      </w:r>
    </w:p>
    <w:p>
      <w:pPr>
        <w:pStyle w:val="TextBody"/>
        <w:bidi w:val="0"/>
        <w:spacing w:before="200" w:after="283"/>
        <w:jc w:val="center"/>
        <w:rPr/>
      </w:pPr>
      <w:r>
        <w:rPr/>
        <w:drawing>
          <wp:inline distT="0" distB="0" distL="0" distR="0">
            <wp:extent cx="3857625" cy="127635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3857625" cy="1276350"/>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also observed in multiple clinical trials that our ATEVs had a low infection susceptibility during use for hemodialysis, with a rate lower than 1% per patient-year across all studies. The low infection susceptibility we observed in our trials of our ATEVs may be a result of the ATEV’s potential to become a living tissue as it becomes populated by cells from the patient’s body. Since living tissues are known to have resisted infection due to interactions with host white blood cells and immunological defense systems, it is possible that the repopulated ATEV resists infection for the same reasons that native arteries and veins resist infections, as is observed with autogenous fistulas.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also observed early evidence of potential healing from the cells that repopulate the ATEV after needle puncture for hemodialysis. In examining ATEV explanted segments we have observed healed needle cannulation tracts with cells expressing smooth muscle markers. This self-healing indicates that the ATEV may have repaired itself while being used as a hemodialysis access, which we believe is a distinct feature not present in synthetic materials, and, to our knowledge, has not been observed before for any other regenerative medicine product.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Our Current Phase 2 and Phase 3 Trials of the ATEV in Hemodialysis Access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146"/>
        <w:gridCol w:w="878"/>
        <w:gridCol w:w="146"/>
        <w:gridCol w:w="916"/>
        <w:gridCol w:w="146"/>
        <w:gridCol w:w="1511"/>
        <w:gridCol w:w="146"/>
        <w:gridCol w:w="1202"/>
        <w:gridCol w:w="146"/>
        <w:gridCol w:w="1359"/>
        <w:gridCol w:w="146"/>
        <w:gridCol w:w="2713"/>
      </w:tblGrid>
      <w:tr>
        <w:trPr/>
        <w:tc>
          <w:tcPr>
            <w:tcW w:w="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713" w:type="dxa"/>
            <w:tcBorders/>
            <w:shd w:fill="FFFFFF" w:val="clear"/>
            <w:vAlign w:val="center"/>
          </w:tcPr>
          <w:p>
            <w:pPr>
              <w:pStyle w:val="TableContents"/>
              <w:bidi w:val="0"/>
              <w:spacing w:before="0" w:after="283"/>
              <w:jc w:val="left"/>
              <w:rPr>
                <w:sz w:val="4"/>
                <w:szCs w:val="4"/>
              </w:rPr>
            </w:pPr>
            <w:r>
              <w:rPr>
                <w:sz w:val="4"/>
                <w:szCs w:val="4"/>
              </w:rPr>
            </w:r>
          </w:p>
        </w:tc>
      </w:tr>
      <w:tr>
        <w:trPr/>
        <w:tc>
          <w:tcPr>
            <w:tcW w:w="750"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Clinical Trial</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Indication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Begin</w:t>
            </w:r>
          </w:p>
          <w:p>
            <w:pPr>
              <w:pStyle w:val="TableContents"/>
              <w:bidi w:val="0"/>
              <w:spacing w:before="23" w:after="30"/>
              <w:jc w:val="center"/>
              <w:rPr>
                <w:rFonts w:ascii="Times New Roman" w:hAnsi="Times New Roman"/>
                <w:b/>
                <w:color w:val="000000"/>
                <w:sz w:val="16"/>
              </w:rPr>
            </w:pPr>
            <w:r>
              <w:rPr>
                <w:rFonts w:ascii="Times New Roman" w:hAnsi="Times New Roman"/>
                <w:b/>
                <w:color w:val="000000"/>
                <w:sz w:val="16"/>
              </w:rPr>
              <w:t>Enrollment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1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Design/Phase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Number of</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Subjects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Status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71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Outcomes**</w:t>
            </w:r>
          </w:p>
        </w:tc>
      </w:tr>
      <w:tr>
        <w:trPr/>
        <w:tc>
          <w:tcPr>
            <w:tcW w:w="750"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V001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Dialysis Access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2012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Phase 2 Single-arm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tcBorders/>
            <w:shd w:fill="CCEEFF" w:val="clear"/>
            <w:tcMar>
              <w:top w:w="0" w:type="dxa"/>
              <w:left w:w="0" w:type="dxa"/>
              <w:bottom w:w="0" w:type="dxa"/>
              <w:right w:w="0" w:type="dxa"/>
            </w:tcMar>
            <w:vAlign w:val="center"/>
          </w:tcPr>
          <w:p>
            <w:pPr>
              <w:pStyle w:val="TableContents"/>
              <w:bidi w:val="0"/>
              <w:spacing w:before="33" w:after="283"/>
              <w:jc w:val="left"/>
              <w:rPr>
                <w:rFonts w:ascii="Times New Roman" w:hAnsi="Times New Roman"/>
                <w:color w:val="000000"/>
                <w:sz w:val="16"/>
              </w:rPr>
            </w:pPr>
            <w:r>
              <w:rPr>
                <w:rFonts w:ascii="Times New Roman" w:hAnsi="Times New Roman"/>
                <w:color w:val="000000"/>
                <w:sz w:val="16"/>
              </w:rPr>
              <w:t>30</w:t>
              <w:noBreakHyphen/>
              <w:t>day PP: 95%</w:t>
            </w:r>
          </w:p>
          <w:p>
            <w:pPr>
              <w:pStyle w:val="TableContents"/>
              <w:bidi w:val="0"/>
              <w:jc w:val="left"/>
              <w:rPr>
                <w:rFonts w:ascii="Times New Roman" w:hAnsi="Times New Roman"/>
                <w:color w:val="000000"/>
                <w:sz w:val="16"/>
              </w:rPr>
            </w:pPr>
            <w:r>
              <w:rPr>
                <w:rFonts w:ascii="Times New Roman" w:hAnsi="Times New Roman"/>
                <w:color w:val="000000"/>
                <w:sz w:val="16"/>
              </w:rPr>
              <w:t>6</w:t>
              <w:noBreakHyphen/>
              <w:t>month SP: 100%</w:t>
            </w:r>
          </w:p>
          <w:p>
            <w:pPr>
              <w:pStyle w:val="TableContents"/>
              <w:bidi w:val="0"/>
              <w:jc w:val="left"/>
              <w:rPr>
                <w:rFonts w:ascii="Times New Roman" w:hAnsi="Times New Roman"/>
                <w:color w:val="000000"/>
                <w:sz w:val="16"/>
              </w:rPr>
            </w:pPr>
            <w:r>
              <w:rPr>
                <w:rFonts w:ascii="Times New Roman" w:hAnsi="Times New Roman"/>
                <w:color w:val="000000"/>
                <w:sz w:val="16"/>
              </w:rPr>
              <w:t>12</w:t>
              <w:noBreakHyphen/>
              <w:t>month SP: 97%</w:t>
            </w:r>
          </w:p>
          <w:p>
            <w:pPr>
              <w:pStyle w:val="TableContents"/>
              <w:bidi w:val="0"/>
              <w:jc w:val="left"/>
              <w:rPr>
                <w:rFonts w:ascii="Times New Roman" w:hAnsi="Times New Roman"/>
                <w:color w:val="000000"/>
                <w:sz w:val="16"/>
              </w:rPr>
            </w:pPr>
            <w:r>
              <w:rPr>
                <w:rFonts w:ascii="Times New Roman" w:hAnsi="Times New Roman"/>
                <w:color w:val="000000"/>
                <w:sz w:val="16"/>
              </w:rPr>
              <w:t>60-month SP: 58%</w:t>
            </w:r>
          </w:p>
          <w:p>
            <w:pPr>
              <w:pStyle w:val="TableContents"/>
              <w:bidi w:val="0"/>
              <w:jc w:val="left"/>
              <w:rPr>
                <w:rFonts w:ascii="Times New Roman" w:hAnsi="Times New Roman"/>
                <w:color w:val="000000"/>
                <w:sz w:val="16"/>
              </w:rPr>
            </w:pPr>
            <w:r>
              <w:rPr>
                <w:rFonts w:ascii="Times New Roman" w:hAnsi="Times New Roman"/>
                <w:color w:val="000000"/>
                <w:sz w:val="16"/>
              </w:rPr>
              <w:t>Infection Rate/yr: 0%</w:t>
            </w:r>
          </w:p>
          <w:p>
            <w:pPr>
              <w:pStyle w:val="TableContents"/>
              <w:bidi w:val="0"/>
              <w:jc w:val="left"/>
              <w:rPr>
                <w:rFonts w:ascii="Times New Roman" w:hAnsi="Times New Roman"/>
                <w:color w:val="000000"/>
                <w:sz w:val="16"/>
              </w:rPr>
            </w:pPr>
            <w:r>
              <w:rPr>
                <w:rFonts w:ascii="Times New Roman" w:hAnsi="Times New Roman"/>
                <w:color w:val="000000"/>
                <w:sz w:val="16"/>
              </w:rPr>
              <w:t>Number of Rejections: 0</w:t>
            </w:r>
          </w:p>
          <w:p>
            <w:pPr>
              <w:pStyle w:val="TableContents"/>
              <w:bidi w:val="0"/>
              <w:spacing w:before="0" w:after="30"/>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V003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Dialysis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Phase 2 Single-arm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Completed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tcBorders/>
            <w:shd w:fill="FFFFFF" w:val="clear"/>
            <w:tcMar>
              <w:top w:w="0" w:type="dxa"/>
              <w:left w:w="0" w:type="dxa"/>
              <w:bottom w:w="0" w:type="dxa"/>
              <w:right w:w="0" w:type="dxa"/>
            </w:tcMar>
            <w:vAlign w:val="center"/>
          </w:tcPr>
          <w:p>
            <w:pPr>
              <w:pStyle w:val="TableContents"/>
              <w:bidi w:val="0"/>
              <w:spacing w:before="53" w:after="283"/>
              <w:jc w:val="left"/>
              <w:rPr>
                <w:rFonts w:ascii="Times New Roman" w:hAnsi="Times New Roman"/>
                <w:color w:val="000000"/>
                <w:sz w:val="16"/>
              </w:rPr>
            </w:pPr>
            <w:r>
              <w:rPr>
                <w:rFonts w:ascii="Times New Roman" w:hAnsi="Times New Roman"/>
                <w:color w:val="000000"/>
                <w:sz w:val="16"/>
              </w:rPr>
              <w:t>30</w:t>
              <w:noBreakHyphen/>
              <w:t>day PP: 95%</w:t>
            </w:r>
          </w:p>
          <w:p>
            <w:pPr>
              <w:pStyle w:val="TableContents"/>
              <w:bidi w:val="0"/>
              <w:jc w:val="left"/>
              <w:rPr>
                <w:rFonts w:ascii="Times New Roman" w:hAnsi="Times New Roman"/>
                <w:color w:val="000000"/>
                <w:sz w:val="16"/>
              </w:rPr>
            </w:pPr>
            <w:r>
              <w:rPr>
                <w:rFonts w:ascii="Times New Roman" w:hAnsi="Times New Roman"/>
                <w:color w:val="000000"/>
                <w:sz w:val="16"/>
              </w:rPr>
              <w:t>6</w:t>
              <w:noBreakHyphen/>
              <w:t>month SP: 89%</w:t>
            </w:r>
          </w:p>
          <w:p>
            <w:pPr>
              <w:pStyle w:val="TableContents"/>
              <w:bidi w:val="0"/>
              <w:jc w:val="left"/>
              <w:rPr>
                <w:rFonts w:ascii="Times New Roman" w:hAnsi="Times New Roman"/>
                <w:color w:val="000000"/>
                <w:sz w:val="16"/>
              </w:rPr>
            </w:pPr>
            <w:r>
              <w:rPr>
                <w:rFonts w:ascii="Times New Roman" w:hAnsi="Times New Roman"/>
                <w:color w:val="000000"/>
                <w:sz w:val="16"/>
              </w:rPr>
              <w:t>12</w:t>
              <w:noBreakHyphen/>
              <w:t>month SP: 81%</w:t>
            </w:r>
          </w:p>
          <w:p>
            <w:pPr>
              <w:pStyle w:val="TableContents"/>
              <w:bidi w:val="0"/>
              <w:jc w:val="left"/>
              <w:rPr>
                <w:rFonts w:ascii="Times New Roman" w:hAnsi="Times New Roman"/>
                <w:color w:val="000000"/>
                <w:sz w:val="16"/>
              </w:rPr>
            </w:pPr>
            <w:r>
              <w:rPr>
                <w:rFonts w:ascii="Times New Roman" w:hAnsi="Times New Roman"/>
                <w:color w:val="000000"/>
                <w:sz w:val="16"/>
              </w:rPr>
              <w:t>Infection Rate/yr: 4% (1 event)</w:t>
            </w:r>
          </w:p>
          <w:p>
            <w:pPr>
              <w:pStyle w:val="TableContents"/>
              <w:bidi w:val="0"/>
              <w:spacing w:before="0" w:after="30"/>
              <w:jc w:val="left"/>
              <w:rPr>
                <w:rFonts w:ascii="Times New Roman" w:hAnsi="Times New Roman"/>
                <w:color w:val="000000"/>
                <w:sz w:val="16"/>
              </w:rPr>
            </w:pPr>
            <w:r>
              <w:rPr>
                <w:rFonts w:ascii="Times New Roman" w:hAnsi="Times New Roman"/>
                <w:color w:val="000000"/>
                <w:sz w:val="16"/>
              </w:rPr>
              <w:t>Number of Rejections: 0</w:t>
            </w:r>
          </w:p>
        </w:tc>
      </w:tr>
      <w:tr>
        <w:trPr/>
        <w:tc>
          <w:tcPr>
            <w:tcW w:w="750"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V006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Dialysis Access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Phase 3 Prospective Randomized Blinded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sz w:val="16"/>
              </w:rPr>
            </w:pPr>
            <w:r>
              <w:rPr>
                <w:rFonts w:ascii="Times New Roman" w:hAnsi="Times New Roman"/>
                <w:color w:val="000000"/>
                <w:sz w:val="16"/>
              </w:rPr>
              <w:t xml:space="preserve">355 total; 177 received </w:t>
            </w:r>
            <w:r>
              <w:rPr>
                <w:rFonts w:ascii="Times New Roman" w:hAnsi="Times New Roman"/>
                <w:color w:val="231F20"/>
                <w:sz w:val="16"/>
              </w:rPr>
              <w:t>ATEV</w:t>
            </w:r>
            <w:r>
              <w:rPr>
                <w:rFonts w:ascii="Times New Roman" w:hAnsi="Times New Roman"/>
                <w:color w:val="000000"/>
                <w:sz w:val="16"/>
              </w:rPr>
              <w:t> 178 received ePTFE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tcBorders/>
            <w:shd w:fill="CCEEFF" w:val="clear"/>
            <w:tcMar>
              <w:top w:w="0" w:type="dxa"/>
              <w:left w:w="0" w:type="dxa"/>
              <w:bottom w:w="0" w:type="dxa"/>
              <w:right w:w="0" w:type="dxa"/>
            </w:tcMar>
            <w:vAlign w:val="center"/>
          </w:tcPr>
          <w:p>
            <w:pPr>
              <w:pStyle w:val="TableContents"/>
              <w:bidi w:val="0"/>
              <w:spacing w:before="53" w:after="283"/>
              <w:jc w:val="left"/>
              <w:rPr>
                <w:rFonts w:ascii="Times New Roman" w:hAnsi="Times New Roman"/>
                <w:sz w:val="16"/>
              </w:rPr>
            </w:pPr>
            <w:r>
              <w:rPr>
                <w:rFonts w:ascii="Times New Roman" w:hAnsi="Times New Roman"/>
                <w:color w:val="000000"/>
                <w:sz w:val="16"/>
              </w:rPr>
              <w:t>30</w:t>
              <w:noBreakHyphen/>
              <w:t xml:space="preserve">day PP </w:t>
            </w:r>
            <w:r>
              <w:rPr>
                <w:rFonts w:ascii="Times New Roman" w:hAnsi="Times New Roman"/>
                <w:color w:val="231F20"/>
                <w:sz w:val="16"/>
              </w:rPr>
              <w:t>ATEV</w:t>
            </w:r>
            <w:r>
              <w:rPr>
                <w:rFonts w:ascii="Times New Roman" w:hAnsi="Times New Roman"/>
                <w:color w:val="000000"/>
                <w:sz w:val="16"/>
              </w:rPr>
              <w:t>: 93%</w:t>
            </w:r>
          </w:p>
          <w:p>
            <w:pPr>
              <w:pStyle w:val="TableContents"/>
              <w:bidi w:val="0"/>
              <w:jc w:val="left"/>
              <w:rPr>
                <w:rFonts w:ascii="Times New Roman" w:hAnsi="Times New Roman"/>
                <w:sz w:val="16"/>
              </w:rPr>
            </w:pPr>
            <w:r>
              <w:rPr>
                <w:rFonts w:ascii="Times New Roman" w:hAnsi="Times New Roman"/>
                <w:color w:val="000000"/>
                <w:sz w:val="16"/>
              </w:rPr>
              <w:t>12</w:t>
              <w:noBreakHyphen/>
              <w:t xml:space="preserve">month SP </w:t>
            </w:r>
            <w:r>
              <w:rPr>
                <w:rFonts w:ascii="Times New Roman" w:hAnsi="Times New Roman"/>
                <w:color w:val="231F20"/>
                <w:sz w:val="16"/>
              </w:rPr>
              <w:t>ATEV</w:t>
            </w:r>
            <w:r>
              <w:rPr>
                <w:rFonts w:ascii="Times New Roman" w:hAnsi="Times New Roman"/>
                <w:color w:val="000000"/>
                <w:sz w:val="16"/>
              </w:rPr>
              <w:t>: 82%</w:t>
            </w:r>
          </w:p>
          <w:p>
            <w:pPr>
              <w:pStyle w:val="TableContents"/>
              <w:bidi w:val="0"/>
              <w:jc w:val="left"/>
              <w:rPr>
                <w:rFonts w:ascii="Times New Roman" w:hAnsi="Times New Roman"/>
                <w:sz w:val="16"/>
              </w:rPr>
            </w:pPr>
            <w:r>
              <w:rPr>
                <w:rFonts w:ascii="Times New Roman" w:hAnsi="Times New Roman"/>
                <w:color w:val="000000"/>
                <w:sz w:val="16"/>
              </w:rPr>
              <w:t>24</w:t>
              <w:noBreakHyphen/>
              <w:t xml:space="preserve">month SP </w:t>
            </w:r>
            <w:r>
              <w:rPr>
                <w:rFonts w:ascii="Times New Roman" w:hAnsi="Times New Roman"/>
                <w:color w:val="231F20"/>
                <w:sz w:val="16"/>
              </w:rPr>
              <w:t>ATEV</w:t>
            </w:r>
            <w:r>
              <w:rPr>
                <w:rFonts w:ascii="Times New Roman" w:hAnsi="Times New Roman"/>
                <w:color w:val="000000"/>
                <w:sz w:val="16"/>
              </w:rPr>
              <w:t>: 67%</w:t>
            </w:r>
          </w:p>
          <w:p>
            <w:pPr>
              <w:pStyle w:val="TableContents"/>
              <w:bidi w:val="0"/>
              <w:jc w:val="left"/>
              <w:rPr>
                <w:rFonts w:ascii="Times New Roman" w:hAnsi="Times New Roman"/>
                <w:color w:val="000000"/>
                <w:sz w:val="16"/>
              </w:rPr>
            </w:pPr>
            <w:r>
              <w:rPr>
                <w:rFonts w:ascii="Times New Roman" w:hAnsi="Times New Roman"/>
                <w:color w:val="000000"/>
                <w:sz w:val="16"/>
              </w:rPr>
              <w:t>12</w:t>
              <w:noBreakHyphen/>
              <w:t>month SP ePTFE: 80%</w:t>
            </w:r>
          </w:p>
          <w:p>
            <w:pPr>
              <w:pStyle w:val="TableContents"/>
              <w:bidi w:val="0"/>
              <w:jc w:val="left"/>
              <w:rPr>
                <w:rFonts w:ascii="Times New Roman" w:hAnsi="Times New Roman"/>
                <w:color w:val="000000"/>
                <w:sz w:val="16"/>
              </w:rPr>
            </w:pPr>
            <w:r>
              <w:rPr>
                <w:rFonts w:ascii="Times New Roman" w:hAnsi="Times New Roman"/>
                <w:color w:val="000000"/>
                <w:sz w:val="16"/>
              </w:rPr>
              <w:t>24</w:t>
              <w:noBreakHyphen/>
              <w:t>month SP ePTFE: 74%</w:t>
            </w:r>
          </w:p>
          <w:p>
            <w:pPr>
              <w:pStyle w:val="TableContents"/>
              <w:bidi w:val="0"/>
              <w:jc w:val="left"/>
              <w:rPr>
                <w:rFonts w:ascii="Times New Roman" w:hAnsi="Times New Roman"/>
                <w:sz w:val="16"/>
              </w:rPr>
            </w:pPr>
            <w:r>
              <w:rPr>
                <w:rFonts w:ascii="Times New Roman" w:hAnsi="Times New Roman"/>
                <w:color w:val="000000"/>
                <w:sz w:val="16"/>
              </w:rPr>
              <w:t xml:space="preserve">Infection Rate </w:t>
            </w:r>
            <w:r>
              <w:rPr>
                <w:rFonts w:ascii="Times New Roman" w:hAnsi="Times New Roman"/>
                <w:color w:val="231F20"/>
                <w:sz w:val="16"/>
              </w:rPr>
              <w:t>ATEV</w:t>
            </w:r>
            <w:r>
              <w:rPr>
                <w:rFonts w:ascii="Times New Roman" w:hAnsi="Times New Roman"/>
                <w:color w:val="000000"/>
                <w:sz w:val="16"/>
              </w:rPr>
              <w:t>/yr: 0.93%</w:t>
            </w:r>
          </w:p>
          <w:p>
            <w:pPr>
              <w:pStyle w:val="TableContents"/>
              <w:bidi w:val="0"/>
              <w:jc w:val="left"/>
              <w:rPr>
                <w:rFonts w:ascii="Times New Roman" w:hAnsi="Times New Roman"/>
                <w:color w:val="000000"/>
                <w:sz w:val="16"/>
              </w:rPr>
            </w:pPr>
            <w:r>
              <w:rPr>
                <w:rFonts w:ascii="Times New Roman" w:hAnsi="Times New Roman"/>
                <w:color w:val="000000"/>
                <w:sz w:val="16"/>
              </w:rPr>
              <w:t>Infection Rate ePTFE/yr: 4.5%</w:t>
            </w:r>
          </w:p>
          <w:p>
            <w:pPr>
              <w:pStyle w:val="TableContents"/>
              <w:bidi w:val="0"/>
              <w:spacing w:before="0" w:after="30"/>
              <w:jc w:val="left"/>
              <w:rPr>
                <w:rFonts w:ascii="Times New Roman" w:hAnsi="Times New Roman"/>
                <w:sz w:val="16"/>
              </w:rPr>
            </w:pPr>
            <w:r>
              <w:rPr>
                <w:rFonts w:ascii="Times New Roman" w:hAnsi="Times New Roman"/>
                <w:color w:val="000000"/>
                <w:sz w:val="16"/>
              </w:rPr>
              <w:t xml:space="preserve">Number of </w:t>
            </w:r>
            <w:r>
              <w:rPr>
                <w:rFonts w:ascii="Times New Roman" w:hAnsi="Times New Roman"/>
                <w:color w:val="231F20"/>
                <w:sz w:val="16"/>
              </w:rPr>
              <w:t>ATEV</w:t>
            </w:r>
            <w:r>
              <w:rPr>
                <w:rFonts w:ascii="Times New Roman" w:hAnsi="Times New Roman"/>
                <w:color w:val="000000"/>
                <w:sz w:val="16"/>
              </w:rPr>
              <w:t> Rejections: 0</w:t>
            </w:r>
          </w:p>
        </w:tc>
      </w:tr>
      <w:tr>
        <w:trPr/>
        <w:tc>
          <w:tcPr>
            <w:tcW w:w="750"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V007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Dialysis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Phase 3 Prospective Randomized Blinded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242 total; 123 received ATEV, 119 received AVF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Topline results reported August 2024, two-year follow-up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tcBorders/>
            <w:shd w:fill="FFFFFF" w:val="clear"/>
            <w:tcMar>
              <w:top w:w="0" w:type="dxa"/>
              <w:left w:w="0" w:type="dxa"/>
              <w:bottom w:w="0" w:type="dxa"/>
              <w:right w:w="0" w:type="dxa"/>
            </w:tcMar>
            <w:vAlign w:val="center"/>
          </w:tcPr>
          <w:p>
            <w:pPr>
              <w:pStyle w:val="TableContents"/>
              <w:bidi w:val="0"/>
              <w:spacing w:before="53" w:after="283"/>
              <w:jc w:val="left"/>
              <w:rPr>
                <w:rFonts w:ascii="Times New Roman" w:hAnsi="Times New Roman"/>
                <w:color w:val="000000"/>
                <w:sz w:val="16"/>
              </w:rPr>
            </w:pPr>
            <w:r>
              <w:rPr>
                <w:rFonts w:ascii="Times New Roman" w:hAnsi="Times New Roman"/>
                <w:color w:val="000000"/>
                <w:sz w:val="16"/>
              </w:rPr>
              <w:t>6-month SP ATEV: 81%</w:t>
            </w:r>
          </w:p>
          <w:p>
            <w:pPr>
              <w:pStyle w:val="TableContents"/>
              <w:bidi w:val="0"/>
              <w:jc w:val="left"/>
              <w:rPr>
                <w:rFonts w:ascii="Times New Roman" w:hAnsi="Times New Roman"/>
                <w:color w:val="000000"/>
                <w:sz w:val="16"/>
              </w:rPr>
            </w:pPr>
            <w:r>
              <w:rPr>
                <w:rFonts w:ascii="Times New Roman" w:hAnsi="Times New Roman"/>
                <w:color w:val="000000"/>
                <w:sz w:val="16"/>
              </w:rPr>
              <w:t>12-month SP ATEV: 68%</w:t>
            </w:r>
          </w:p>
          <w:p>
            <w:pPr>
              <w:pStyle w:val="TableContents"/>
              <w:bidi w:val="0"/>
              <w:jc w:val="left"/>
              <w:rPr>
                <w:rFonts w:ascii="Times New Roman" w:hAnsi="Times New Roman"/>
                <w:color w:val="000000"/>
                <w:sz w:val="16"/>
              </w:rPr>
            </w:pPr>
            <w:r>
              <w:rPr>
                <w:rFonts w:ascii="Times New Roman" w:hAnsi="Times New Roman"/>
                <w:color w:val="000000"/>
                <w:sz w:val="16"/>
              </w:rPr>
              <w:t>6-month SP AVF: 66%</w:t>
            </w:r>
          </w:p>
          <w:p>
            <w:pPr>
              <w:pStyle w:val="TableContents"/>
              <w:bidi w:val="0"/>
              <w:spacing w:before="0" w:after="30"/>
              <w:jc w:val="left"/>
              <w:rPr>
                <w:rFonts w:ascii="Times New Roman" w:hAnsi="Times New Roman"/>
                <w:color w:val="000000"/>
                <w:sz w:val="16"/>
              </w:rPr>
            </w:pPr>
            <w:r>
              <w:rPr>
                <w:rFonts w:ascii="Times New Roman" w:hAnsi="Times New Roman"/>
                <w:color w:val="000000"/>
                <w:sz w:val="16"/>
              </w:rPr>
              <w:t>12-month SP AVF: 62%</w:t>
            </w:r>
          </w:p>
        </w:tc>
      </w:tr>
      <w:tr>
        <w:trPr/>
        <w:tc>
          <w:tcPr>
            <w:tcW w:w="750"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V011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Dialysis Access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2019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Phase 2 (LUNA200 Manufacturing System Bridging Study)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tcBorders/>
            <w:shd w:fill="CCEEFF" w:val="clear"/>
            <w:tcMar>
              <w:top w:w="0" w:type="dxa"/>
              <w:left w:w="0" w:type="dxa"/>
              <w:bottom w:w="0" w:type="dxa"/>
              <w:right w:w="0" w:type="dxa"/>
            </w:tcMar>
            <w:vAlign w:val="center"/>
          </w:tcPr>
          <w:p>
            <w:pPr>
              <w:pStyle w:val="TableContents"/>
              <w:bidi w:val="0"/>
              <w:spacing w:before="53" w:after="283"/>
              <w:jc w:val="left"/>
              <w:rPr>
                <w:rFonts w:ascii="Times New Roman" w:hAnsi="Times New Roman"/>
                <w:color w:val="000000"/>
                <w:sz w:val="16"/>
              </w:rPr>
            </w:pPr>
            <w:r>
              <w:rPr>
                <w:rFonts w:ascii="Times New Roman" w:hAnsi="Times New Roman"/>
                <w:color w:val="000000"/>
                <w:sz w:val="16"/>
              </w:rPr>
              <w:t>30</w:t>
              <w:noBreakHyphen/>
              <w:t>day PP: 97%</w:t>
            </w:r>
          </w:p>
          <w:p>
            <w:pPr>
              <w:pStyle w:val="TableContents"/>
              <w:bidi w:val="0"/>
              <w:jc w:val="left"/>
              <w:rPr>
                <w:rFonts w:ascii="Times New Roman" w:hAnsi="Times New Roman"/>
                <w:color w:val="000000"/>
                <w:sz w:val="16"/>
              </w:rPr>
            </w:pPr>
            <w:r>
              <w:rPr>
                <w:rFonts w:ascii="Times New Roman" w:hAnsi="Times New Roman"/>
                <w:color w:val="000000"/>
                <w:sz w:val="16"/>
              </w:rPr>
              <w:t>30</w:t>
              <w:noBreakHyphen/>
              <w:t>day SP: 100%</w:t>
            </w:r>
          </w:p>
          <w:p>
            <w:pPr>
              <w:pStyle w:val="TableContents"/>
              <w:bidi w:val="0"/>
              <w:jc w:val="left"/>
              <w:rPr>
                <w:rFonts w:ascii="Times New Roman" w:hAnsi="Times New Roman"/>
                <w:color w:val="000000"/>
                <w:sz w:val="16"/>
              </w:rPr>
            </w:pPr>
            <w:r>
              <w:rPr>
                <w:rFonts w:ascii="Times New Roman" w:hAnsi="Times New Roman"/>
                <w:color w:val="000000"/>
                <w:sz w:val="16"/>
              </w:rPr>
              <w:t>12-month SP: 83%</w:t>
            </w:r>
          </w:p>
          <w:p>
            <w:pPr>
              <w:pStyle w:val="TableContents"/>
              <w:bidi w:val="0"/>
              <w:jc w:val="left"/>
              <w:rPr>
                <w:rFonts w:ascii="Times New Roman" w:hAnsi="Times New Roman"/>
                <w:sz w:val="16"/>
              </w:rPr>
            </w:pPr>
            <w:r>
              <w:rPr>
                <w:rFonts w:ascii="Times New Roman" w:hAnsi="Times New Roman"/>
                <w:color w:val="000000"/>
                <w:sz w:val="16"/>
              </w:rPr>
              <w:t xml:space="preserve">Infection Rate </w:t>
            </w:r>
            <w:r>
              <w:rPr>
                <w:rFonts w:ascii="Times New Roman" w:hAnsi="Times New Roman"/>
                <w:color w:val="231F20"/>
                <w:sz w:val="16"/>
              </w:rPr>
              <w:t>ATEV</w:t>
            </w:r>
            <w:r>
              <w:rPr>
                <w:rFonts w:ascii="Times New Roman" w:hAnsi="Times New Roman"/>
                <w:color w:val="000000"/>
                <w:sz w:val="16"/>
              </w:rPr>
              <w:t>/yr: 0%</w:t>
            </w:r>
          </w:p>
          <w:p>
            <w:pPr>
              <w:pStyle w:val="TableContents"/>
              <w:bidi w:val="0"/>
              <w:spacing w:before="0" w:after="30"/>
              <w:jc w:val="left"/>
              <w:rPr>
                <w:rFonts w:ascii="Times New Roman" w:hAnsi="Times New Roman"/>
                <w:sz w:val="16"/>
              </w:rPr>
            </w:pPr>
            <w:r>
              <w:rPr>
                <w:rFonts w:ascii="Times New Roman" w:hAnsi="Times New Roman"/>
                <w:color w:val="000000"/>
                <w:sz w:val="16"/>
              </w:rPr>
              <w:t xml:space="preserve">Number of </w:t>
            </w:r>
            <w:r>
              <w:rPr>
                <w:rFonts w:ascii="Times New Roman" w:hAnsi="Times New Roman"/>
                <w:color w:val="231F20"/>
                <w:sz w:val="16"/>
              </w:rPr>
              <w:t>ATEV</w:t>
            </w:r>
            <w:r>
              <w:rPr>
                <w:rFonts w:ascii="Times New Roman" w:hAnsi="Times New Roman"/>
                <w:color w:val="000000"/>
                <w:sz w:val="16"/>
              </w:rPr>
              <w:t> Rejections: 0</w:t>
            </w:r>
          </w:p>
        </w:tc>
      </w:tr>
      <w:tr>
        <w:trPr/>
        <w:tc>
          <w:tcPr>
            <w:tcW w:w="750"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V012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Dialysis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Phase 3 Prospective Randomized Blinded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Target 150 women total, 113 currently enrolled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Enrollment ongoing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Trial is currently enrolling, interim analysis planned on first 80 patients after one-year of follow up. The 80th patient is expected to complete one year of follow up in April 2026</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18"/>
        </w:rPr>
      </w:pPr>
      <w:r>
        <w:rPr>
          <w:rFonts w:ascii="Times New Roman" w:hAnsi="Times New Roman"/>
          <w:color w:val="231F20"/>
          <w:sz w:val="18"/>
        </w:rPr>
        <w:t>** PP: Primary Patency, which is the interval of time of access placement until any intervention designed to maintain or reestablish patency, access thrombosis, or the time of measurement of patency, i.e. patent without interventions.</w:t>
      </w:r>
    </w:p>
    <w:p>
      <w:pPr>
        <w:pStyle w:val="TextBody"/>
        <w:bidi w:val="0"/>
        <w:spacing w:before="200" w:after="283"/>
        <w:jc w:val="left"/>
        <w:rPr>
          <w:rFonts w:ascii="Times New Roman" w:hAnsi="Times New Roman"/>
          <w:color w:val="231F20"/>
          <w:sz w:val="18"/>
        </w:rPr>
      </w:pPr>
      <w:r>
        <w:rPr>
          <w:rFonts w:ascii="Times New Roman" w:hAnsi="Times New Roman"/>
          <w:color w:val="231F20"/>
          <w:sz w:val="18"/>
        </w:rPr>
        <w:t>SP: Secondary Patency, which is the interval from the time of access placement until abandonment, i.e. patent with or without interventions.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u w:val="single"/>
        </w:rPr>
      </w:pPr>
      <w:r>
        <w:rPr>
          <w:rFonts w:ascii="Times New Roman" w:hAnsi="Times New Roman"/>
          <w:i/>
          <w:color w:val="231F20"/>
          <w:sz w:val="20"/>
          <w:u w:val="single"/>
        </w:rPr>
        <w:t>Long-Term Data from Early Phase 2 Trials in Hemodialysis: V001 and V003</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Phase 2 Trial Design and Current Outcomes: </w:t>
      </w:r>
      <w:r>
        <w:rPr>
          <w:rFonts w:ascii="Times New Roman" w:hAnsi="Times New Roman"/>
          <w:color w:val="231F20"/>
          <w:sz w:val="20"/>
        </w:rPr>
        <w:t xml:space="preserve">We have completed or are in long-term follow-up on two open-label Phase 2 trials in 60 hemodialysis patients in the United States and Poland from December 2012 through May 2014, which we refer to as our V003 trial and V001 trial, respectively. Both the V001 and V003 studies were designed as single-arm trials to assess the safety and efficacy of the ATEV for hemodialysis access, with assessments of patency at 6, 12, 18 and 24 months. In the 60 patients enrolled in these two studies, blood flow through all ATEVs was appropriate for hemodialysis, averaging over 1,200 mL/minute. Secondary patency for the two combined trials was 97% at six months, 89% at 12-months, and 81% at 18-months. These results compare favorably to published reports of secondary patency for fistula of 51% – 61% at six months and 75% at 12 months. Long-term results from the V001 trial showing five-year secondary patency of 58% were published in the </w:t>
      </w:r>
      <w:r>
        <w:rPr>
          <w:rFonts w:ascii="Times New Roman" w:hAnsi="Times New Roman"/>
          <w:i/>
          <w:color w:val="231F20"/>
          <w:sz w:val="20"/>
        </w:rPr>
        <w:t>European Journal of Vascular and Endovascular Surgery</w:t>
      </w:r>
      <w:r>
        <w:rPr>
          <w:rFonts w:ascii="Times New Roman" w:hAnsi="Times New Roman"/>
          <w:color w:val="231F20"/>
          <w:sz w:val="20"/>
        </w:rPr>
        <w:t xml:space="preserve"> companion journal </w:t>
      </w:r>
      <w:r>
        <w:rPr>
          <w:rFonts w:ascii="Times New Roman" w:hAnsi="Times New Roman"/>
          <w:i/>
          <w:color w:val="231F20"/>
          <w:sz w:val="20"/>
        </w:rPr>
        <w:t xml:space="preserve">EJVES Vascular Forum </w:t>
      </w:r>
      <w:r>
        <w:rPr>
          <w:rFonts w:ascii="Times New Roman" w:hAnsi="Times New Roman"/>
          <w:color w:val="231F20"/>
          <w:sz w:val="20"/>
        </w:rPr>
        <w:t>in February 2022, and patients from the V001 trial are currently in a 10-year follow-up period.</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Images and long-term results from Phase 2 V001 trial of ATEV in AV Access</w:t>
      </w:r>
    </w:p>
    <w:p>
      <w:pPr>
        <w:pStyle w:val="TextBody"/>
        <w:bidi w:val="0"/>
        <w:spacing w:before="200" w:after="283"/>
        <w:jc w:val="center"/>
        <w:rPr/>
      </w:pPr>
      <w:r>
        <w:rPr/>
        <w:drawing>
          <wp:inline distT="0" distB="0" distL="0" distR="0">
            <wp:extent cx="5238750" cy="18573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5238750" cy="1857375"/>
                    </a:xfrm>
                    <a:prstGeom prst="rect">
                      <a:avLst/>
                    </a:prstGeom>
                  </pic:spPr>
                </pic:pic>
              </a:graphicData>
            </a:graphic>
          </wp:inline>
        </w:drawing>
      </w:r>
    </w:p>
    <w:p>
      <w:pPr>
        <w:pStyle w:val="TextBody"/>
        <w:bidi w:val="0"/>
        <w:spacing w:before="200" w:after="283"/>
        <w:jc w:val="center"/>
        <w:rPr/>
      </w:pPr>
      <w:r>
        <w:rPr/>
        <w:drawing>
          <wp:inline distT="0" distB="0" distL="0" distR="0">
            <wp:extent cx="3657600" cy="264795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3657600" cy="2647950"/>
                    </a:xfrm>
                    <a:prstGeom prst="rect">
                      <a:avLst/>
                    </a:prstGeom>
                  </pic:spPr>
                </pic:pic>
              </a:graphicData>
            </a:graphic>
          </wp:inline>
        </w:drawing>
      </w:r>
    </w:p>
    <w:p>
      <w:pPr>
        <w:pStyle w:val="TextBody"/>
        <w:bidi w:val="0"/>
        <w:spacing w:before="200" w:after="283"/>
        <w:jc w:val="left"/>
        <w:rPr>
          <w:rFonts w:ascii="Times New Roman" w:hAnsi="Times New Roman"/>
          <w:i/>
          <w:color w:val="231F20"/>
          <w:sz w:val="20"/>
          <w:u w:val="single"/>
        </w:rPr>
      </w:pPr>
      <w:r>
        <w:rPr>
          <w:rFonts w:ascii="Times New Roman" w:hAnsi="Times New Roman"/>
          <w:i/>
          <w:color w:val="231F20"/>
          <w:sz w:val="20"/>
          <w:u w:val="single"/>
        </w:rPr>
        <w:t>Phase 3 V006 AV Access Study</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Trial Design: </w:t>
      </w:r>
      <w:r>
        <w:rPr>
          <w:rFonts w:ascii="Times New Roman" w:hAnsi="Times New Roman"/>
          <w:color w:val="231F20"/>
          <w:sz w:val="20"/>
        </w:rPr>
        <w:t>Our V006 HUMANITY study was a prospective, multi-center, multinational, open-label, randomized, two-arm, comparative study. Eligible study subjects were randomized to receive either a ATEV or a commercially available ePTFE graft and followed to 24 months post-implantation by routine study visits. After 24 months, subjects with a patent conduit are followed to five years post-implantation using a questionnaire at six-month intervals to ascertain patient and conduit status. The primary endpoint for the V006 HUMANITY trial was a non-inferiority analysis of secondary patency compared to ePTFE, to be assessed when all subjects are at least 18 months post-implantation. There were a total of 37 sites that participated in the study, enrolling a combined total of 355 subjects.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24-Month Results: </w:t>
      </w:r>
      <w:r>
        <w:rPr>
          <w:rFonts w:ascii="Times New Roman" w:hAnsi="Times New Roman"/>
          <w:color w:val="231F20"/>
          <w:sz w:val="20"/>
        </w:rPr>
        <w:t>The V006 study enrolled 355 subjects who were roughly equally matched in terms of demographics and co-morbidities. ATEV subjects trended older (p=0.06) and had more prior strokes (p=0.02) than did ePTFE subjects.</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V006 HUMANITY trial subject demographics</w:t>
      </w:r>
    </w:p>
    <w:p>
      <w:pPr>
        <w:pStyle w:val="TextBody"/>
        <w:bidi w:val="0"/>
        <w:jc w:val="center"/>
        <w:rPr/>
      </w:pPr>
      <w:r>
        <w:rPr/>
        <w:t> </w:t>
      </w:r>
    </w:p>
    <w:tbl>
      <w:tblPr>
        <w:tblW w:w="4942" w:type="dxa"/>
        <w:jc w:val="left"/>
        <w:tblInd w:w="0" w:type="dxa"/>
        <w:tblLayout w:type="fixed"/>
        <w:tblCellMar>
          <w:top w:w="28" w:type="dxa"/>
          <w:left w:w="28" w:type="dxa"/>
          <w:bottom w:w="28" w:type="dxa"/>
          <w:right w:w="28" w:type="dxa"/>
        </w:tblCellMar>
      </w:tblPr>
      <w:tblGrid>
        <w:gridCol w:w="2191"/>
        <w:gridCol w:w="146"/>
        <w:gridCol w:w="766"/>
        <w:gridCol w:w="146"/>
        <w:gridCol w:w="766"/>
        <w:gridCol w:w="146"/>
        <w:gridCol w:w="78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FFFFFF"/>
              <w:left w:val="single" w:sz="8" w:space="0" w:color="FFFFFF"/>
              <w:bottom w:val="single" w:sz="8" w:space="0" w:color="FFFFFF"/>
            </w:tcBorders>
            <w:shd w:fill="818286" w:val="clear"/>
            <w:tcMar>
              <w:left w:w="53" w:type="dxa"/>
              <w:right w:w="0" w:type="dxa"/>
            </w:tcMar>
            <w:vAlign w:val="center"/>
          </w:tcPr>
          <w:p>
            <w:pPr>
              <w:pStyle w:val="TableContents"/>
              <w:bidi w:val="0"/>
              <w:jc w:val="left"/>
              <w:rPr>
                <w:rFonts w:ascii="Arial" w:hAnsi="Arial"/>
                <w:b/>
                <w:color w:val="FFFFFF"/>
                <w:sz w:val="20"/>
              </w:rPr>
            </w:pPr>
            <w:r>
              <w:rPr>
                <w:rFonts w:ascii="Arial" w:hAnsi="Arial"/>
                <w:b/>
                <w:color w:val="FFFFFF"/>
                <w:sz w:val="20"/>
              </w:rPr>
              <w:t>V006 Demographics</w:t>
            </w:r>
          </w:p>
          <w:p>
            <w:pPr>
              <w:pStyle w:val="TableContents"/>
              <w:bidi w:val="0"/>
              <w:spacing w:before="0" w:after="283"/>
              <w:jc w:val="left"/>
              <w:rPr>
                <w:rFonts w:ascii="Arial" w:hAnsi="Arial"/>
                <w:color w:val="FFFFFF"/>
                <w:sz w:val="20"/>
              </w:rPr>
            </w:pPr>
            <w:r>
              <w:rPr>
                <w:rFonts w:ascii="Arial" w:hAnsi="Arial"/>
                <w:color w:val="FFFFFF"/>
                <w:sz w:val="20"/>
              </w:rPr>
              <w:t>(N=355)</w:t>
            </w:r>
          </w:p>
        </w:tc>
        <w:tc>
          <w:tcPr>
            <w:tcW w:w="146" w:type="dxa"/>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pPr>
            <w:r>
              <w:rPr/>
              <w:t> </w:t>
            </w:r>
          </w:p>
        </w:tc>
        <w:tc>
          <w:tcPr>
            <w:tcW w:w="766" w:type="dxa"/>
            <w:tcBorders>
              <w:top w:val="single" w:sz="8" w:space="0" w:color="FFFFFF"/>
              <w:left w:val="single" w:sz="8" w:space="0" w:color="FFFFFF"/>
              <w:bottom w:val="single" w:sz="8" w:space="0" w:color="FFFFFF"/>
            </w:tcBorders>
            <w:shd w:fill="818286" w:val="clear"/>
            <w:tcMar>
              <w:left w:w="53" w:type="dxa"/>
              <w:right w:w="0" w:type="dxa"/>
            </w:tcMar>
            <w:vAlign w:val="center"/>
          </w:tcPr>
          <w:p>
            <w:pPr>
              <w:pStyle w:val="TableContents"/>
              <w:bidi w:val="0"/>
              <w:jc w:val="center"/>
              <w:rPr>
                <w:rFonts w:ascii="Arial" w:hAnsi="Arial"/>
                <w:b/>
                <w:color w:val="FFFFFF"/>
                <w:sz w:val="20"/>
              </w:rPr>
            </w:pPr>
            <w:r>
              <w:rPr>
                <w:rFonts w:ascii="Arial" w:hAnsi="Arial"/>
                <w:b/>
                <w:color w:val="FFFFFF"/>
                <w:sz w:val="20"/>
              </w:rPr>
              <w:t>ePTFE</w:t>
            </w:r>
          </w:p>
          <w:p>
            <w:pPr>
              <w:pStyle w:val="TableContents"/>
              <w:bidi w:val="0"/>
              <w:spacing w:before="0" w:after="283"/>
              <w:jc w:val="center"/>
              <w:rPr>
                <w:rFonts w:ascii="Arial" w:hAnsi="Arial"/>
                <w:color w:val="FFFFFF"/>
                <w:sz w:val="20"/>
              </w:rPr>
            </w:pPr>
            <w:r>
              <w:rPr>
                <w:rFonts w:ascii="Arial" w:hAnsi="Arial"/>
                <w:color w:val="FFFFFF"/>
                <w:sz w:val="20"/>
              </w:rPr>
              <w:t>(n=178)</w:t>
            </w:r>
          </w:p>
        </w:tc>
        <w:tc>
          <w:tcPr>
            <w:tcW w:w="146" w:type="dxa"/>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pPr>
            <w:r>
              <w:rPr/>
              <w:t> </w:t>
            </w:r>
          </w:p>
        </w:tc>
        <w:tc>
          <w:tcPr>
            <w:tcW w:w="766" w:type="dxa"/>
            <w:tcBorders>
              <w:top w:val="single" w:sz="8" w:space="0" w:color="FFFFFF"/>
              <w:left w:val="single" w:sz="8" w:space="0" w:color="FFFFFF"/>
              <w:bottom w:val="single" w:sz="8" w:space="0" w:color="FFFFFF"/>
            </w:tcBorders>
            <w:shd w:fill="24428B" w:val="clear"/>
            <w:tcMar>
              <w:left w:w="53" w:type="dxa"/>
              <w:right w:w="0" w:type="dxa"/>
            </w:tcMar>
            <w:vAlign w:val="center"/>
          </w:tcPr>
          <w:p>
            <w:pPr>
              <w:pStyle w:val="TableContents"/>
              <w:bidi w:val="0"/>
              <w:jc w:val="center"/>
              <w:rPr>
                <w:rFonts w:ascii="Arial" w:hAnsi="Arial"/>
                <w:color w:val="FFFFFF"/>
                <w:sz w:val="20"/>
              </w:rPr>
            </w:pPr>
            <w:r>
              <w:rPr>
                <w:rFonts w:ascii="Arial" w:hAnsi="Arial"/>
                <w:color w:val="FFFFFF"/>
                <w:sz w:val="20"/>
              </w:rPr>
              <w:t>ATEV</w:t>
            </w:r>
          </w:p>
          <w:p>
            <w:pPr>
              <w:pStyle w:val="TableContents"/>
              <w:bidi w:val="0"/>
              <w:spacing w:before="0" w:after="283"/>
              <w:jc w:val="center"/>
              <w:rPr>
                <w:rFonts w:ascii="Arial" w:hAnsi="Arial"/>
                <w:color w:val="FFFFFF"/>
                <w:sz w:val="20"/>
              </w:rPr>
            </w:pPr>
            <w:r>
              <w:rPr>
                <w:rFonts w:ascii="Arial" w:hAnsi="Arial"/>
                <w:color w:val="FFFFFF"/>
                <w:sz w:val="20"/>
              </w:rPr>
              <w:t>(n=177)</w:t>
            </w:r>
          </w:p>
        </w:tc>
        <w:tc>
          <w:tcPr>
            <w:tcW w:w="146" w:type="dxa"/>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pPr>
            <w:r>
              <w:rPr/>
              <w:t> </w:t>
            </w:r>
          </w:p>
        </w:tc>
        <w:tc>
          <w:tcPr>
            <w:tcW w:w="781" w:type="dxa"/>
            <w:tcBorders>
              <w:top w:val="single" w:sz="8" w:space="0" w:color="FFFFFF"/>
              <w:left w:val="single" w:sz="8" w:space="0" w:color="FFFFFF"/>
              <w:bottom w:val="single" w:sz="8" w:space="0" w:color="FFFFFF"/>
              <w:right w:val="single" w:sz="8" w:space="0" w:color="FFFFFF"/>
            </w:tcBorders>
            <w:shd w:fill="818286" w:val="clear"/>
            <w:tcMar>
              <w:left w:w="53" w:type="dxa"/>
              <w:right w:w="53"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p-value</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Age(years)</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59.9</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62.6</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0.06</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Male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49.4%</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49.7%</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tcMar>
              <w:top w:w="0" w:type="dxa"/>
            </w:tcMar>
            <w:vAlign w:val="center"/>
          </w:tcPr>
          <w:p>
            <w:pPr>
              <w:pStyle w:val="TableContents"/>
              <w:bidi w:val="0"/>
              <w:spacing w:before="0" w:after="283"/>
              <w:jc w:val="left"/>
              <w:rPr/>
            </w:pPr>
            <w:r>
              <w:rPr/>
              <w:t> </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Caucasian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65.2%</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69.5%</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Black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27.5%</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24.9%</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Hispanic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11.2%</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14.7%</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Asian / Other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3.4%</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2.3%</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tcMar>
              <w:top w:w="0" w:type="dxa"/>
            </w:tcMar>
            <w:vAlign w:val="center"/>
          </w:tcPr>
          <w:p>
            <w:pPr>
              <w:pStyle w:val="TableContents"/>
              <w:bidi w:val="0"/>
              <w:spacing w:before="0" w:after="283"/>
              <w:jc w:val="left"/>
              <w:rPr/>
            </w:pPr>
            <w:r>
              <w:rPr/>
              <w:t> </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Body Mass Index (BMI)</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29.2</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28.9</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Hypertension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79.8%</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79.7%</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Cardiac Disease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50.6%</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57.1%</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Diabetes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29.2%</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32.8%</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NS</w:t>
            </w:r>
          </w:p>
        </w:tc>
      </w:tr>
      <w:tr>
        <w:trPr/>
        <w:tc>
          <w:tcPr>
            <w:tcW w:w="2191"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Prior Stroke (%)</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5.6%</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6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33" w:after="30"/>
              <w:jc w:val="center"/>
              <w:rPr>
                <w:rFonts w:ascii="Arial" w:hAnsi="Arial"/>
                <w:b/>
                <w:color w:val="24428B"/>
                <w:sz w:val="20"/>
              </w:rPr>
            </w:pPr>
            <w:r>
              <w:rPr>
                <w:rFonts w:ascii="Arial" w:hAnsi="Arial"/>
                <w:b/>
                <w:color w:val="24428B"/>
                <w:sz w:val="20"/>
              </w:rPr>
              <w:t>12.4%</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781" w:type="dxa"/>
            <w:tcBorders>
              <w:left w:val="single" w:sz="8" w:space="0" w:color="FFFFFF"/>
              <w:bottom w:val="single" w:sz="8" w:space="0" w:color="FFFFFF"/>
              <w:right w:val="single" w:sz="8" w:space="0" w:color="FFFFFF"/>
            </w:tcBorders>
            <w:shd w:fill="F1F3F2" w:val="clear"/>
            <w:tcMar>
              <w:top w:w="0" w:type="dxa"/>
              <w:left w:w="53" w:type="dxa"/>
              <w:right w:w="53"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0.02</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secondary patency of the ATEV was greater than that of ePTFE at six and 12 months but lower at 18 and 24 months, an outcome that had not been modelled in the V006 trial design. As per the pre-specified Cox Proportional Hazards test, the ATEV did not achieve its primary efficacy endpoint regarding secondary patency. In terms of safety, the ATEV had a statistically significant lower rate of conduit infections compared to ePTFE. Substantial differences in antibiotic use and need for hospitalization for infection were also noted in the V006 trial, all favoring the ATEV. The safety advantage of the ATEV over ePTFE may be clinically important as infection and sepsis are the second most common cause of death in dialysis patients.</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V006 HUMANITY trial secondary patency results</w:t>
      </w:r>
    </w:p>
    <w:p>
      <w:pPr>
        <w:pStyle w:val="TextBody"/>
        <w:bidi w:val="0"/>
        <w:jc w:val="center"/>
        <w:rPr/>
      </w:pPr>
      <w:r>
        <w:rPr/>
        <w:t> </w:t>
      </w:r>
    </w:p>
    <w:tbl>
      <w:tblPr>
        <w:tblW w:w="8809" w:type="dxa"/>
        <w:jc w:val="left"/>
        <w:tblInd w:w="0" w:type="dxa"/>
        <w:tblLayout w:type="fixed"/>
        <w:tblCellMar>
          <w:top w:w="28" w:type="dxa"/>
          <w:left w:w="28" w:type="dxa"/>
          <w:bottom w:w="28" w:type="dxa"/>
          <w:right w:w="28" w:type="dxa"/>
        </w:tblCellMar>
      </w:tblPr>
      <w:tblGrid>
        <w:gridCol w:w="2896"/>
        <w:gridCol w:w="146"/>
        <w:gridCol w:w="1291"/>
        <w:gridCol w:w="146"/>
        <w:gridCol w:w="1291"/>
        <w:gridCol w:w="146"/>
        <w:gridCol w:w="1291"/>
        <w:gridCol w:w="146"/>
        <w:gridCol w:w="145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8" w:space="0" w:color="FFFFFF"/>
              <w:left w:val="single" w:sz="8" w:space="0" w:color="FFFFFF"/>
              <w:bottom w:val="single" w:sz="8" w:space="0" w:color="FFFFFF"/>
            </w:tcBorders>
            <w:shd w:fill="4BB3D0" w:val="clear"/>
            <w:tcMar>
              <w:left w:w="53" w:type="dxa"/>
              <w:right w:w="0" w:type="dxa"/>
            </w:tcMar>
            <w:vAlign w:val="center"/>
          </w:tcPr>
          <w:p>
            <w:pPr>
              <w:pStyle w:val="TableContents"/>
              <w:bidi w:val="0"/>
              <w:spacing w:before="33" w:after="30"/>
              <w:jc w:val="center"/>
              <w:rPr>
                <w:rFonts w:ascii="Arial" w:hAnsi="Arial"/>
                <w:color w:val="FFFFFF"/>
                <w:sz w:val="16"/>
              </w:rPr>
            </w:pPr>
            <w:r>
              <w:rPr>
                <w:rFonts w:ascii="Arial" w:hAnsi="Arial"/>
                <w:color w:val="FFFFFF"/>
                <w:sz w:val="16"/>
              </w:rPr>
              <w:t>Secondary Patency</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91" w:type="dxa"/>
            <w:tcBorders>
              <w:top w:val="single" w:sz="8" w:space="0" w:color="FFFFFF"/>
              <w:bottom w:val="single" w:sz="8" w:space="0" w:color="FFFFFF"/>
            </w:tcBorders>
            <w:shd w:fill="4BB3D0" w:val="clear"/>
            <w:tcMar>
              <w:left w:w="0" w:type="dxa"/>
              <w:right w:w="0" w:type="dxa"/>
            </w:tcMar>
            <w:vAlign w:val="center"/>
          </w:tcPr>
          <w:p>
            <w:pPr>
              <w:pStyle w:val="TableContents"/>
              <w:bidi w:val="0"/>
              <w:spacing w:before="33" w:after="30"/>
              <w:jc w:val="center"/>
              <w:rPr>
                <w:rFonts w:ascii="Arial" w:hAnsi="Arial"/>
                <w:color w:val="FFFFFF"/>
                <w:sz w:val="16"/>
              </w:rPr>
            </w:pPr>
            <w:r>
              <w:rPr>
                <w:rFonts w:ascii="Arial" w:hAnsi="Arial"/>
                <w:color w:val="FFFFFF"/>
                <w:sz w:val="16"/>
              </w:rPr>
              <w:t>6 months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91" w:type="dxa"/>
            <w:tcBorders>
              <w:top w:val="single" w:sz="8" w:space="0" w:color="FFFFFF"/>
              <w:bottom w:val="single" w:sz="8" w:space="0" w:color="FFFFFF"/>
            </w:tcBorders>
            <w:shd w:fill="4BB3D0" w:val="clear"/>
            <w:tcMar>
              <w:left w:w="0" w:type="dxa"/>
              <w:right w:w="0" w:type="dxa"/>
            </w:tcMar>
            <w:vAlign w:val="center"/>
          </w:tcPr>
          <w:p>
            <w:pPr>
              <w:pStyle w:val="TableContents"/>
              <w:bidi w:val="0"/>
              <w:spacing w:before="33" w:after="30"/>
              <w:jc w:val="center"/>
              <w:rPr>
                <w:rFonts w:ascii="Arial" w:hAnsi="Arial"/>
                <w:color w:val="FFFFFF"/>
                <w:sz w:val="16"/>
              </w:rPr>
            </w:pPr>
            <w:r>
              <w:rPr>
                <w:rFonts w:ascii="Arial" w:hAnsi="Arial"/>
                <w:color w:val="FFFFFF"/>
                <w:sz w:val="16"/>
              </w:rPr>
              <w:t>12 months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91" w:type="dxa"/>
            <w:tcBorders>
              <w:top w:val="single" w:sz="8" w:space="0" w:color="FFFFFF"/>
              <w:bottom w:val="single" w:sz="8" w:space="0" w:color="FFFFFF"/>
            </w:tcBorders>
            <w:shd w:fill="4BB3D0" w:val="clear"/>
            <w:tcMar>
              <w:left w:w="0" w:type="dxa"/>
              <w:right w:w="0" w:type="dxa"/>
            </w:tcMar>
            <w:vAlign w:val="center"/>
          </w:tcPr>
          <w:p>
            <w:pPr>
              <w:pStyle w:val="TableContents"/>
              <w:bidi w:val="0"/>
              <w:spacing w:before="33" w:after="30"/>
              <w:jc w:val="center"/>
              <w:rPr>
                <w:rFonts w:ascii="Arial" w:hAnsi="Arial"/>
                <w:color w:val="FFFFFF"/>
                <w:sz w:val="16"/>
              </w:rPr>
            </w:pPr>
            <w:r>
              <w:rPr>
                <w:rFonts w:ascii="Arial" w:hAnsi="Arial"/>
                <w:color w:val="FFFFFF"/>
                <w:sz w:val="16"/>
              </w:rPr>
              <w:t>18 months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56" w:type="dxa"/>
            <w:tcBorders>
              <w:top w:val="single" w:sz="8" w:space="0" w:color="FFFFFF"/>
              <w:bottom w:val="single" w:sz="8" w:space="0" w:color="FFFFFF"/>
              <w:right w:val="single" w:sz="8" w:space="0" w:color="FFFFFF"/>
            </w:tcBorders>
            <w:shd w:fill="4BB3D0" w:val="clear"/>
            <w:tcMar>
              <w:left w:w="0" w:type="dxa"/>
              <w:right w:w="53" w:type="dxa"/>
            </w:tcMar>
            <w:vAlign w:val="center"/>
          </w:tcPr>
          <w:p>
            <w:pPr>
              <w:pStyle w:val="TableContents"/>
              <w:bidi w:val="0"/>
              <w:spacing w:before="33" w:after="30"/>
              <w:ind w:left="0" w:right="0" w:firstLine="120"/>
              <w:jc w:val="center"/>
              <w:rPr>
                <w:rFonts w:ascii="Arial" w:hAnsi="Arial"/>
                <w:color w:val="FFFFFF"/>
                <w:sz w:val="16"/>
              </w:rPr>
            </w:pPr>
            <w:r>
              <w:rPr>
                <w:rFonts w:ascii="Arial" w:hAnsi="Arial"/>
                <w:color w:val="FFFFFF"/>
                <w:sz w:val="16"/>
              </w:rPr>
              <w:t>24 months</w:t>
            </w:r>
          </w:p>
        </w:tc>
      </w:tr>
      <w:tr>
        <w:trPr/>
        <w:tc>
          <w:tcPr>
            <w:tcW w:w="2896" w:type="dxa"/>
            <w:tcBorders>
              <w:left w:val="single" w:sz="8" w:space="0" w:color="FFFFFF"/>
              <w:bottom w:val="single" w:sz="8" w:space="0" w:color="FFFFFF"/>
            </w:tcBorders>
            <w:shd w:fill="B9E0EF" w:val="clear"/>
            <w:tcMar>
              <w:top w:w="0" w:type="dxa"/>
              <w:left w:w="53" w:type="dxa"/>
              <w:right w:w="0" w:type="dxa"/>
            </w:tcMar>
            <w:vAlign w:val="center"/>
          </w:tcPr>
          <w:p>
            <w:pPr>
              <w:pStyle w:val="TableContents"/>
              <w:bidi w:val="0"/>
              <w:spacing w:before="33" w:after="30"/>
              <w:ind w:left="0" w:right="0" w:firstLine="120"/>
              <w:jc w:val="left"/>
              <w:rPr>
                <w:rFonts w:ascii="Times New Roman" w:hAnsi="Times New Roman"/>
                <w:sz w:val="16"/>
              </w:rPr>
            </w:pPr>
            <w:r>
              <w:rPr>
                <w:rFonts w:ascii="Arial" w:hAnsi="Arial"/>
                <w:color w:val="4BB3D0"/>
                <w:sz w:val="16"/>
              </w:rPr>
              <w:t>ATEV</w:t>
            </w:r>
            <w:r>
              <w:rPr>
                <w:rFonts w:ascii="Times New Roman" w:hAnsi="Times New Roman"/>
                <w:color w:val="4BB3D0"/>
                <w:sz w:val="16"/>
              </w:rPr>
              <w:t> </w:t>
            </w:r>
            <w:r>
              <w:rPr>
                <w:rFonts w:ascii="Arial" w:hAnsi="Arial"/>
                <w:b/>
                <w:color w:val="4BB3D0"/>
                <w:sz w:val="16"/>
              </w:rPr>
              <w:t>HUMANITY</w:t>
            </w:r>
            <w:r>
              <w:rPr>
                <w:rFonts w:ascii="Times New Roman" w:hAnsi="Times New Roman"/>
                <w:color w:val="4BB3D0"/>
                <w:sz w:val="16"/>
              </w:rPr>
              <w:t> </w:t>
            </w:r>
            <w:r>
              <w:rPr>
                <w:rFonts w:ascii="Arial" w:hAnsi="Arial"/>
                <w:color w:val="4BB3D0"/>
                <w:sz w:val="16"/>
              </w:rPr>
              <w:t>[Mean (95% CI)]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B9E0EF" w:val="clear"/>
            <w:tcMar>
              <w:top w:w="0" w:type="dxa"/>
              <w:left w:w="0" w:type="dxa"/>
              <w:right w:w="0" w:type="dxa"/>
            </w:tcMar>
            <w:vAlign w:val="center"/>
          </w:tcPr>
          <w:p>
            <w:pPr>
              <w:pStyle w:val="TableContents"/>
              <w:bidi w:val="0"/>
              <w:spacing w:before="33" w:after="30"/>
              <w:jc w:val="center"/>
              <w:rPr>
                <w:rFonts w:ascii="Arial" w:hAnsi="Arial"/>
                <w:color w:val="4BB3D0"/>
                <w:sz w:val="16"/>
              </w:rPr>
            </w:pPr>
            <w:r>
              <w:rPr>
                <w:rFonts w:ascii="Arial" w:hAnsi="Arial"/>
                <w:color w:val="4BB3D0"/>
                <w:sz w:val="16"/>
              </w:rPr>
              <w:t>92% (87 – 95%)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B9E0EF" w:val="clear"/>
            <w:tcMar>
              <w:top w:w="0" w:type="dxa"/>
              <w:left w:w="0" w:type="dxa"/>
              <w:right w:w="0" w:type="dxa"/>
            </w:tcMar>
            <w:vAlign w:val="center"/>
          </w:tcPr>
          <w:p>
            <w:pPr>
              <w:pStyle w:val="TableContents"/>
              <w:bidi w:val="0"/>
              <w:spacing w:before="33" w:after="30"/>
              <w:jc w:val="center"/>
              <w:rPr>
                <w:rFonts w:ascii="Arial" w:hAnsi="Arial"/>
                <w:color w:val="4BB3D0"/>
                <w:sz w:val="16"/>
              </w:rPr>
            </w:pPr>
            <w:r>
              <w:rPr>
                <w:rFonts w:ascii="Arial" w:hAnsi="Arial"/>
                <w:color w:val="4BB3D0"/>
                <w:sz w:val="16"/>
              </w:rPr>
              <w:t>82% (75 – 87%)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B9E0EF" w:val="clear"/>
            <w:tcMar>
              <w:top w:w="0" w:type="dxa"/>
              <w:left w:w="0" w:type="dxa"/>
              <w:right w:w="0" w:type="dxa"/>
            </w:tcMar>
            <w:vAlign w:val="center"/>
          </w:tcPr>
          <w:p>
            <w:pPr>
              <w:pStyle w:val="TableContents"/>
              <w:bidi w:val="0"/>
              <w:spacing w:before="33" w:after="30"/>
              <w:jc w:val="center"/>
              <w:rPr>
                <w:rFonts w:ascii="Arial" w:hAnsi="Arial"/>
                <w:color w:val="4BB3D0"/>
                <w:sz w:val="16"/>
              </w:rPr>
            </w:pPr>
            <w:r>
              <w:rPr>
                <w:rFonts w:ascii="Arial" w:hAnsi="Arial"/>
                <w:color w:val="4BB3D0"/>
                <w:sz w:val="16"/>
              </w:rPr>
              <w:t>73% (65 – 79%)</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8" w:space="0" w:color="FFFFFF"/>
              <w:right w:val="single" w:sz="8" w:space="0" w:color="FFFFFF"/>
            </w:tcBorders>
            <w:shd w:fill="B9E0EF" w:val="clear"/>
            <w:tcMar>
              <w:top w:w="0" w:type="dxa"/>
              <w:left w:w="0" w:type="dxa"/>
            </w:tcMar>
            <w:vAlign w:val="center"/>
          </w:tcPr>
          <w:p>
            <w:pPr>
              <w:pStyle w:val="TableContents"/>
              <w:bidi w:val="0"/>
              <w:spacing w:before="33" w:after="30"/>
              <w:ind w:left="0" w:right="0" w:firstLine="120"/>
              <w:jc w:val="center"/>
              <w:rPr>
                <w:rFonts w:ascii="Arial" w:hAnsi="Arial"/>
                <w:color w:val="4BB3D0"/>
                <w:sz w:val="16"/>
              </w:rPr>
            </w:pPr>
            <w:r>
              <w:rPr>
                <w:rFonts w:ascii="Arial" w:hAnsi="Arial"/>
                <w:color w:val="4BB3D0"/>
                <w:sz w:val="16"/>
              </w:rPr>
              <w:t>67% (59 – 74%)</w:t>
            </w:r>
          </w:p>
        </w:tc>
      </w:tr>
      <w:tr>
        <w:trPr/>
        <w:tc>
          <w:tcPr>
            <w:tcW w:w="289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ind w:left="0" w:right="0" w:firstLine="120"/>
              <w:jc w:val="left"/>
              <w:rPr>
                <w:rFonts w:ascii="Arial" w:hAnsi="Arial"/>
                <w:color w:val="000000"/>
                <w:sz w:val="16"/>
              </w:rPr>
            </w:pPr>
            <w:r>
              <w:rPr>
                <w:rFonts w:ascii="Arial" w:hAnsi="Arial"/>
                <w:color w:val="000000"/>
                <w:sz w:val="16"/>
              </w:rPr>
              <w:t>ePTFE HUMANITY [Mean (95% CI)]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87% (81 – 85%)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80% (73 – 85%)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77% (70 – 83%)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8" w:space="0" w:color="FFFFFF"/>
              <w:right w:val="single" w:sz="8" w:space="0" w:color="FFFFFF"/>
            </w:tcBorders>
            <w:shd w:fill="F1F3F2" w:val="clear"/>
            <w:tcMar>
              <w:top w:w="0" w:type="dxa"/>
              <w:lef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74% (67 – 81%)</w:t>
            </w:r>
          </w:p>
        </w:tc>
      </w:tr>
    </w:tbl>
    <w:p>
      <w:pPr>
        <w:pStyle w:val="TextBody"/>
        <w:bidi w:val="0"/>
        <w:jc w:val="center"/>
        <w:rPr/>
      </w:pPr>
      <w:r>
        <w:rPr/>
        <w:t> </w:t>
      </w:r>
    </w:p>
    <w:tbl>
      <w:tblPr>
        <w:tblW w:w="7156" w:type="dxa"/>
        <w:jc w:val="left"/>
        <w:tblInd w:w="0" w:type="dxa"/>
        <w:tblLayout w:type="fixed"/>
        <w:tblCellMar>
          <w:top w:w="28" w:type="dxa"/>
          <w:left w:w="28" w:type="dxa"/>
          <w:bottom w:w="28" w:type="dxa"/>
          <w:right w:w="28" w:type="dxa"/>
        </w:tblCellMar>
      </w:tblPr>
      <w:tblGrid>
        <w:gridCol w:w="1486"/>
        <w:gridCol w:w="146"/>
        <w:gridCol w:w="871"/>
        <w:gridCol w:w="146"/>
        <w:gridCol w:w="796"/>
        <w:gridCol w:w="146"/>
        <w:gridCol w:w="1126"/>
        <w:gridCol w:w="146"/>
        <w:gridCol w:w="871"/>
        <w:gridCol w:w="146"/>
        <w:gridCol w:w="12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7156" w:type="dxa"/>
            <w:gridSpan w:val="11"/>
            <w:tcBorders>
              <w:top w:val="single" w:sz="8" w:space="0" w:color="FFFFFF"/>
              <w:left w:val="single" w:sz="8" w:space="0" w:color="FFFFFF"/>
              <w:right w:val="single" w:sz="8" w:space="0" w:color="FFFFFF"/>
            </w:tcBorders>
            <w:shd w:fill="4BB3D0" w:val="clear"/>
            <w:tcMar>
              <w:left w:w="53" w:type="dxa"/>
              <w:bottom w:w="0" w:type="dxa"/>
              <w:right w:w="53" w:type="dxa"/>
            </w:tcMar>
            <w:vAlign w:val="center"/>
          </w:tcPr>
          <w:p>
            <w:pPr>
              <w:pStyle w:val="TableContents"/>
              <w:bidi w:val="0"/>
              <w:spacing w:before="0" w:after="283"/>
              <w:jc w:val="center"/>
              <w:rPr>
                <w:rFonts w:ascii="Arial" w:hAnsi="Arial"/>
                <w:color w:val="FFFFFF"/>
                <w:sz w:val="16"/>
              </w:rPr>
            </w:pPr>
            <w:r>
              <w:rPr>
                <w:rFonts w:ascii="Arial" w:hAnsi="Arial"/>
                <w:color w:val="FFFFFF"/>
                <w:sz w:val="16"/>
              </w:rPr>
              <w:t>Cox Proportional Hazards Model for Time to Loss of Secondary Patency</w:t>
            </w:r>
          </w:p>
        </w:tc>
      </w:tr>
      <w:tr>
        <w:trPr/>
        <w:tc>
          <w:tcPr>
            <w:tcW w:w="1486" w:type="dxa"/>
            <w:vMerge w:val="restart"/>
            <w:tcBorders>
              <w:top w:val="single" w:sz="8" w:space="0" w:color="FFFFFF"/>
              <w:left w:val="single" w:sz="8" w:space="0" w:color="FFFFFF"/>
            </w:tcBorders>
            <w:shd w:fill="B9E0EF" w:val="clear"/>
            <w:tcMar>
              <w:left w:w="53"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Treatment Group</w:t>
            </w:r>
          </w:p>
          <w:p>
            <w:pPr>
              <w:pStyle w:val="TableContents"/>
              <w:bidi w:val="0"/>
              <w:spacing w:before="0" w:after="283"/>
              <w:jc w:val="center"/>
              <w:rPr>
                <w:rFonts w:ascii="Arial" w:hAnsi="Arial"/>
                <w:b/>
                <w:color w:val="000000"/>
                <w:sz w:val="16"/>
              </w:rPr>
            </w:pPr>
            <w:r>
              <w:rPr>
                <w:rFonts w:ascii="Arial" w:hAnsi="Arial"/>
                <w:b/>
                <w:color w:val="000000"/>
                <w:sz w:val="16"/>
              </w:rPr>
              <w:t>(ATEV vs ePTFE)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71" w:type="dxa"/>
            <w:vMerge w:val="restart"/>
            <w:tcBorders>
              <w:top w:val="single" w:sz="8" w:space="0" w:color="FFFFFF"/>
            </w:tcBorders>
            <w:shd w:fill="B9E0E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068" w:type="dxa"/>
            <w:gridSpan w:val="3"/>
            <w:tcBorders>
              <w:top w:val="single" w:sz="8" w:space="0" w:color="FFFFFF"/>
            </w:tcBorders>
            <w:shd w:fill="B9E0EF" w:val="clear"/>
            <w:tcMar>
              <w:left w:w="0" w:type="dxa"/>
              <w:bottom w:w="0" w:type="dxa"/>
              <w:right w:w="0" w:type="dxa"/>
            </w:tcMar>
            <w:vAlign w:val="center"/>
          </w:tcPr>
          <w:p>
            <w:pPr>
              <w:pStyle w:val="TableContents"/>
              <w:bidi w:val="0"/>
              <w:spacing w:before="33" w:after="30"/>
              <w:jc w:val="center"/>
              <w:rPr>
                <w:rFonts w:ascii="Arial" w:hAnsi="Arial"/>
                <w:b/>
                <w:color w:val="000000"/>
                <w:sz w:val="16"/>
              </w:rPr>
            </w:pPr>
            <w:r>
              <w:rPr>
                <w:rFonts w:ascii="Arial" w:hAnsi="Arial"/>
                <w:b/>
                <w:color w:val="000000"/>
                <w:sz w:val="16"/>
              </w:rPr>
              <w:t>Hazard Ratio</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71" w:type="dxa"/>
            <w:vMerge w:val="restart"/>
            <w:tcBorders>
              <w:top w:val="single" w:sz="8" w:space="0" w:color="FFFFFF"/>
            </w:tcBorders>
            <w:shd w:fill="B9E0EF" w:val="clear"/>
            <w:tcMar>
              <w:left w:w="0" w:type="dxa"/>
              <w:bottom w:w="0" w:type="dxa"/>
              <w:right w:w="0" w:type="dxa"/>
            </w:tcMar>
            <w:vAlign w:val="center"/>
          </w:tcPr>
          <w:p>
            <w:pPr>
              <w:pStyle w:val="TableContents"/>
              <w:bidi w:val="0"/>
              <w:spacing w:before="33" w:after="283"/>
              <w:jc w:val="center"/>
              <w:rPr>
                <w:rFonts w:ascii="Arial" w:hAnsi="Arial"/>
                <w:b/>
                <w:color w:val="000000"/>
                <w:sz w:val="16"/>
              </w:rPr>
            </w:pPr>
            <w:r>
              <w:rPr>
                <w:rFonts w:ascii="Arial" w:hAnsi="Arial"/>
                <w:b/>
                <w:color w:val="000000"/>
                <w:sz w:val="16"/>
              </w:rPr>
              <w:t>Non-</w:t>
            </w:r>
          </w:p>
          <w:p>
            <w:pPr>
              <w:pStyle w:val="TableContents"/>
              <w:bidi w:val="0"/>
              <w:spacing w:before="33" w:after="283"/>
              <w:jc w:val="center"/>
              <w:rPr>
                <w:rFonts w:ascii="Arial" w:hAnsi="Arial"/>
                <w:b/>
                <w:color w:val="000000"/>
                <w:sz w:val="16"/>
              </w:rPr>
            </w:pPr>
            <w:r>
              <w:rPr>
                <w:rFonts w:ascii="Arial" w:hAnsi="Arial"/>
                <w:b/>
                <w:color w:val="000000"/>
                <w:sz w:val="16"/>
              </w:rPr>
              <w:t>inferiority</w:t>
            </w:r>
          </w:p>
          <w:p>
            <w:pPr>
              <w:pStyle w:val="TableContents"/>
              <w:bidi w:val="0"/>
              <w:spacing w:before="0" w:after="30"/>
              <w:jc w:val="center"/>
              <w:rPr>
                <w:rFonts w:ascii="Arial" w:hAnsi="Arial"/>
                <w:b/>
                <w:color w:val="000000"/>
                <w:sz w:val="16"/>
              </w:rPr>
            </w:pPr>
            <w:r>
              <w:rPr>
                <w:rFonts w:ascii="Arial" w:hAnsi="Arial"/>
                <w:b/>
                <w:color w:val="000000"/>
                <w:sz w:val="16"/>
              </w:rPr>
              <w:t>Margin</w:t>
            </w:r>
          </w:p>
          <w:p>
            <w:pPr>
              <w:pStyle w:val="TableContents"/>
              <w:bidi w:val="0"/>
              <w:spacing w:before="0" w:after="30"/>
              <w:jc w:val="center"/>
              <w:rPr>
                <w:rFonts w:ascii="Arial" w:hAnsi="Arial"/>
                <w:b/>
                <w:color w:val="000000"/>
                <w:sz w:val="16"/>
              </w:rPr>
            </w:pPr>
            <w:r>
              <w:rPr>
                <w:rFonts w:ascii="Arial" w:hAnsi="Arial"/>
                <w:b/>
                <w:color w:val="000000"/>
                <w:sz w:val="16"/>
              </w:rPr>
              <w:t>Hazard</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76" w:type="dxa"/>
            <w:vMerge w:val="restart"/>
            <w:tcBorders>
              <w:top w:val="single" w:sz="8" w:space="0" w:color="FFFFFF"/>
              <w:right w:val="single" w:sz="8" w:space="0" w:color="FFFFFF"/>
            </w:tcBorders>
            <w:shd w:fill="B9E0EF" w:val="clear"/>
            <w:tcMar>
              <w:left w:w="0" w:type="dxa"/>
              <w:bottom w:w="0" w:type="dxa"/>
              <w:right w:w="53" w:type="dxa"/>
            </w:tcMar>
            <w:vAlign w:val="center"/>
          </w:tcPr>
          <w:p>
            <w:pPr>
              <w:pStyle w:val="TableContents"/>
              <w:bidi w:val="0"/>
              <w:spacing w:before="33" w:after="283"/>
              <w:jc w:val="center"/>
              <w:rPr>
                <w:rFonts w:ascii="Arial" w:hAnsi="Arial"/>
                <w:b/>
                <w:color w:val="000000"/>
                <w:sz w:val="16"/>
              </w:rPr>
            </w:pPr>
            <w:r>
              <w:rPr>
                <w:rFonts w:ascii="Arial" w:hAnsi="Arial"/>
                <w:b/>
                <w:color w:val="000000"/>
                <w:sz w:val="16"/>
              </w:rPr>
              <w:t>Non-</w:t>
            </w:r>
          </w:p>
          <w:p>
            <w:pPr>
              <w:pStyle w:val="TableContents"/>
              <w:bidi w:val="0"/>
              <w:spacing w:before="33" w:after="283"/>
              <w:jc w:val="center"/>
              <w:rPr>
                <w:rFonts w:ascii="Arial" w:hAnsi="Arial"/>
                <w:b/>
                <w:color w:val="000000"/>
                <w:sz w:val="16"/>
              </w:rPr>
            </w:pPr>
            <w:r>
              <w:rPr>
                <w:rFonts w:ascii="Arial" w:hAnsi="Arial"/>
                <w:b/>
                <w:color w:val="000000"/>
                <w:sz w:val="16"/>
              </w:rPr>
              <w:t>inferiority</w:t>
            </w:r>
          </w:p>
          <w:p>
            <w:pPr>
              <w:pStyle w:val="TableContents"/>
              <w:bidi w:val="0"/>
              <w:spacing w:before="0" w:after="30"/>
              <w:jc w:val="center"/>
              <w:rPr>
                <w:rFonts w:ascii="Arial" w:hAnsi="Arial"/>
                <w:b/>
                <w:color w:val="000000"/>
                <w:sz w:val="16"/>
              </w:rPr>
            </w:pPr>
            <w:r>
              <w:rPr>
                <w:rFonts w:ascii="Arial" w:hAnsi="Arial"/>
                <w:b/>
                <w:color w:val="000000"/>
                <w:sz w:val="16"/>
              </w:rPr>
              <w:t>Demonstrated</w:t>
            </w:r>
          </w:p>
          <w:p>
            <w:pPr>
              <w:pStyle w:val="TableContents"/>
              <w:bidi w:val="0"/>
              <w:spacing w:before="0" w:after="30"/>
              <w:jc w:val="center"/>
              <w:rPr>
                <w:rFonts w:ascii="Arial" w:hAnsi="Arial"/>
                <w:b/>
                <w:color w:val="000000"/>
                <w:sz w:val="16"/>
              </w:rPr>
            </w:pPr>
            <w:r>
              <w:rPr>
                <w:rFonts w:ascii="Arial" w:hAnsi="Arial"/>
                <w:b/>
                <w:color w:val="000000"/>
                <w:sz w:val="16"/>
              </w:rPr>
              <w:t>(Yes/No)</w:t>
            </w:r>
          </w:p>
        </w:tc>
      </w:tr>
      <w:tr>
        <w:trPr/>
        <w:tc>
          <w:tcPr>
            <w:tcW w:w="1486" w:type="dxa"/>
            <w:vMerge w:val="continue"/>
            <w:tcBorders>
              <w:top w:val="single" w:sz="8" w:space="0" w:color="FFFFFF"/>
              <w:left w:val="single" w:sz="8" w:space="0" w:color="FFFFFF"/>
            </w:tcBorders>
            <w:shd w:fill="B9E0EF" w:val="clear"/>
            <w:tcMar>
              <w:left w:w="53"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71" w:type="dxa"/>
            <w:vMerge w:val="continue"/>
            <w:tcBorders>
              <w:top w:val="single" w:sz="8" w:space="0" w:color="FFFFFF"/>
            </w:tcBorders>
            <w:shd w:fill="B9E0EF" w:val="clear"/>
            <w:tcMar>
              <w:left w:w="0"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bottom w:val="single" w:sz="8" w:space="0" w:color="FFFFFF"/>
            </w:tcBorders>
            <w:shd w:fill="B9E0E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Estimate</w:t>
            </w:r>
          </w:p>
        </w:tc>
        <w:tc>
          <w:tcPr>
            <w:tcW w:w="146" w:type="dxa"/>
            <w:tcBorders>
              <w:bottom w:val="single" w:sz="8" w:space="0" w:color="FFFFFF"/>
            </w:tcBorders>
            <w:shd w:fill="B9E0E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8" w:space="0" w:color="FFFFFF"/>
            </w:tcBorders>
            <w:shd w:fill="B9E0E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95% CI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vMerge w:val="continue"/>
            <w:tcBorders>
              <w:top w:val="single" w:sz="8" w:space="0" w:color="FFFFFF"/>
            </w:tcBorders>
            <w:shd w:fill="B9E0EF" w:val="clear"/>
            <w:tcMar>
              <w:left w:w="0"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76" w:type="dxa"/>
            <w:vMerge w:val="continue"/>
            <w:tcBorders>
              <w:top w:val="single" w:sz="8" w:space="0" w:color="FFFFFF"/>
              <w:right w:val="single" w:sz="8" w:space="0" w:color="FFFFFF"/>
            </w:tcBorders>
            <w:shd w:fill="B9E0EF" w:val="clear"/>
            <w:tcMar>
              <w:left w:w="0" w:type="dxa"/>
              <w:bottom w:w="0" w:type="dxa"/>
              <w:right w:w="53" w:type="dxa"/>
            </w:tcMar>
            <w:vAlign w:val="center"/>
          </w:tcPr>
          <w:p>
            <w:pPr>
              <w:pStyle w:val="Normal"/>
              <w:bidi w:val="0"/>
              <w:jc w:val="left"/>
              <w:rPr/>
            </w:pPr>
            <w:r>
              <w:rPr/>
            </w:r>
          </w:p>
        </w:tc>
      </w:tr>
      <w:tr>
        <w:trPr/>
        <w:tc>
          <w:tcPr>
            <w:tcW w:w="1486" w:type="dxa"/>
            <w:vMerge w:val="continue"/>
            <w:tcBorders>
              <w:top w:val="single" w:sz="8" w:space="0" w:color="FFFFFF"/>
              <w:left w:val="single" w:sz="8" w:space="0" w:color="FFFFFF"/>
            </w:tcBorders>
            <w:shd w:fill="B9E0EF" w:val="clear"/>
            <w:tcMar>
              <w:left w:w="53"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71" w:type="dxa"/>
            <w:tcBorders>
              <w:top w:val="single" w:sz="8" w:space="0" w:color="FFFFFF"/>
              <w:bottom w:val="single" w:sz="8" w:space="0" w:color="FFFFFF"/>
            </w:tcBorders>
            <w:shd w:fill="F1F3F2" w:val="clear"/>
            <w:tcMar>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12 months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0.869</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12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(0.528, 1.431)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top w:val="single" w:sz="8" w:space="0" w:color="FFFFFF"/>
              <w:bottom w:val="single" w:sz="8" w:space="0" w:color="FFFFFF"/>
            </w:tcBorders>
            <w:shd w:fill="F1F3F2" w:val="clear"/>
            <w:tcMar>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1.491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76" w:type="dxa"/>
            <w:tcBorders>
              <w:top w:val="single" w:sz="8" w:space="0" w:color="FFFFFF"/>
              <w:bottom w:val="single" w:sz="8" w:space="0" w:color="FFFFFF"/>
              <w:right w:val="single" w:sz="8" w:space="0" w:color="FFFFFF"/>
            </w:tcBorders>
            <w:shd w:fill="F1F3F2" w:val="clear"/>
            <w:tcMar>
              <w:left w:w="0" w:type="dxa"/>
              <w:right w:w="53"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Yes</w:t>
            </w:r>
          </w:p>
        </w:tc>
      </w:tr>
      <w:tr>
        <w:trPr/>
        <w:tc>
          <w:tcPr>
            <w:tcW w:w="1486" w:type="dxa"/>
            <w:vMerge w:val="continue"/>
            <w:tcBorders>
              <w:top w:val="single" w:sz="8" w:space="0" w:color="FFFFFF"/>
              <w:left w:val="single" w:sz="8" w:space="0" w:color="FFFFFF"/>
            </w:tcBorders>
            <w:shd w:fill="B9E0EF" w:val="clear"/>
            <w:tcMar>
              <w:left w:w="53"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71"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24 months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1.284</w:t>
            </w:r>
          </w:p>
        </w:tc>
        <w:tc>
          <w:tcPr>
            <w:tcW w:w="146" w:type="dxa"/>
            <w:tcBorders>
              <w:left w:val="single" w:sz="8" w:space="0" w:color="FFFFFF"/>
              <w:bottom w:val="single" w:sz="8" w:space="0" w:color="FFFFFF"/>
            </w:tcBorders>
            <w:tcMar>
              <w:top w:w="0" w:type="dxa"/>
              <w:right w:w="0" w:type="dxa"/>
            </w:tcMar>
            <w:vAlign w:val="center"/>
          </w:tcPr>
          <w:p>
            <w:pPr>
              <w:pStyle w:val="TableContents"/>
              <w:bidi w:val="0"/>
              <w:spacing w:before="0" w:after="283"/>
              <w:jc w:val="left"/>
              <w:rPr/>
            </w:pPr>
            <w:r>
              <w:rPr/>
              <w:t> </w:t>
            </w:r>
          </w:p>
        </w:tc>
        <w:tc>
          <w:tcPr>
            <w:tcW w:w="1126" w:type="dxa"/>
            <w:tcBorders>
              <w:left w:val="single" w:sz="8" w:space="0" w:color="FFFFFF"/>
              <w:bottom w:val="single" w:sz="8" w:space="0" w:color="FFFFFF"/>
            </w:tcBorders>
            <w:shd w:fill="F1F3F2" w:val="clear"/>
            <w:tcMar>
              <w:top w:w="0" w:type="dxa"/>
              <w:left w:w="53"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(0.867, 1.903)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FFFFFF"/>
            </w:tcBorders>
            <w:shd w:fill="F1F3F2" w:val="clear"/>
            <w:tcMar>
              <w:top w:w="0" w:type="dxa"/>
              <w:left w:w="0" w:type="dxa"/>
              <w:right w:w="0"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1.488</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8" w:space="0" w:color="FFFFFF"/>
              <w:right w:val="single" w:sz="8" w:space="0" w:color="FFFFFF"/>
            </w:tcBorders>
            <w:shd w:fill="F1F3F2" w:val="clear"/>
            <w:tcMar>
              <w:top w:w="0" w:type="dxa"/>
              <w:left w:w="0" w:type="dxa"/>
              <w:right w:w="53" w:type="dxa"/>
            </w:tcMar>
            <w:vAlign w:val="center"/>
          </w:tcPr>
          <w:p>
            <w:pPr>
              <w:pStyle w:val="TableContents"/>
              <w:bidi w:val="0"/>
              <w:spacing w:before="33" w:after="30"/>
              <w:jc w:val="center"/>
              <w:rPr>
                <w:rFonts w:ascii="Arial" w:hAnsi="Arial"/>
                <w:color w:val="000000"/>
                <w:sz w:val="16"/>
              </w:rPr>
            </w:pPr>
            <w:r>
              <w:rPr>
                <w:rFonts w:ascii="Arial" w:hAnsi="Arial"/>
                <w:color w:val="000000"/>
                <w:sz w:val="16"/>
              </w:rPr>
              <w:t>No</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i/>
          <w:color w:val="231F20"/>
          <w:sz w:val="20"/>
        </w:rPr>
      </w:pPr>
      <w:r>
        <w:rPr>
          <w:rFonts w:ascii="Times New Roman" w:hAnsi="Times New Roman"/>
          <w:i/>
          <w:color w:val="231F20"/>
          <w:sz w:val="20"/>
        </w:rPr>
        <w:t>Phase 3 V006 HUMANITY trial rates of infection</w:t>
      </w:r>
    </w:p>
    <w:p>
      <w:pPr>
        <w:pStyle w:val="TextBody"/>
        <w:bidi w:val="0"/>
        <w:spacing w:before="200" w:after="283"/>
        <w:jc w:val="center"/>
        <w:rPr/>
      </w:pPr>
      <w:r>
        <w:rPr/>
        <w:drawing>
          <wp:inline distT="0" distB="0" distL="0" distR="0">
            <wp:extent cx="6057900" cy="240030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6057900" cy="2400300"/>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reported SAEs related to the ATEV and ePTFE in the V006 trial, in this patient population, which typically has a high prevalence of existing medical conditions, are detailed in the table below.</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SAEs Reported in V006 Phase 3 Clinical Study in AV Access</w:t>
      </w:r>
    </w:p>
    <w:p>
      <w:pPr>
        <w:pStyle w:val="TextBody"/>
        <w:bidi w:val="0"/>
        <w:jc w:val="center"/>
        <w:rPr/>
      </w:pPr>
      <w:r>
        <w:rPr/>
        <w:t> </w:t>
      </w:r>
    </w:p>
    <w:tbl>
      <w:tblPr>
        <w:tblW w:w="7327" w:type="dxa"/>
        <w:jc w:val="left"/>
        <w:tblInd w:w="0" w:type="dxa"/>
        <w:tblLayout w:type="fixed"/>
        <w:tblCellMar>
          <w:top w:w="28" w:type="dxa"/>
          <w:left w:w="28" w:type="dxa"/>
          <w:bottom w:w="28" w:type="dxa"/>
          <w:right w:w="28" w:type="dxa"/>
        </w:tblCellMar>
      </w:tblPr>
      <w:tblGrid>
        <w:gridCol w:w="4081"/>
        <w:gridCol w:w="426"/>
        <w:gridCol w:w="246"/>
        <w:gridCol w:w="714"/>
        <w:gridCol w:w="162"/>
        <w:gridCol w:w="162"/>
        <w:gridCol w:w="246"/>
        <w:gridCol w:w="714"/>
        <w:gridCol w:w="576"/>
      </w:tblGrid>
      <w:tr>
        <w:trPr/>
        <w:tc>
          <w:tcPr>
            <w:tcW w:w="40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SAE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SAEs</w:t>
              <w:br/>
              <w:t>(% of total subjects)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ATEV</w:t>
            </w:r>
          </w:p>
        </w:tc>
        <w:tc>
          <w:tcPr>
            <w:tcW w:w="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ePTFE</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subjects in V006 study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disorders and administration conditions: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Implant site extravasation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Infections and infestations: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infection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Injury, poisoning and procedural complications: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Anastomotic stenosis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hematomas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hemorrhage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pain</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pseudoaneurysm</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rupture</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access site thrombosis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Skin and subcutaneous tissue disorders: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Skin necrosis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Vascular disorders: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Steal syndrome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Subclavian vein occlusion</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Vascular stenosis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Venous stenosis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Overall, although the primary efficacy endpoint concerning secondary patency was not met, the ATEV otherwise performed in the V006 trial as was expected, based upon ATEV performance in previous Phase 2 trials in hemodialysis and in other clinical applications. This outcome was due at least in part to unexpectedly high patency of the ePTFE grafts, particularly after 12 months. While the cause of this unexpectedly high patency is not clear, it is possible that study-mandated ultrasounds and examinations may have led to more aggressive vigilance with ePTFE grafts to maintain patency. In addition, the age and comorbidities of ATEV subjects in V006 was somewhat worse than for ePTFE subjects.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the V006 trial, the ATEV displayed significantly fewer infections than did the ePTFE grafts. This was associated with fewer instances of immune sensitization in ATEV subjects as compared to ePTFE subjects, which could translate to easier kidney transplantation at future times. Similar to prior studies, we observed that the ATEV had good durability, blood flow rates and diameters similar to ePTFE grafts, and also host cell remodelling that was superior to that of ePTFE grafts.</w:t>
      </w:r>
    </w:p>
    <w:p>
      <w:pPr>
        <w:pStyle w:val="TextBody"/>
        <w:bidi w:val="0"/>
        <w:spacing w:before="200" w:after="283"/>
        <w:jc w:val="left"/>
        <w:rPr>
          <w:rFonts w:ascii="Times New Roman" w:hAnsi="Times New Roman"/>
          <w:color w:val="231F20"/>
          <w:sz w:val="20"/>
          <w:u w:val="single"/>
        </w:rPr>
      </w:pPr>
      <w:r>
        <w:rPr>
          <w:rFonts w:ascii="Times New Roman" w:hAnsi="Times New Roman"/>
          <w:color w:val="231F20"/>
          <w:sz w:val="20"/>
          <w:u w:val="single"/>
        </w:rPr>
        <w:t>Phase 3 V007 AV Access Study</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Trial Design: </w:t>
      </w:r>
      <w:r>
        <w:rPr>
          <w:rFonts w:ascii="Times New Roman" w:hAnsi="Times New Roman"/>
          <w:color w:val="231F20"/>
          <w:sz w:val="20"/>
        </w:rPr>
        <w:t>In April 2023 we completed enrollment of a Phase 3 trial, called V007, in 242 patients with ESRD. V007 is a Phase 3, prospective, multi-center, open label, randomized, two-arm comparative study conducted in the United States. The V007 trial is designed to assess the usability of the ATEV for dialysis at six and 12 months as a comparison to autogenous fistulas, which are known to exhibit a high rate of early maturation failure of approximately 40% at six months. Patients in the study are randomized to receive either the ATEV for vascular access or an autogenous AV fistula. The objective of V007 is to compare the safety and efficacy of our 6 millimeter ATEV to autogenous AV fistula for functional hemodialysis access.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Eligible study subjects in V007 are randomized to receive either an ATEV or an autogenous fistula and followed to 24 months post-implantation by routine study visits. Efficacy endpoints include useability for dialysis at six and 12 months, as well as a comparison of secondary patency via a time-to-event analysis of all subjects at 12 months. Additional safety endpoints include the rate of dialysis access-related infections for ATEV and fistula subjects.</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One-Year Results: </w:t>
      </w:r>
      <w:r>
        <w:rPr>
          <w:rFonts w:ascii="Times New Roman" w:hAnsi="Times New Roman"/>
          <w:color w:val="231F20"/>
          <w:sz w:val="20"/>
        </w:rPr>
        <w:t>As of December 31, 2024, there were 242 patients enrolled in the V007 trial, and enrollment was completed in April 2023. Demographics of the patients enrolled in V007 are summarized in the following table.</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V007 trial subject demographics</w:t>
      </w:r>
    </w:p>
    <w:p>
      <w:pPr>
        <w:pStyle w:val="TextBody"/>
        <w:bidi w:val="0"/>
        <w:jc w:val="center"/>
        <w:rPr/>
      </w:pPr>
      <w:r>
        <w:rPr/>
        <w:t> </w:t>
      </w:r>
    </w:p>
    <w:tbl>
      <w:tblPr>
        <w:tblW w:w="5065" w:type="dxa"/>
        <w:jc w:val="left"/>
        <w:tblInd w:w="0" w:type="dxa"/>
        <w:tblLayout w:type="fixed"/>
        <w:tblCellMar>
          <w:top w:w="28" w:type="dxa"/>
          <w:left w:w="28" w:type="dxa"/>
          <w:bottom w:w="28" w:type="dxa"/>
          <w:right w:w="28" w:type="dxa"/>
        </w:tblCellMar>
      </w:tblPr>
      <w:tblGrid>
        <w:gridCol w:w="2386"/>
        <w:gridCol w:w="146"/>
        <w:gridCol w:w="1201"/>
        <w:gridCol w:w="146"/>
        <w:gridCol w:w="11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ATEV (N=123)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AVF (N=119)</w:t>
            </w:r>
          </w:p>
        </w:tc>
      </w:tr>
      <w:tr>
        <w:trPr/>
        <w:tc>
          <w:tcPr>
            <w:tcW w:w="2386" w:type="dxa"/>
            <w:tcBorders/>
            <w:shd w:fill="CCEEFF" w:val="clear"/>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ITT Set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119</w:t>
            </w:r>
          </w:p>
        </w:tc>
      </w:tr>
      <w:tr>
        <w:trPr/>
        <w:tc>
          <w:tcPr>
            <w:tcW w:w="2386"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Safety 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121 (98%)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121 (102%)</w:t>
            </w:r>
          </w:p>
        </w:tc>
      </w:tr>
      <w:tr>
        <w:trPr/>
        <w:tc>
          <w:tcPr>
            <w:tcW w:w="238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Females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37 (30%)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33 (28%)</w:t>
            </w:r>
          </w:p>
        </w:tc>
      </w:tr>
      <w:tr>
        <w:trPr/>
        <w:tc>
          <w:tcPr>
            <w:tcW w:w="2386"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Whites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73 (59%)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86 (72%)</w:t>
            </w:r>
          </w:p>
        </w:tc>
      </w:tr>
      <w:tr>
        <w:trPr/>
        <w:tc>
          <w:tcPr>
            <w:tcW w:w="238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Age, mean (min, max)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57.1 (24, 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60.1 (21, 87)</w:t>
            </w:r>
          </w:p>
        </w:tc>
      </w:tr>
      <w:tr>
        <w:trPr/>
        <w:tc>
          <w:tcPr>
            <w:tcW w:w="2386"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Age ≥ 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43 (35%)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44 (37%)</w:t>
            </w:r>
          </w:p>
        </w:tc>
      </w:tr>
      <w:tr>
        <w:trPr/>
        <w:tc>
          <w:tcPr>
            <w:tcW w:w="238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BMI ≥ 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52 (42%)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42 (35%)</w:t>
            </w:r>
          </w:p>
        </w:tc>
      </w:tr>
      <w:tr>
        <w:trPr/>
        <w:tc>
          <w:tcPr>
            <w:tcW w:w="2386"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BMI mean value (min, max)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30.2 (19, 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29.1(17, 49)</w:t>
            </w:r>
          </w:p>
        </w:tc>
      </w:tr>
      <w:tr>
        <w:trPr/>
        <w:tc>
          <w:tcPr>
            <w:tcW w:w="2386"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History of Diabetes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sz w:val="24"/>
              </w:rPr>
            </w:pPr>
            <w:r>
              <w:rPr>
                <w:rFonts w:ascii="Times New Roman" w:hAnsi="Times New Roman"/>
                <w:color w:val="000000"/>
                <w:sz w:val="20"/>
              </w:rPr>
              <w:t>82 (67</w:t>
            </w:r>
            <w:r>
              <w:rPr>
                <w:rFonts w:ascii="Times New Roman" w:hAnsi="Times New Roman"/>
                <w:color w:val="000000"/>
                <w:sz w:val="2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sz w:val="24"/>
              </w:rPr>
            </w:pPr>
            <w:r>
              <w:rPr>
                <w:rFonts w:ascii="Times New Roman" w:hAnsi="Times New Roman"/>
                <w:color w:val="000000"/>
                <w:sz w:val="20"/>
              </w:rPr>
              <w:t>83 (70</w:t>
            </w:r>
            <w:r>
              <w:rPr>
                <w:rFonts w:ascii="Times New Roman" w:hAnsi="Times New Roman"/>
                <w:color w:val="000000"/>
                <w:sz w:val="24"/>
              </w:rPr>
              <w:t>%)</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w:t>
      </w:r>
    </w:p>
    <w:p>
      <w:pPr>
        <w:pStyle w:val="TextBody"/>
        <w:bidi w:val="0"/>
        <w:jc w:val="left"/>
        <w:rPr>
          <w:rFonts w:ascii="Times New Roman" w:hAnsi="Times New Roman"/>
          <w:color w:val="000000"/>
          <w:sz w:val="18"/>
        </w:rPr>
      </w:pPr>
      <w:r>
        <w:rPr>
          <w:rFonts w:ascii="Times New Roman" w:hAnsi="Times New Roman"/>
          <w:color w:val="000000"/>
          <w:sz w:val="18"/>
        </w:rPr>
        <w:t>* Two patients randomized to ATEV received an arteriovenous fistula (“AVF”) and were analyzed as AVF in the Safety Set</w:t>
      </w:r>
    </w:p>
    <w:p>
      <w:pPr>
        <w:pStyle w:val="TextBody"/>
        <w:bidi w:val="0"/>
        <w:jc w:val="left"/>
        <w:rPr>
          <w:rFonts w:ascii="Times New Roman" w:hAnsi="Times New Roman"/>
          <w:color w:val="000000"/>
          <w:sz w:val="18"/>
        </w:rPr>
      </w:pPr>
      <w:r>
        <w:rPr>
          <w:rFonts w:ascii="Times New Roman" w:hAnsi="Times New Roman"/>
          <w:color w:val="000000"/>
          <w:sz w:val="18"/>
        </w:rPr>
        <w:t>ITT = Treatment group assignment based on randomization.</w:t>
      </w:r>
    </w:p>
    <w:p>
      <w:pPr>
        <w:pStyle w:val="TextBody"/>
        <w:bidi w:val="0"/>
        <w:spacing w:before="0" w:after="30"/>
        <w:jc w:val="left"/>
        <w:rPr>
          <w:rFonts w:ascii="Times New Roman" w:hAnsi="Times New Roman"/>
          <w:color w:val="000000"/>
          <w:sz w:val="18"/>
        </w:rPr>
      </w:pPr>
      <w:r>
        <w:rPr>
          <w:rFonts w:ascii="Times New Roman" w:hAnsi="Times New Roman"/>
          <w:color w:val="000000"/>
          <w:sz w:val="18"/>
        </w:rPr>
        <w:t>Safety Set = Treatment group assignment based on actual treatment.</w:t>
      </w:r>
    </w:p>
    <w:p>
      <w:pPr>
        <w:pStyle w:val="TextBody"/>
        <w:bidi w:val="0"/>
        <w:spacing w:before="170" w:after="283"/>
        <w:jc w:val="left"/>
        <w:rPr>
          <w:rFonts w:ascii="Times New Roman" w:hAnsi="Times New Roman"/>
          <w:color w:val="000000"/>
          <w:sz w:val="20"/>
        </w:rPr>
      </w:pPr>
      <w:r>
        <w:rPr>
          <w:rFonts w:ascii="Times New Roman" w:hAnsi="Times New Roman"/>
          <w:color w:val="000000"/>
          <w:sz w:val="20"/>
        </w:rPr>
        <w:t>Topline results were reported in August 2024 and expanded results, including subgroup analyses, were presented at the American Society of Nephrology’s (“ASN”) Kidney Week 2024, the premier nephrology meeting, in October 2024. In the V007 trial, the ATEV demonstrated superior function and patency at six and 12 months (co-primary endpoints) compared to AVF, the current standard of care for hemodialysis, as summarized in the following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V007 trial 12-month results (all patients)</w:t>
      </w:r>
    </w:p>
    <w:p>
      <w:pPr>
        <w:pStyle w:val="TextBody"/>
        <w:bidi w:val="0"/>
        <w:jc w:val="center"/>
        <w:rPr/>
      </w:pPr>
      <w:r>
        <w:rPr/>
        <w:t> </w:t>
      </w:r>
    </w:p>
    <w:tbl>
      <w:tblPr>
        <w:tblW w:w="7475" w:type="dxa"/>
        <w:jc w:val="left"/>
        <w:tblInd w:w="0" w:type="dxa"/>
        <w:tblLayout w:type="fixed"/>
        <w:tblCellMar>
          <w:top w:w="28" w:type="dxa"/>
          <w:left w:w="28" w:type="dxa"/>
          <w:bottom w:w="28" w:type="dxa"/>
          <w:right w:w="28" w:type="dxa"/>
        </w:tblCellMar>
      </w:tblPr>
      <w:tblGrid>
        <w:gridCol w:w="3166"/>
        <w:gridCol w:w="1336"/>
        <w:gridCol w:w="1186"/>
        <w:gridCol w:w="1006"/>
        <w:gridCol w:w="781"/>
      </w:tblGrid>
      <w:tr>
        <w:trPr/>
        <w:tc>
          <w:tcPr>
            <w:tcW w:w="316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Co-Primary Endpoints</w:t>
            </w:r>
          </w:p>
        </w:tc>
        <w:tc>
          <w:tcPr>
            <w:tcW w:w="1336"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ATEV (n=123)</w:t>
            </w:r>
          </w:p>
        </w:tc>
        <w:tc>
          <w:tcPr>
            <w:tcW w:w="1186" w:type="dxa"/>
            <w:tcBorders>
              <w:top w:val="single" w:sz="8" w:space="0" w:color="000000"/>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AVF (n=119)</w:t>
            </w:r>
          </w:p>
        </w:tc>
        <w:tc>
          <w:tcPr>
            <w:tcW w:w="1787" w:type="dxa"/>
            <w:gridSpan w:val="2"/>
            <w:tcBorders>
              <w:top w:val="single" w:sz="8" w:space="0" w:color="000000"/>
              <w:bottom w:val="single" w:sz="8" w:space="0" w:color="000000"/>
              <w:right w:val="single" w:sz="8" w:space="0" w:color="000000"/>
            </w:tcBorders>
            <w:tcMar>
              <w:left w:w="0"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p-value</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Functional Patency at Month 6</w:t>
            </w:r>
          </w:p>
        </w:tc>
        <w:tc>
          <w:tcPr>
            <w:tcW w:w="133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81.3%</w:t>
            </w:r>
          </w:p>
        </w:tc>
        <w:tc>
          <w:tcPr>
            <w:tcW w:w="1186"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66.4%</w:t>
            </w:r>
          </w:p>
        </w:tc>
        <w:tc>
          <w:tcPr>
            <w:tcW w:w="1787" w:type="dxa"/>
            <w:gridSpan w:val="2"/>
            <w:vMerge w:val="restart"/>
            <w:tcBorders>
              <w:bottom w:val="single" w:sz="8" w:space="0" w:color="000000"/>
              <w:right w:val="single" w:sz="8" w:space="0" w:color="000000"/>
            </w:tcBorders>
            <w:tcMar>
              <w:top w:w="0" w:type="dxa"/>
              <w:left w:w="0" w:type="dxa"/>
              <w:right w:w="5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0.0071</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Secondary Patency at Month 12</w:t>
            </w:r>
          </w:p>
        </w:tc>
        <w:tc>
          <w:tcPr>
            <w:tcW w:w="133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68.3%</w:t>
            </w:r>
          </w:p>
        </w:tc>
        <w:tc>
          <w:tcPr>
            <w:tcW w:w="1186"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62.2%</w:t>
            </w:r>
          </w:p>
        </w:tc>
        <w:tc>
          <w:tcPr>
            <w:tcW w:w="1787" w:type="dxa"/>
            <w:gridSpan w:val="2"/>
            <w:vMerge w:val="continue"/>
            <w:tcBorders>
              <w:bottom w:val="single" w:sz="8" w:space="0" w:color="000000"/>
              <w:right w:val="single" w:sz="8" w:space="0" w:color="000000"/>
            </w:tcBorders>
            <w:tcMar>
              <w:top w:w="0" w:type="dxa"/>
              <w:left w:w="0" w:type="dxa"/>
              <w:right w:w="53" w:type="dxa"/>
            </w:tcMar>
            <w:vAlign w:val="center"/>
          </w:tcPr>
          <w:p>
            <w:pPr>
              <w:pStyle w:val="Normal"/>
              <w:bidi w:val="0"/>
              <w:jc w:val="left"/>
              <w:rPr/>
            </w:pPr>
            <w:r>
              <w:rPr/>
            </w:r>
          </w:p>
        </w:tc>
      </w:tr>
      <w:tr>
        <w:trPr/>
        <w:tc>
          <w:tcPr>
            <w:tcW w:w="568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00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Difference</w:t>
            </w:r>
          </w:p>
        </w:tc>
        <w:tc>
          <w:tcPr>
            <w:tcW w:w="78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p-value</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Duration of Use Over First 12 Months</w:t>
            </w:r>
          </w:p>
        </w:tc>
        <w:tc>
          <w:tcPr>
            <w:tcW w:w="133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7.5 months</w:t>
            </w:r>
          </w:p>
        </w:tc>
        <w:tc>
          <w:tcPr>
            <w:tcW w:w="118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6.1 months</w:t>
            </w:r>
          </w:p>
        </w:tc>
        <w:tc>
          <w:tcPr>
            <w:tcW w:w="100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1.4 months</w:t>
            </w:r>
          </w:p>
        </w:tc>
        <w:tc>
          <w:tcPr>
            <w:tcW w:w="78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0.0162</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Safety events per year of usability in the V007 Phase 3 trial are summarized in the following table.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V007 trial safety results (all patients)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640"/>
        <w:gridCol w:w="1914"/>
        <w:gridCol w:w="1640"/>
        <w:gridCol w:w="1961"/>
      </w:tblGrid>
      <w:tr>
        <w:trPr/>
        <w:tc>
          <w:tcPr>
            <w:tcW w:w="305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3050" w:type="dxa"/>
            <w:vMerge w:val="restart"/>
            <w:tcBorders>
              <w:top w:val="single" w:sz="8" w:space="0" w:color="000000"/>
              <w:left w:val="single" w:sz="8" w:space="0" w:color="000000"/>
            </w:tcBorders>
            <w:tcMar>
              <w:left w:w="58" w:type="dxa"/>
              <w:bottom w:w="0" w:type="dxa"/>
              <w:right w:w="0" w:type="dxa"/>
            </w:tcMar>
            <w:vAlign w:val="center"/>
          </w:tcPr>
          <w:p>
            <w:pPr>
              <w:pStyle w:val="TableContents"/>
              <w:bidi w:val="0"/>
              <w:spacing w:before="33" w:after="30"/>
              <w:jc w:val="left"/>
              <w:rPr>
                <w:rFonts w:ascii="Times New Roman" w:hAnsi="Times New Roman"/>
                <w:b/>
                <w:color w:val="000000"/>
                <w:sz w:val="20"/>
              </w:rPr>
            </w:pPr>
            <w:r>
              <w:rPr>
                <w:rFonts w:ascii="Times New Roman" w:hAnsi="Times New Roman"/>
                <w:b/>
                <w:color w:val="000000"/>
                <w:sz w:val="20"/>
              </w:rPr>
              <w:t>12-Month Safety Summary</w:t>
            </w:r>
          </w:p>
        </w:tc>
        <w:tc>
          <w:tcPr>
            <w:tcW w:w="3554" w:type="dxa"/>
            <w:gridSpan w:val="2"/>
            <w:tcBorders>
              <w:top w:val="single" w:sz="8" w:space="0" w:color="000000"/>
              <w:left w:val="single" w:sz="8" w:space="0" w:color="000000"/>
              <w:bottom w:val="single" w:sz="8" w:space="0" w:color="000000"/>
            </w:tcBorders>
            <w:tcMar>
              <w:left w:w="58"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ATEV</w:t>
            </w:r>
          </w:p>
        </w:tc>
        <w:tc>
          <w:tcPr>
            <w:tcW w:w="3601" w:type="dxa"/>
            <w:gridSpan w:val="2"/>
            <w:tcBorders>
              <w:top w:val="single" w:sz="8" w:space="0" w:color="000000"/>
              <w:left w:val="single" w:sz="8" w:space="0" w:color="000000"/>
              <w:bottom w:val="single" w:sz="8" w:space="0" w:color="000000"/>
              <w:right w:val="single" w:sz="8" w:space="0" w:color="000000"/>
            </w:tcBorders>
            <w:tcMar>
              <w:left w:w="58" w:type="dxa"/>
              <w:right w:w="58"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AVF</w:t>
            </w:r>
          </w:p>
        </w:tc>
      </w:tr>
      <w:tr>
        <w:trPr/>
        <w:tc>
          <w:tcPr>
            <w:tcW w:w="3050" w:type="dxa"/>
            <w:vMerge w:val="continue"/>
            <w:tcBorders>
              <w:top w:val="single" w:sz="8" w:space="0" w:color="000000"/>
              <w:left w:val="single" w:sz="8" w:space="0" w:color="000000"/>
            </w:tcBorders>
            <w:tcMar>
              <w:left w:w="58" w:type="dxa"/>
              <w:bottom w:w="0" w:type="dxa"/>
              <w:right w:w="0" w:type="dxa"/>
            </w:tcMar>
            <w:vAlign w:val="center"/>
          </w:tcPr>
          <w:p>
            <w:pPr>
              <w:pStyle w:val="Normal"/>
              <w:bidi w:val="0"/>
              <w:jc w:val="left"/>
              <w:rPr/>
            </w:pPr>
            <w:r>
              <w:rPr/>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Subjects (%) n=121</w:t>
            </w:r>
          </w:p>
        </w:tc>
        <w:tc>
          <w:tcPr>
            <w:tcW w:w="1914"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Events Per Patient Year</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Subjects (%) n=121</w:t>
            </w:r>
          </w:p>
        </w:tc>
        <w:tc>
          <w:tcPr>
            <w:tcW w:w="1961"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Events Per Patient Year</w:t>
            </w:r>
          </w:p>
        </w:tc>
      </w:tr>
      <w:tr>
        <w:trPr/>
        <w:tc>
          <w:tcPr>
            <w:tcW w:w="3050" w:type="dxa"/>
            <w:tcBorders>
              <w:top w:val="single" w:sz="8" w:space="0" w:color="000000"/>
              <w:left w:val="single" w:sz="8" w:space="0" w:color="000000"/>
              <w:bottom w:val="single" w:sz="8" w:space="0" w:color="000000"/>
            </w:tcBorders>
            <w:tcMar>
              <w:left w:w="58"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Treatment Emergent Adverse Events</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98.3%</w:t>
            </w:r>
          </w:p>
        </w:tc>
        <w:tc>
          <w:tcPr>
            <w:tcW w:w="1914"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16.0</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96.7%</w:t>
            </w:r>
          </w:p>
        </w:tc>
        <w:tc>
          <w:tcPr>
            <w:tcW w:w="1961"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13.5</w:t>
            </w:r>
          </w:p>
        </w:tc>
      </w:tr>
      <w:tr>
        <w:trPr/>
        <w:tc>
          <w:tcPr>
            <w:tcW w:w="305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Serious Adverse Events</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81.8%</w:t>
            </w:r>
          </w:p>
        </w:tc>
        <w:tc>
          <w:tcPr>
            <w:tcW w:w="1914"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5.1</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61.2%</w:t>
            </w:r>
          </w:p>
        </w:tc>
        <w:tc>
          <w:tcPr>
            <w:tcW w:w="1961"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3.5</w:t>
            </w:r>
          </w:p>
        </w:tc>
      </w:tr>
      <w:tr>
        <w:trPr/>
        <w:tc>
          <w:tcPr>
            <w:tcW w:w="3050" w:type="dxa"/>
            <w:tcBorders>
              <w:left w:val="single" w:sz="8" w:space="0" w:color="000000"/>
              <w:bottom w:val="single" w:sz="8" w:space="0" w:color="000000"/>
            </w:tcBorders>
            <w:tcMar>
              <w:top w:w="0" w:type="dxa"/>
              <w:left w:w="58"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Adverse events of special interest:</w:t>
            </w:r>
          </w:p>
          <w:p>
            <w:pPr>
              <w:pStyle w:val="TableContents"/>
              <w:bidi w:val="0"/>
              <w:jc w:val="left"/>
              <w:rPr>
                <w:rFonts w:ascii="Times New Roman" w:hAnsi="Times New Roman"/>
                <w:color w:val="000000"/>
                <w:sz w:val="20"/>
              </w:rPr>
            </w:pPr>
            <w:r>
              <w:rPr>
                <w:rFonts w:ascii="Times New Roman" w:hAnsi="Times New Roman"/>
                <w:color w:val="000000"/>
                <w:sz w:val="20"/>
              </w:rPr>
              <w:t>Study access (SA)-related infections</w:t>
            </w:r>
          </w:p>
          <w:p>
            <w:pPr>
              <w:pStyle w:val="TableContents"/>
              <w:bidi w:val="0"/>
              <w:jc w:val="left"/>
              <w:rPr>
                <w:rFonts w:ascii="Times New Roman" w:hAnsi="Times New Roman"/>
                <w:color w:val="000000"/>
                <w:sz w:val="20"/>
              </w:rPr>
            </w:pPr>
            <w:r>
              <w:rPr>
                <w:rFonts w:ascii="Times New Roman" w:hAnsi="Times New Roman"/>
                <w:color w:val="000000"/>
                <w:sz w:val="20"/>
              </w:rPr>
              <w:t>Thrombosis</w:t>
            </w:r>
          </w:p>
          <w:p>
            <w:pPr>
              <w:pStyle w:val="TableContents"/>
              <w:bidi w:val="0"/>
              <w:jc w:val="left"/>
              <w:rPr>
                <w:rFonts w:ascii="Times New Roman" w:hAnsi="Times New Roman"/>
                <w:color w:val="000000"/>
                <w:sz w:val="20"/>
              </w:rPr>
            </w:pPr>
            <w:r>
              <w:rPr>
                <w:rFonts w:ascii="Times New Roman" w:hAnsi="Times New Roman"/>
                <w:color w:val="000000"/>
                <w:sz w:val="20"/>
              </w:rPr>
              <w:t>Stenosis</w:t>
            </w:r>
          </w:p>
          <w:p>
            <w:pPr>
              <w:pStyle w:val="TableContents"/>
              <w:bidi w:val="0"/>
              <w:jc w:val="left"/>
              <w:rPr>
                <w:rFonts w:ascii="Times New Roman" w:hAnsi="Times New Roman"/>
                <w:color w:val="000000"/>
                <w:sz w:val="20"/>
              </w:rPr>
            </w:pPr>
            <w:r>
              <w:rPr>
                <w:rFonts w:ascii="Times New Roman" w:hAnsi="Times New Roman"/>
                <w:color w:val="000000"/>
                <w:sz w:val="20"/>
              </w:rPr>
              <w:t>Clinically significant Steal Syndrome</w:t>
            </w:r>
          </w:p>
          <w:p>
            <w:pPr>
              <w:pStyle w:val="TableContents"/>
              <w:bidi w:val="0"/>
              <w:jc w:val="left"/>
              <w:rPr>
                <w:rFonts w:ascii="Times New Roman" w:hAnsi="Times New Roman"/>
                <w:color w:val="000000"/>
                <w:sz w:val="20"/>
              </w:rPr>
            </w:pPr>
            <w:r>
              <w:rPr>
                <w:rFonts w:ascii="Times New Roman" w:hAnsi="Times New Roman"/>
                <w:color w:val="000000"/>
                <w:sz w:val="20"/>
              </w:rPr>
              <w:t>Rupture of SA</w:t>
            </w:r>
          </w:p>
          <w:p>
            <w:pPr>
              <w:pStyle w:val="TableContents"/>
              <w:bidi w:val="0"/>
              <w:jc w:val="left"/>
              <w:rPr>
                <w:rFonts w:ascii="Times New Roman" w:hAnsi="Times New Roman"/>
                <w:color w:val="000000"/>
                <w:sz w:val="20"/>
              </w:rPr>
            </w:pPr>
            <w:r>
              <w:rPr>
                <w:rFonts w:ascii="Times New Roman" w:hAnsi="Times New Roman"/>
                <w:color w:val="000000"/>
                <w:sz w:val="20"/>
              </w:rPr>
              <w:t>Leading to SA revision or ligation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Leading to SA excision</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5.8%</w:t>
            </w:r>
          </w:p>
          <w:p>
            <w:pPr>
              <w:pStyle w:val="TableContents"/>
              <w:bidi w:val="0"/>
              <w:jc w:val="center"/>
              <w:rPr>
                <w:rFonts w:ascii="Times New Roman" w:hAnsi="Times New Roman"/>
                <w:color w:val="000000"/>
                <w:sz w:val="20"/>
              </w:rPr>
            </w:pPr>
            <w:r>
              <w:rPr>
                <w:rFonts w:ascii="Times New Roman" w:hAnsi="Times New Roman"/>
                <w:color w:val="000000"/>
                <w:sz w:val="20"/>
              </w:rPr>
              <w:t>52.9%</w:t>
            </w:r>
          </w:p>
          <w:p>
            <w:pPr>
              <w:pStyle w:val="TableContents"/>
              <w:bidi w:val="0"/>
              <w:jc w:val="center"/>
              <w:rPr>
                <w:rFonts w:ascii="Times New Roman" w:hAnsi="Times New Roman"/>
                <w:color w:val="000000"/>
                <w:sz w:val="20"/>
              </w:rPr>
            </w:pPr>
            <w:r>
              <w:rPr>
                <w:rFonts w:ascii="Times New Roman" w:hAnsi="Times New Roman"/>
                <w:color w:val="000000"/>
                <w:sz w:val="20"/>
              </w:rPr>
              <w:t>66.1%</w:t>
            </w:r>
          </w:p>
          <w:p>
            <w:pPr>
              <w:pStyle w:val="TableContents"/>
              <w:bidi w:val="0"/>
              <w:jc w:val="center"/>
              <w:rPr>
                <w:rFonts w:ascii="Times New Roman" w:hAnsi="Times New Roman"/>
                <w:color w:val="000000"/>
                <w:sz w:val="20"/>
              </w:rPr>
            </w:pPr>
            <w:r>
              <w:rPr>
                <w:rFonts w:ascii="Times New Roman" w:hAnsi="Times New Roman"/>
                <w:color w:val="000000"/>
                <w:sz w:val="20"/>
              </w:rPr>
              <w:t>0.8%</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11.6%</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914" w:type="dxa"/>
            <w:tcBorders>
              <w:left w:val="single" w:sz="8" w:space="0" w:color="000000"/>
              <w:bottom w:val="single" w:sz="8" w:space="0" w:color="000000"/>
            </w:tcBorders>
            <w:tcMar>
              <w:top w:w="0" w:type="dxa"/>
              <w:left w:w="58"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1.7</w:t>
            </w:r>
          </w:p>
          <w:p>
            <w:pPr>
              <w:pStyle w:val="TableContents"/>
              <w:bidi w:val="0"/>
              <w:jc w:val="center"/>
              <w:rPr>
                <w:rFonts w:ascii="Times New Roman" w:hAnsi="Times New Roman"/>
                <w:color w:val="000000"/>
                <w:sz w:val="20"/>
              </w:rPr>
            </w:pPr>
            <w:r>
              <w:rPr>
                <w:rFonts w:ascii="Times New Roman" w:hAnsi="Times New Roman"/>
                <w:color w:val="000000"/>
                <w:sz w:val="20"/>
              </w:rPr>
              <w:t>3.0</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0.3</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c>
          <w:tcPr>
            <w:tcW w:w="1640" w:type="dxa"/>
            <w:tcBorders>
              <w:left w:val="single" w:sz="8" w:space="0" w:color="000000"/>
              <w:bottom w:val="single" w:sz="8" w:space="0" w:color="000000"/>
            </w:tcBorders>
            <w:tcMar>
              <w:top w:w="0" w:type="dxa"/>
              <w:left w:w="58"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4.1%</w:t>
            </w:r>
          </w:p>
          <w:p>
            <w:pPr>
              <w:pStyle w:val="TableContents"/>
              <w:bidi w:val="0"/>
              <w:jc w:val="center"/>
              <w:rPr>
                <w:rFonts w:ascii="Times New Roman" w:hAnsi="Times New Roman"/>
                <w:color w:val="000000"/>
                <w:sz w:val="20"/>
              </w:rPr>
            </w:pPr>
            <w:r>
              <w:rPr>
                <w:rFonts w:ascii="Times New Roman" w:hAnsi="Times New Roman"/>
                <w:color w:val="000000"/>
                <w:sz w:val="20"/>
              </w:rPr>
              <w:t>9.1%</w:t>
            </w:r>
          </w:p>
          <w:p>
            <w:pPr>
              <w:pStyle w:val="TableContents"/>
              <w:bidi w:val="0"/>
              <w:jc w:val="center"/>
              <w:rPr>
                <w:rFonts w:ascii="Times New Roman" w:hAnsi="Times New Roman"/>
                <w:color w:val="000000"/>
                <w:sz w:val="20"/>
              </w:rPr>
            </w:pPr>
            <w:r>
              <w:rPr>
                <w:rFonts w:ascii="Times New Roman" w:hAnsi="Times New Roman"/>
                <w:color w:val="000000"/>
                <w:sz w:val="20"/>
              </w:rPr>
              <w:t>47.9%</w:t>
            </w:r>
          </w:p>
          <w:p>
            <w:pPr>
              <w:pStyle w:val="TableContents"/>
              <w:bidi w:val="0"/>
              <w:jc w:val="center"/>
              <w:rPr>
                <w:rFonts w:ascii="Times New Roman" w:hAnsi="Times New Roman"/>
                <w:color w:val="000000"/>
                <w:sz w:val="20"/>
              </w:rPr>
            </w:pPr>
            <w:r>
              <w:rPr>
                <w:rFonts w:ascii="Times New Roman" w:hAnsi="Times New Roman"/>
                <w:color w:val="000000"/>
                <w:sz w:val="20"/>
              </w:rPr>
              <w:t>5.8%</w:t>
            </w:r>
          </w:p>
          <w:p>
            <w:pPr>
              <w:pStyle w:val="TableContents"/>
              <w:bidi w:val="0"/>
              <w:jc w:val="center"/>
              <w:rPr>
                <w:rFonts w:ascii="Times New Roman" w:hAnsi="Times New Roman"/>
                <w:color w:val="000000"/>
                <w:sz w:val="20"/>
              </w:rPr>
            </w:pPr>
            <w:r>
              <w:rPr>
                <w:rFonts w:ascii="Times New Roman" w:hAnsi="Times New Roman"/>
                <w:color w:val="000000"/>
                <w:sz w:val="20"/>
              </w:rPr>
              <w:t>1.7%</w:t>
            </w:r>
          </w:p>
          <w:p>
            <w:pPr>
              <w:pStyle w:val="TableContents"/>
              <w:bidi w:val="0"/>
              <w:jc w:val="center"/>
              <w:rPr>
                <w:rFonts w:ascii="Times New Roman" w:hAnsi="Times New Roman"/>
                <w:color w:val="000000"/>
                <w:sz w:val="20"/>
              </w:rPr>
            </w:pPr>
            <w:r>
              <w:rPr>
                <w:rFonts w:ascii="Times New Roman" w:hAnsi="Times New Roman"/>
                <w:color w:val="000000"/>
                <w:sz w:val="20"/>
              </w:rPr>
              <w:t>24.0%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961"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0.2</w:t>
            </w:r>
          </w:p>
          <w:p>
            <w:pPr>
              <w:pStyle w:val="TableContents"/>
              <w:bidi w:val="0"/>
              <w:jc w:val="center"/>
              <w:rPr>
                <w:rFonts w:ascii="Times New Roman" w:hAnsi="Times New Roman"/>
                <w:color w:val="000000"/>
                <w:sz w:val="20"/>
              </w:rPr>
            </w:pPr>
            <w:r>
              <w:rPr>
                <w:rFonts w:ascii="Times New Roman" w:hAnsi="Times New Roman"/>
                <w:color w:val="000000"/>
                <w:sz w:val="20"/>
              </w:rPr>
              <w:t>1.9</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0.7</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largest area of difference in AEs was in thrombosis. The majority of ATEV patients with thrombosis, 94%, were successfully treated.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Sub-group analysis was also performed in patient groups that historically have poor outcomes with AV fistula procedures. In female patients, subjects implanted with the ATEV had significantly higher six-month and one-year patency rates than female patients receiving an AV fistula as summarized in the table below.</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V007 trial 12-month results (female patients)</w:t>
      </w:r>
    </w:p>
    <w:p>
      <w:pPr>
        <w:pStyle w:val="TextBody"/>
        <w:bidi w:val="0"/>
        <w:jc w:val="center"/>
        <w:rPr/>
      </w:pPr>
      <w:r>
        <w:rPr/>
        <w:t> </w:t>
      </w:r>
    </w:p>
    <w:tbl>
      <w:tblPr>
        <w:tblW w:w="7265" w:type="dxa"/>
        <w:jc w:val="left"/>
        <w:tblInd w:w="0" w:type="dxa"/>
        <w:tblLayout w:type="fixed"/>
        <w:tblCellMar>
          <w:top w:w="28" w:type="dxa"/>
          <w:left w:w="28" w:type="dxa"/>
          <w:bottom w:w="28" w:type="dxa"/>
          <w:right w:w="28" w:type="dxa"/>
        </w:tblCellMar>
      </w:tblPr>
      <w:tblGrid>
        <w:gridCol w:w="3166"/>
        <w:gridCol w:w="1231"/>
        <w:gridCol w:w="1081"/>
        <w:gridCol w:w="1006"/>
        <w:gridCol w:w="781"/>
      </w:tblGrid>
      <w:tr>
        <w:trPr/>
        <w:tc>
          <w:tcPr>
            <w:tcW w:w="316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Co-Primary Endpoints</w:t>
            </w:r>
          </w:p>
        </w:tc>
        <w:tc>
          <w:tcPr>
            <w:tcW w:w="1231"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ATEV (n=37)</w:t>
            </w:r>
          </w:p>
        </w:tc>
        <w:tc>
          <w:tcPr>
            <w:tcW w:w="1081"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AVF (n=33)</w:t>
            </w:r>
          </w:p>
        </w:tc>
        <w:tc>
          <w:tcPr>
            <w:tcW w:w="1787" w:type="dxa"/>
            <w:gridSpan w:val="2"/>
            <w:tcBorders>
              <w:top w:val="single" w:sz="8" w:space="0" w:color="000000"/>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p-value</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Functional Patency at Month 6</w:t>
            </w:r>
          </w:p>
        </w:tc>
        <w:tc>
          <w:tcPr>
            <w:tcW w:w="123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89.2%</w:t>
            </w:r>
          </w:p>
        </w:tc>
        <w:tc>
          <w:tcPr>
            <w:tcW w:w="108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54.5%</w:t>
            </w:r>
          </w:p>
        </w:tc>
        <w:tc>
          <w:tcPr>
            <w:tcW w:w="1787" w:type="dxa"/>
            <w:gridSpan w:val="2"/>
            <w:vMerge w:val="restart"/>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&lt;0.0001</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Secondary Patency at Month 12</w:t>
            </w:r>
          </w:p>
        </w:tc>
        <w:tc>
          <w:tcPr>
            <w:tcW w:w="123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81.1%</w:t>
            </w:r>
          </w:p>
        </w:tc>
        <w:tc>
          <w:tcPr>
            <w:tcW w:w="108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48.5%</w:t>
            </w:r>
          </w:p>
        </w:tc>
        <w:tc>
          <w:tcPr>
            <w:tcW w:w="1787" w:type="dxa"/>
            <w:gridSpan w:val="2"/>
            <w:vMerge w:val="continue"/>
            <w:tcBorders>
              <w:left w:val="single" w:sz="8" w:space="0" w:color="000000"/>
              <w:bottom w:val="single" w:sz="8" w:space="0" w:color="000000"/>
              <w:right w:val="single" w:sz="8" w:space="0" w:color="000000"/>
            </w:tcBorders>
            <w:tcMar>
              <w:top w:w="0" w:type="dxa"/>
              <w:left w:w="53" w:type="dxa"/>
              <w:right w:w="53" w:type="dxa"/>
            </w:tcMar>
            <w:vAlign w:val="center"/>
          </w:tcPr>
          <w:p>
            <w:pPr>
              <w:pStyle w:val="Normal"/>
              <w:bidi w:val="0"/>
              <w:jc w:val="left"/>
              <w:rPr/>
            </w:pPr>
            <w:r>
              <w:rPr/>
            </w:r>
          </w:p>
        </w:tc>
      </w:tr>
      <w:tr>
        <w:trPr/>
        <w:tc>
          <w:tcPr>
            <w:tcW w:w="547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00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Difference</w:t>
            </w:r>
          </w:p>
        </w:tc>
        <w:tc>
          <w:tcPr>
            <w:tcW w:w="78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p-value</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Duration of Use Over First 12 Months</w:t>
            </w:r>
          </w:p>
        </w:tc>
        <w:tc>
          <w:tcPr>
            <w:tcW w:w="123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8.3 months</w:t>
            </w:r>
          </w:p>
        </w:tc>
        <w:tc>
          <w:tcPr>
            <w:tcW w:w="108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5.0 months</w:t>
            </w:r>
          </w:p>
        </w:tc>
        <w:tc>
          <w:tcPr>
            <w:tcW w:w="100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3.3 months</w:t>
            </w:r>
          </w:p>
        </w:tc>
        <w:tc>
          <w:tcPr>
            <w:tcW w:w="78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0.0011</w:t>
            </w:r>
          </w:p>
        </w:tc>
      </w:tr>
    </w:tbl>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It was also noted in the V007 trial that obese patients (BMI of at least 30) (n=93) implanted with the ATEV had significantly higher six-month and one-year patency rates than obese patients receiving an AV fistula. In addition, diabetic patients implanted with the ATEV had significantly higher six-month and one-year patency rates than diabetic patients receiving an AV fistula. Based on these results, we consider the subgroup of females and males with obesity and diabetes (a subgroup that combined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over half of dialysis patients), to be a target population that could benefit from the ATEV. Results through 12 months of follow up from the V007 trial in females and males with obesity and diabetes are summarized in the following table.</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V007 trial 12-month results – target population</w:t>
      </w:r>
    </w:p>
    <w:p>
      <w:pPr>
        <w:pStyle w:val="TextBody"/>
        <w:bidi w:val="0"/>
        <w:jc w:val="center"/>
        <w:rPr>
          <w:rFonts w:ascii="Times New Roman" w:hAnsi="Times New Roman"/>
          <w:sz w:val="20"/>
        </w:rPr>
      </w:pPr>
      <w:r>
        <w:rPr>
          <w:rFonts w:ascii="Times New Roman" w:hAnsi="Times New Roman"/>
          <w:i/>
          <w:color w:val="231F20"/>
          <w:sz w:val="20"/>
        </w:rPr>
        <w:t xml:space="preserve">(female patients </w:t>
      </w:r>
      <w:r>
        <w:rPr>
          <w:rFonts w:ascii="Times New Roman" w:hAnsi="Times New Roman"/>
          <w:i/>
          <w:color w:val="000000"/>
          <w:sz w:val="20"/>
        </w:rPr>
        <w:t>and males with obesity and diabetes</w:t>
      </w:r>
      <w:r>
        <w:rPr>
          <w:rFonts w:ascii="Times New Roman" w:hAnsi="Times New Roman"/>
          <w:i/>
          <w:color w:val="231F20"/>
          <w:sz w:val="20"/>
        </w:rPr>
        <w:t>)</w:t>
      </w:r>
    </w:p>
    <w:p>
      <w:pPr>
        <w:pStyle w:val="TextBody"/>
        <w:bidi w:val="0"/>
        <w:jc w:val="center"/>
        <w:rPr/>
      </w:pPr>
      <w:r>
        <w:rPr/>
        <w:t> </w:t>
      </w:r>
    </w:p>
    <w:tbl>
      <w:tblPr>
        <w:tblW w:w="7265" w:type="dxa"/>
        <w:jc w:val="left"/>
        <w:tblInd w:w="0" w:type="dxa"/>
        <w:tblLayout w:type="fixed"/>
        <w:tblCellMar>
          <w:top w:w="28" w:type="dxa"/>
          <w:left w:w="28" w:type="dxa"/>
          <w:bottom w:w="28" w:type="dxa"/>
          <w:right w:w="28" w:type="dxa"/>
        </w:tblCellMar>
      </w:tblPr>
      <w:tblGrid>
        <w:gridCol w:w="3166"/>
        <w:gridCol w:w="1231"/>
        <w:gridCol w:w="1081"/>
        <w:gridCol w:w="1006"/>
        <w:gridCol w:w="781"/>
      </w:tblGrid>
      <w:tr>
        <w:trPr/>
        <w:tc>
          <w:tcPr>
            <w:tcW w:w="316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Co-Primary Endpoints</w:t>
            </w:r>
          </w:p>
        </w:tc>
        <w:tc>
          <w:tcPr>
            <w:tcW w:w="1231"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ATEV (n=56)</w:t>
            </w:r>
          </w:p>
        </w:tc>
        <w:tc>
          <w:tcPr>
            <w:tcW w:w="1081"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AVF (n=54)</w:t>
            </w:r>
          </w:p>
        </w:tc>
        <w:tc>
          <w:tcPr>
            <w:tcW w:w="1787" w:type="dxa"/>
            <w:gridSpan w:val="2"/>
            <w:tcBorders>
              <w:top w:val="single" w:sz="8" w:space="0" w:color="000000"/>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p-value</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Functional Patency at Month 6</w:t>
            </w:r>
          </w:p>
        </w:tc>
        <w:tc>
          <w:tcPr>
            <w:tcW w:w="123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85.7%</w:t>
            </w:r>
          </w:p>
        </w:tc>
        <w:tc>
          <w:tcPr>
            <w:tcW w:w="108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51.9%</w:t>
            </w:r>
          </w:p>
        </w:tc>
        <w:tc>
          <w:tcPr>
            <w:tcW w:w="1787" w:type="dxa"/>
            <w:gridSpan w:val="2"/>
            <w:vMerge w:val="restart"/>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&lt;0.0001</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Secondary Patency at Month 12</w:t>
            </w:r>
          </w:p>
        </w:tc>
        <w:tc>
          <w:tcPr>
            <w:tcW w:w="123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76.8%</w:t>
            </w:r>
          </w:p>
        </w:tc>
        <w:tc>
          <w:tcPr>
            <w:tcW w:w="108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46.3%</w:t>
            </w:r>
          </w:p>
        </w:tc>
        <w:tc>
          <w:tcPr>
            <w:tcW w:w="1787" w:type="dxa"/>
            <w:gridSpan w:val="2"/>
            <w:vMerge w:val="continue"/>
            <w:tcBorders>
              <w:left w:val="single" w:sz="8" w:space="0" w:color="000000"/>
              <w:bottom w:val="single" w:sz="8" w:space="0" w:color="000000"/>
              <w:right w:val="single" w:sz="8" w:space="0" w:color="000000"/>
            </w:tcBorders>
            <w:tcMar>
              <w:top w:w="0" w:type="dxa"/>
              <w:left w:w="53" w:type="dxa"/>
              <w:right w:w="53" w:type="dxa"/>
            </w:tcMar>
            <w:vAlign w:val="center"/>
          </w:tcPr>
          <w:p>
            <w:pPr>
              <w:pStyle w:val="Normal"/>
              <w:bidi w:val="0"/>
              <w:jc w:val="left"/>
              <w:rPr/>
            </w:pPr>
            <w:r>
              <w:rPr/>
            </w:r>
          </w:p>
        </w:tc>
      </w:tr>
      <w:tr>
        <w:trPr/>
        <w:tc>
          <w:tcPr>
            <w:tcW w:w="547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00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Difference</w:t>
            </w:r>
          </w:p>
        </w:tc>
        <w:tc>
          <w:tcPr>
            <w:tcW w:w="78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p-value</w:t>
            </w:r>
          </w:p>
        </w:tc>
      </w:tr>
      <w:tr>
        <w:trPr/>
        <w:tc>
          <w:tcPr>
            <w:tcW w:w="316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Duration of Use Over First 12 Months</w:t>
            </w:r>
          </w:p>
        </w:tc>
        <w:tc>
          <w:tcPr>
            <w:tcW w:w="123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8.0 months</w:t>
            </w:r>
          </w:p>
        </w:tc>
        <w:tc>
          <w:tcPr>
            <w:tcW w:w="108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4.5 months</w:t>
            </w:r>
          </w:p>
        </w:tc>
        <w:tc>
          <w:tcPr>
            <w:tcW w:w="100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3.5 months</w:t>
            </w:r>
          </w:p>
        </w:tc>
        <w:tc>
          <w:tcPr>
            <w:tcW w:w="78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0.0002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ATEV showed no increased in overall safety events per year of usability in the expected target population (all females and males with obesity and diabetes) as summarized in the following table.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Phase 3 V007 trial safety results – target population</w:t>
      </w:r>
    </w:p>
    <w:p>
      <w:pPr>
        <w:pStyle w:val="TextBody"/>
        <w:bidi w:val="0"/>
        <w:jc w:val="center"/>
        <w:rPr>
          <w:rFonts w:ascii="Times New Roman" w:hAnsi="Times New Roman"/>
          <w:sz w:val="20"/>
        </w:rPr>
      </w:pPr>
      <w:r>
        <w:rPr>
          <w:rFonts w:ascii="Times New Roman" w:hAnsi="Times New Roman"/>
          <w:i/>
          <w:color w:val="231F20"/>
          <w:sz w:val="20"/>
        </w:rPr>
        <w:t xml:space="preserve">(female patients </w:t>
      </w:r>
      <w:r>
        <w:rPr>
          <w:rFonts w:ascii="Times New Roman" w:hAnsi="Times New Roman"/>
          <w:i/>
          <w:color w:val="000000"/>
          <w:sz w:val="20"/>
        </w:rPr>
        <w:t>and males with obesity and diabetes</w:t>
      </w:r>
      <w:r>
        <w:rPr>
          <w:rFonts w:ascii="Times New Roman" w:hAnsi="Times New Roman"/>
          <w:i/>
          <w:color w:val="231F20"/>
          <w:sz w:val="20"/>
        </w:rPr>
        <w: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96"/>
        <w:gridCol w:w="1551"/>
        <w:gridCol w:w="1930"/>
        <w:gridCol w:w="1551"/>
        <w:gridCol w:w="1977"/>
      </w:tblGrid>
      <w:tr>
        <w:trPr/>
        <w:tc>
          <w:tcPr>
            <w:tcW w:w="319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3196" w:type="dxa"/>
            <w:vMerge w:val="restart"/>
            <w:tcBorders>
              <w:top w:val="single" w:sz="8" w:space="0" w:color="000000"/>
              <w:left w:val="single" w:sz="8" w:space="0" w:color="000000"/>
            </w:tcBorders>
            <w:tcMar>
              <w:left w:w="58" w:type="dxa"/>
              <w:bottom w:w="0" w:type="dxa"/>
              <w:right w:w="0" w:type="dxa"/>
            </w:tcMar>
            <w:vAlign w:val="center"/>
          </w:tcPr>
          <w:p>
            <w:pPr>
              <w:pStyle w:val="TableContents"/>
              <w:bidi w:val="0"/>
              <w:spacing w:before="33" w:after="30"/>
              <w:jc w:val="left"/>
              <w:rPr>
                <w:rFonts w:ascii="Times New Roman" w:hAnsi="Times New Roman"/>
                <w:b/>
                <w:color w:val="000000"/>
                <w:sz w:val="20"/>
              </w:rPr>
            </w:pPr>
            <w:r>
              <w:rPr>
                <w:rFonts w:ascii="Times New Roman" w:hAnsi="Times New Roman"/>
                <w:b/>
                <w:color w:val="000000"/>
                <w:sz w:val="20"/>
              </w:rPr>
              <w:t>12-Month Safety Summary</w:t>
            </w:r>
          </w:p>
        </w:tc>
        <w:tc>
          <w:tcPr>
            <w:tcW w:w="3481" w:type="dxa"/>
            <w:gridSpan w:val="2"/>
            <w:tcBorders>
              <w:top w:val="single" w:sz="8" w:space="0" w:color="000000"/>
              <w:left w:val="single" w:sz="8" w:space="0" w:color="000000"/>
              <w:bottom w:val="single" w:sz="8" w:space="0" w:color="000000"/>
            </w:tcBorders>
            <w:tcMar>
              <w:left w:w="58"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ATEV</w:t>
            </w:r>
          </w:p>
        </w:tc>
        <w:tc>
          <w:tcPr>
            <w:tcW w:w="3528" w:type="dxa"/>
            <w:gridSpan w:val="2"/>
            <w:tcBorders>
              <w:top w:val="single" w:sz="8" w:space="0" w:color="000000"/>
              <w:left w:val="single" w:sz="8" w:space="0" w:color="000000"/>
              <w:bottom w:val="single" w:sz="8" w:space="0" w:color="000000"/>
              <w:right w:val="single" w:sz="8" w:space="0" w:color="000000"/>
            </w:tcBorders>
            <w:tcMar>
              <w:left w:w="58" w:type="dxa"/>
              <w:right w:w="58"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AVF</w:t>
            </w:r>
          </w:p>
        </w:tc>
      </w:tr>
      <w:tr>
        <w:trPr/>
        <w:tc>
          <w:tcPr>
            <w:tcW w:w="3196" w:type="dxa"/>
            <w:vMerge w:val="continue"/>
            <w:tcBorders>
              <w:top w:val="single" w:sz="8" w:space="0" w:color="000000"/>
              <w:left w:val="single" w:sz="8" w:space="0" w:color="000000"/>
            </w:tcBorders>
            <w:tcMar>
              <w:left w:w="58" w:type="dxa"/>
              <w:bottom w:w="0" w:type="dxa"/>
              <w:right w:w="0" w:type="dxa"/>
            </w:tcMar>
            <w:vAlign w:val="center"/>
          </w:tcPr>
          <w:p>
            <w:pPr>
              <w:pStyle w:val="Normal"/>
              <w:bidi w:val="0"/>
              <w:jc w:val="left"/>
              <w:rPr/>
            </w:pPr>
            <w:r>
              <w:rPr/>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Subjects (%) n=54</w:t>
            </w:r>
          </w:p>
        </w:tc>
        <w:tc>
          <w:tcPr>
            <w:tcW w:w="193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Events Per Patient Year</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Subjects (%) n=56</w:t>
            </w:r>
          </w:p>
        </w:tc>
        <w:tc>
          <w:tcPr>
            <w:tcW w:w="197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Events Per Patient Year</w:t>
            </w:r>
          </w:p>
        </w:tc>
      </w:tr>
      <w:tr>
        <w:trPr/>
        <w:tc>
          <w:tcPr>
            <w:tcW w:w="3196" w:type="dxa"/>
            <w:tcBorders>
              <w:top w:val="single" w:sz="8" w:space="0" w:color="000000"/>
              <w:left w:val="single" w:sz="8" w:space="0" w:color="000000"/>
              <w:bottom w:val="single" w:sz="8" w:space="0" w:color="000000"/>
            </w:tcBorders>
            <w:tcMar>
              <w:left w:w="58"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Treatment Emergent Adverse Events</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96.3%</w:t>
            </w:r>
          </w:p>
        </w:tc>
        <w:tc>
          <w:tcPr>
            <w:tcW w:w="193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14.8</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98.2%</w:t>
            </w:r>
          </w:p>
        </w:tc>
        <w:tc>
          <w:tcPr>
            <w:tcW w:w="197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21.8</w:t>
            </w:r>
          </w:p>
        </w:tc>
      </w:tr>
      <w:tr>
        <w:trPr/>
        <w:tc>
          <w:tcPr>
            <w:tcW w:w="3196"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Serious Adverse Events</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77.8%</w:t>
            </w:r>
          </w:p>
        </w:tc>
        <w:tc>
          <w:tcPr>
            <w:tcW w:w="193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4.2</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67.9%</w:t>
            </w:r>
          </w:p>
        </w:tc>
        <w:tc>
          <w:tcPr>
            <w:tcW w:w="197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6.1</w:t>
            </w:r>
          </w:p>
        </w:tc>
      </w:tr>
      <w:tr>
        <w:trPr/>
        <w:tc>
          <w:tcPr>
            <w:tcW w:w="3196"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283"/>
              <w:jc w:val="left"/>
              <w:rPr>
                <w:rFonts w:ascii="Times New Roman" w:hAnsi="Times New Roman"/>
                <w:color w:val="000000"/>
                <w:sz w:val="20"/>
              </w:rPr>
            </w:pPr>
            <w:r>
              <w:rPr>
                <w:rFonts w:ascii="Times New Roman" w:hAnsi="Times New Roman"/>
                <w:color w:val="000000"/>
                <w:sz w:val="20"/>
              </w:rPr>
              <w:t>Adverse events of special interest:</w:t>
            </w:r>
          </w:p>
          <w:p>
            <w:pPr>
              <w:pStyle w:val="TableContents"/>
              <w:bidi w:val="0"/>
              <w:jc w:val="left"/>
              <w:rPr>
                <w:color w:val="000000"/>
              </w:rPr>
            </w:pPr>
            <w:r>
              <w:rPr>
                <w:color w:val="000000"/>
              </w:rPr>
              <w:t>  </w:t>
            </w:r>
            <w:r>
              <w:rPr>
                <w:rFonts w:ascii="Times New Roman" w:hAnsi="Times New Roman"/>
                <w:color w:val="000000"/>
                <w:sz w:val="20"/>
              </w:rPr>
              <w:t>Study access (SA)-related infections</w:t>
            </w:r>
          </w:p>
          <w:p>
            <w:pPr>
              <w:pStyle w:val="TableContents"/>
              <w:bidi w:val="0"/>
              <w:jc w:val="left"/>
              <w:rPr>
                <w:color w:val="000000"/>
              </w:rPr>
            </w:pPr>
            <w:r>
              <w:rPr>
                <w:color w:val="000000"/>
              </w:rPr>
              <w:t>  </w:t>
            </w:r>
            <w:r>
              <w:rPr>
                <w:rFonts w:ascii="Times New Roman" w:hAnsi="Times New Roman"/>
                <w:color w:val="000000"/>
                <w:sz w:val="20"/>
              </w:rPr>
              <w:t>Thrombosis</w:t>
            </w:r>
          </w:p>
          <w:p>
            <w:pPr>
              <w:pStyle w:val="TableContents"/>
              <w:bidi w:val="0"/>
              <w:jc w:val="left"/>
              <w:rPr>
                <w:color w:val="000000"/>
              </w:rPr>
            </w:pPr>
            <w:r>
              <w:rPr>
                <w:color w:val="000000"/>
              </w:rPr>
              <w:t>  </w:t>
            </w:r>
            <w:r>
              <w:rPr>
                <w:rFonts w:ascii="Times New Roman" w:hAnsi="Times New Roman"/>
                <w:color w:val="000000"/>
                <w:sz w:val="20"/>
              </w:rPr>
              <w:t>Stenosis</w:t>
            </w:r>
          </w:p>
          <w:p>
            <w:pPr>
              <w:pStyle w:val="TableContents"/>
              <w:bidi w:val="0"/>
              <w:jc w:val="left"/>
              <w:rPr>
                <w:color w:val="000000"/>
              </w:rPr>
            </w:pPr>
            <w:r>
              <w:rPr>
                <w:color w:val="000000"/>
              </w:rPr>
              <w:t>  </w:t>
            </w:r>
            <w:r>
              <w:rPr>
                <w:rFonts w:ascii="Times New Roman" w:hAnsi="Times New Roman"/>
                <w:color w:val="000000"/>
                <w:sz w:val="20"/>
              </w:rPr>
              <w:t>Clinically significant Steal Syndrome</w:t>
            </w:r>
          </w:p>
          <w:p>
            <w:pPr>
              <w:pStyle w:val="TableContents"/>
              <w:bidi w:val="0"/>
              <w:jc w:val="left"/>
              <w:rPr>
                <w:color w:val="000000"/>
              </w:rPr>
            </w:pPr>
            <w:r>
              <w:rPr>
                <w:color w:val="000000"/>
              </w:rPr>
              <w:t>  </w:t>
            </w:r>
            <w:r>
              <w:rPr>
                <w:rFonts w:ascii="Times New Roman" w:hAnsi="Times New Roman"/>
                <w:color w:val="000000"/>
                <w:sz w:val="20"/>
              </w:rPr>
              <w:t>Rupture of SA</w:t>
            </w:r>
          </w:p>
          <w:p>
            <w:pPr>
              <w:pStyle w:val="TableContents"/>
              <w:bidi w:val="0"/>
              <w:jc w:val="left"/>
              <w:rPr>
                <w:color w:val="000000"/>
              </w:rPr>
            </w:pPr>
            <w:r>
              <w:rPr>
                <w:color w:val="000000"/>
              </w:rPr>
              <w:t>  </w:t>
            </w:r>
            <w:r>
              <w:rPr>
                <w:rFonts w:ascii="Times New Roman" w:hAnsi="Times New Roman"/>
                <w:color w:val="000000"/>
                <w:sz w:val="20"/>
              </w:rPr>
              <w:t>Leading to SA revision or ligation</w:t>
            </w:r>
          </w:p>
          <w:p>
            <w:pPr>
              <w:pStyle w:val="TableContents"/>
              <w:bidi w:val="0"/>
              <w:spacing w:before="0" w:after="30"/>
              <w:jc w:val="left"/>
              <w:rPr>
                <w:color w:val="000000"/>
              </w:rPr>
            </w:pPr>
            <w:r>
              <w:rPr>
                <w:color w:val="000000"/>
              </w:rPr>
              <w:t>  </w:t>
            </w:r>
            <w:r>
              <w:rPr>
                <w:rFonts w:ascii="Times New Roman" w:hAnsi="Times New Roman"/>
                <w:color w:val="000000"/>
                <w:sz w:val="20"/>
              </w:rPr>
              <w:t>Leading to SA excision</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283"/>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7.4%</w:t>
            </w:r>
          </w:p>
          <w:p>
            <w:pPr>
              <w:pStyle w:val="TableContents"/>
              <w:bidi w:val="0"/>
              <w:jc w:val="center"/>
              <w:rPr>
                <w:rFonts w:ascii="Times New Roman" w:hAnsi="Times New Roman"/>
                <w:color w:val="000000"/>
                <w:sz w:val="20"/>
              </w:rPr>
            </w:pPr>
            <w:r>
              <w:rPr>
                <w:rFonts w:ascii="Times New Roman" w:hAnsi="Times New Roman"/>
                <w:color w:val="000000"/>
                <w:sz w:val="20"/>
              </w:rPr>
              <w:t>51.9%</w:t>
            </w:r>
          </w:p>
          <w:p>
            <w:pPr>
              <w:pStyle w:val="TableContents"/>
              <w:bidi w:val="0"/>
              <w:jc w:val="center"/>
              <w:rPr>
                <w:rFonts w:ascii="Times New Roman" w:hAnsi="Times New Roman"/>
                <w:color w:val="000000"/>
                <w:sz w:val="20"/>
              </w:rPr>
            </w:pPr>
            <w:r>
              <w:rPr>
                <w:rFonts w:ascii="Times New Roman" w:hAnsi="Times New Roman"/>
                <w:color w:val="000000"/>
                <w:sz w:val="20"/>
              </w:rPr>
              <w:t>64.8%</w:t>
            </w:r>
          </w:p>
          <w:p>
            <w:pPr>
              <w:pStyle w:val="TableContents"/>
              <w:bidi w:val="0"/>
              <w:jc w:val="center"/>
              <w:rPr>
                <w:rFonts w:ascii="Times New Roman" w:hAnsi="Times New Roman"/>
                <w:color w:val="000000"/>
                <w:sz w:val="20"/>
              </w:rPr>
            </w:pPr>
            <w:r>
              <w:rPr>
                <w:rFonts w:ascii="Times New Roman" w:hAnsi="Times New Roman"/>
                <w:color w:val="000000"/>
                <w:sz w:val="20"/>
              </w:rPr>
              <w:t>1.9%</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11.1%</w:t>
            </w:r>
          </w:p>
          <w:p>
            <w:pPr>
              <w:pStyle w:val="TableContents"/>
              <w:bidi w:val="0"/>
              <w:spacing w:before="0" w:after="30"/>
              <w:jc w:val="center"/>
              <w:rPr>
                <w:rFonts w:ascii="Times New Roman" w:hAnsi="Times New Roman"/>
                <w:color w:val="000000"/>
                <w:sz w:val="20"/>
              </w:rPr>
            </w:pPr>
            <w:r>
              <w:rPr>
                <w:rFonts w:ascii="Times New Roman" w:hAnsi="Times New Roman"/>
                <w:color w:val="000000"/>
                <w:sz w:val="20"/>
              </w:rPr>
              <w:t>5.6%</w:t>
            </w:r>
          </w:p>
        </w:tc>
        <w:tc>
          <w:tcPr>
            <w:tcW w:w="1930"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283"/>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1.2</w:t>
            </w:r>
          </w:p>
          <w:p>
            <w:pPr>
              <w:pStyle w:val="TableContents"/>
              <w:bidi w:val="0"/>
              <w:jc w:val="center"/>
              <w:rPr>
                <w:rFonts w:ascii="Times New Roman" w:hAnsi="Times New Roman"/>
                <w:color w:val="000000"/>
                <w:sz w:val="20"/>
              </w:rPr>
            </w:pPr>
            <w:r>
              <w:rPr>
                <w:rFonts w:ascii="Times New Roman" w:hAnsi="Times New Roman"/>
                <w:color w:val="000000"/>
                <w:sz w:val="20"/>
              </w:rPr>
              <w:t>3.0</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0.0</w:t>
            </w:r>
          </w:p>
          <w:p>
            <w:pPr>
              <w:pStyle w:val="TableContents"/>
              <w:bidi w:val="0"/>
              <w:jc w:val="center"/>
              <w:rPr>
                <w:rFonts w:ascii="Times New Roman" w:hAnsi="Times New Roman"/>
                <w:color w:val="000000"/>
                <w:sz w:val="20"/>
              </w:rPr>
            </w:pPr>
            <w:r>
              <w:rPr>
                <w:rFonts w:ascii="Times New Roman" w:hAnsi="Times New Roman"/>
                <w:color w:val="000000"/>
                <w:sz w:val="20"/>
              </w:rPr>
              <w:t>0.2</w:t>
            </w:r>
          </w:p>
          <w:p>
            <w:pPr>
              <w:pStyle w:val="TableContents"/>
              <w:bidi w:val="0"/>
              <w:spacing w:before="0" w:after="30"/>
              <w:jc w:val="center"/>
              <w:rPr>
                <w:rFonts w:ascii="Times New Roman" w:hAnsi="Times New Roman"/>
                <w:color w:val="000000"/>
                <w:sz w:val="20"/>
              </w:rPr>
            </w:pPr>
            <w:r>
              <w:rPr>
                <w:rFonts w:ascii="Times New Roman" w:hAnsi="Times New Roman"/>
                <w:color w:val="000000"/>
                <w:sz w:val="20"/>
              </w:rPr>
              <w:t>0.2</w:t>
            </w:r>
          </w:p>
        </w:tc>
        <w:tc>
          <w:tcPr>
            <w:tcW w:w="1551" w:type="dxa"/>
            <w:tcBorders>
              <w:left w:val="single" w:sz="8" w:space="0" w:color="000000"/>
              <w:bottom w:val="single" w:sz="8" w:space="0" w:color="000000"/>
            </w:tcBorders>
            <w:tcMar>
              <w:top w:w="0" w:type="dxa"/>
              <w:left w:w="58" w:type="dxa"/>
              <w:right w:w="0" w:type="dxa"/>
            </w:tcMar>
            <w:vAlign w:val="center"/>
          </w:tcPr>
          <w:p>
            <w:pPr>
              <w:pStyle w:val="TableContents"/>
              <w:bidi w:val="0"/>
              <w:spacing w:before="33" w:after="283"/>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5.5%</w:t>
            </w:r>
          </w:p>
          <w:p>
            <w:pPr>
              <w:pStyle w:val="TableContents"/>
              <w:bidi w:val="0"/>
              <w:jc w:val="center"/>
              <w:rPr>
                <w:rFonts w:ascii="Times New Roman" w:hAnsi="Times New Roman"/>
                <w:color w:val="000000"/>
                <w:sz w:val="20"/>
              </w:rPr>
            </w:pPr>
            <w:r>
              <w:rPr>
                <w:rFonts w:ascii="Times New Roman" w:hAnsi="Times New Roman"/>
                <w:color w:val="000000"/>
                <w:sz w:val="20"/>
              </w:rPr>
              <w:t>12.5%</w:t>
            </w:r>
          </w:p>
          <w:p>
            <w:pPr>
              <w:pStyle w:val="TableContents"/>
              <w:bidi w:val="0"/>
              <w:jc w:val="center"/>
              <w:rPr>
                <w:rFonts w:ascii="Times New Roman" w:hAnsi="Times New Roman"/>
                <w:color w:val="000000"/>
                <w:sz w:val="20"/>
              </w:rPr>
            </w:pPr>
            <w:r>
              <w:rPr>
                <w:rFonts w:ascii="Times New Roman" w:hAnsi="Times New Roman"/>
                <w:color w:val="000000"/>
                <w:sz w:val="20"/>
              </w:rPr>
              <w:t>51.8%</w:t>
            </w:r>
          </w:p>
          <w:p>
            <w:pPr>
              <w:pStyle w:val="TableContents"/>
              <w:bidi w:val="0"/>
              <w:jc w:val="center"/>
              <w:rPr>
                <w:rFonts w:ascii="Times New Roman" w:hAnsi="Times New Roman"/>
                <w:color w:val="000000"/>
                <w:sz w:val="20"/>
              </w:rPr>
            </w:pPr>
            <w:r>
              <w:rPr>
                <w:rFonts w:ascii="Times New Roman" w:hAnsi="Times New Roman"/>
                <w:color w:val="000000"/>
                <w:sz w:val="20"/>
              </w:rPr>
              <w:t>3.6%</w:t>
            </w:r>
          </w:p>
          <w:p>
            <w:pPr>
              <w:pStyle w:val="TableContents"/>
              <w:bidi w:val="0"/>
              <w:jc w:val="center"/>
              <w:rPr>
                <w:rFonts w:ascii="Times New Roman" w:hAnsi="Times New Roman"/>
                <w:color w:val="000000"/>
                <w:sz w:val="20"/>
              </w:rPr>
            </w:pPr>
            <w:r>
              <w:rPr>
                <w:rFonts w:ascii="Times New Roman" w:hAnsi="Times New Roman"/>
                <w:color w:val="000000"/>
                <w:sz w:val="20"/>
              </w:rPr>
              <w:t>3.6%</w:t>
            </w:r>
          </w:p>
          <w:p>
            <w:pPr>
              <w:pStyle w:val="TableContents"/>
              <w:bidi w:val="0"/>
              <w:jc w:val="center"/>
              <w:rPr>
                <w:rFonts w:ascii="Times New Roman" w:hAnsi="Times New Roman"/>
                <w:color w:val="000000"/>
                <w:sz w:val="20"/>
              </w:rPr>
            </w:pPr>
            <w:r>
              <w:rPr>
                <w:rFonts w:ascii="Times New Roman" w:hAnsi="Times New Roman"/>
                <w:color w:val="000000"/>
                <w:sz w:val="20"/>
              </w:rPr>
              <w:t>28.6%</w:t>
            </w:r>
          </w:p>
          <w:p>
            <w:pPr>
              <w:pStyle w:val="TableContents"/>
              <w:bidi w:val="0"/>
              <w:spacing w:before="0" w:after="30"/>
              <w:jc w:val="center"/>
              <w:rPr>
                <w:rFonts w:ascii="Times New Roman" w:hAnsi="Times New Roman"/>
                <w:color w:val="000000"/>
                <w:sz w:val="20"/>
              </w:rPr>
            </w:pPr>
            <w:r>
              <w:rPr>
                <w:rFonts w:ascii="Times New Roman" w:hAnsi="Times New Roman"/>
                <w:color w:val="000000"/>
                <w:sz w:val="20"/>
              </w:rPr>
              <w:t>3.6%</w:t>
            </w:r>
          </w:p>
        </w:tc>
        <w:tc>
          <w:tcPr>
            <w:tcW w:w="197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before="33" w:after="283"/>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0.3</w:t>
            </w:r>
          </w:p>
          <w:p>
            <w:pPr>
              <w:pStyle w:val="TableContents"/>
              <w:bidi w:val="0"/>
              <w:jc w:val="center"/>
              <w:rPr>
                <w:rFonts w:ascii="Times New Roman" w:hAnsi="Times New Roman"/>
                <w:color w:val="000000"/>
                <w:sz w:val="20"/>
              </w:rPr>
            </w:pPr>
            <w:r>
              <w:rPr>
                <w:rFonts w:ascii="Times New Roman" w:hAnsi="Times New Roman"/>
                <w:color w:val="000000"/>
                <w:sz w:val="20"/>
              </w:rPr>
              <w:t>2.9</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0.1</w:t>
            </w:r>
          </w:p>
          <w:p>
            <w:pPr>
              <w:pStyle w:val="TableContents"/>
              <w:bidi w:val="0"/>
              <w:jc w:val="center"/>
              <w:rPr>
                <w:rFonts w:ascii="Times New Roman" w:hAnsi="Times New Roman"/>
                <w:color w:val="000000"/>
                <w:sz w:val="20"/>
              </w:rPr>
            </w:pPr>
            <w:r>
              <w:rPr>
                <w:rFonts w:ascii="Times New Roman" w:hAnsi="Times New Roman"/>
                <w:color w:val="000000"/>
                <w:sz w:val="20"/>
              </w:rPr>
              <w:t>1.2</w:t>
            </w:r>
          </w:p>
          <w:p>
            <w:pPr>
              <w:pStyle w:val="TableContents"/>
              <w:bidi w:val="0"/>
              <w:spacing w:before="0" w:after="30"/>
              <w:jc w:val="center"/>
              <w:rPr>
                <w:rFonts w:ascii="Times New Roman" w:hAnsi="Times New Roman"/>
                <w:color w:val="000000"/>
                <w:sz w:val="20"/>
              </w:rPr>
            </w:pPr>
            <w:r>
              <w:rPr>
                <w:rFonts w:ascii="Times New Roman" w:hAnsi="Times New Roman"/>
                <w:color w:val="000000"/>
                <w:sz w:val="20"/>
              </w:rPr>
              <w:t>0.1</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November 2025, two-year results from the V007 trial were presented at the ASN Kidney Week 2025. The V007 study had a secondary endpoint of duration access use over 24 months, for which the ATEV was observed to have superior duration of access compared to AV fistula in female, obese and diabetic patients. In female patients (n=70) over 24 months, patients implanted with the ATEV had 15.8 months of average duration of access, compared to 10.0 months for patients receiving an AV fistula (p&lt;0.0137). In the target population of females, and males with obesity and diabetes (n=110), patients implanted with the ATEV had 14.8 months of average duration of access use compared to 9.1 months for patients receiving an AV fistula (p=0.0114). For all patients in the study (n=242), patients receiving an ATEV had 13.3 months of average duration of access use compared to 12.3 months for AV fistula (p=0.7446). The results are consistent with our strategy of targeting patients at higher risk of AV fistula failure: females, and males with obesity and diabetes, which comprise over half of the hemodialysis population.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231F20"/>
          <w:sz w:val="20"/>
          <w:u w:val="single"/>
        </w:rPr>
      </w:pPr>
      <w:r>
        <w:rPr>
          <w:rFonts w:ascii="Times New Roman" w:hAnsi="Times New Roman"/>
          <w:color w:val="231F20"/>
          <w:sz w:val="20"/>
          <w:u w:val="single"/>
        </w:rPr>
        <w:t>Phase 3 V012 AV Access Study in Women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collaboration with our corporate partner Fresenius Medical Care and its subsidiary Frenova Renal Research, we conducted a study to review the outcomes of 178,575 adult patients who received in-center dialysis at Fresenius Kidney Care dialysis centers. Among the areas of study were the complications and cost of treatment by patient demographic. </w:t>
      </w:r>
      <w:r>
        <w:rPr>
          <w:rFonts w:ascii="Times New Roman" w:hAnsi="Times New Roman"/>
          <w:color w:val="000000"/>
          <w:sz w:val="20"/>
        </w:rPr>
        <w:t xml:space="preserve">The objective of the study was to further define patient subgroups who could </w:t>
      </w:r>
      <w:r>
        <w:rPr>
          <w:rFonts w:ascii="Times New Roman" w:hAnsi="Times New Roman"/>
          <w:color w:val="231F20"/>
          <w:sz w:val="20"/>
        </w:rPr>
        <w:t xml:space="preserve">most benefit from the ATEV. The study showed that women, particularly obese and diabetic women, have higher complication rates, including infections and access failures, and higher treatment costs.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Based on the results of this research, we designed a clinical study designed to demonstrate the clinical and health economic benefits of the ATEV in women dialysis patients, a high-unmet-need population. We commenced the Phase 3 trial, which we refer to as the V012 trial, in up to 150 patients with ESRD. V012 is a Phase 3, prospective, multi-center, open label, randomized, two-arm comparative study conducted in the United States. The V012 trial is designed to assess the usability of the ATEV for dialysis in comparison to autogenous fistulas, in female patients currently receiving hemodialysis via catheter. The primary measure of efficacy will be total days free from in-dwelling catheter (“catheter-free days”) until 365 days, or until access abandonment, whichever occurs first. The primary measure of safety will be the number and severity of infections related to all accesses (including catheters) from access creation until 365 days. An interim analysis is planned on the first 80 patients after one-year of follow up, and 113 patients have currently been enrolled in the study. The 80th patient from V012 is expected to complete one year of follow up in April 2026 and we expect to report top-line interim results from the trial in the second quarter of 2026.</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Planned Supplemental BLA Filing in AV Access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Based on discussions with the FDA, our current plan is to submit a supplemental BLA after interim analysis of V012 study, subject to the results of that interim analysis. This plan would support a supplemental BLA submission in the second half of 2026 dependent upon the timeline for interim data analysis. Our current expectation is that the supplemental BLA submission would target the subgroups in which the ATEV has showed the best results to date, which are all females and males with risk factors for fistula non-maturation.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Proposed Indication #3: PAD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PAD involves partial or complete occlusion of blood vessels in the peripheral circulation and is a major cause of morbidity and mortality in the developed world. Patients with severe PAD undergo peripheral arterial bypass surgery where a conduit is implanted above and below the area of the arterial obstruction, to provide a “bypass” route for blood to flow around the blocked artery. The vast majority of these operations are performed in the lower limb. Other surgical alternatives include minimally invasive approaches such as stenting and angioplasties that are suitable for smaller atherosclerotic lesions and can delay — but oftentimes not prevent — the ultimate need for surgical revascularization.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observed strong patency rates and no reported cases of infection for the ATEV in PAD in clinical studies to date. We are developing our 6 millimeter ATEV for use as a bypass conduit for patients with PAD. We have conducted two Phase 2 trials to evaluate the safety and efficacy of our 6 millimeter ATEV for use as a bypass conduit with PAD, which we refer to as our V002 and V004 trials. For both of these Phase 2 trials, the ATEV was implanted as a femoral popliteal bypass graft in patients with PAD.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Our Current Phase 2 Trials of the ATEV in PAD</w:t>
      </w:r>
    </w:p>
    <w:p>
      <w:pPr>
        <w:pStyle w:val="TextBody"/>
        <w:bidi w:val="0"/>
        <w:jc w:val="center"/>
        <w:rPr/>
      </w:pPr>
      <w:r>
        <w:rPr/>
        <w:t> </w:t>
      </w:r>
    </w:p>
    <w:tbl>
      <w:tblPr>
        <w:tblW w:w="8968" w:type="dxa"/>
        <w:jc w:val="left"/>
        <w:tblInd w:w="0" w:type="dxa"/>
        <w:tblLayout w:type="fixed"/>
        <w:tblCellMar>
          <w:top w:w="28" w:type="dxa"/>
          <w:left w:w="28" w:type="dxa"/>
          <w:bottom w:w="28" w:type="dxa"/>
          <w:right w:w="28" w:type="dxa"/>
        </w:tblCellMar>
      </w:tblPr>
      <w:tblGrid>
        <w:gridCol w:w="706"/>
        <w:gridCol w:w="146"/>
        <w:gridCol w:w="1276"/>
        <w:gridCol w:w="146"/>
        <w:gridCol w:w="916"/>
        <w:gridCol w:w="146"/>
        <w:gridCol w:w="991"/>
        <w:gridCol w:w="146"/>
        <w:gridCol w:w="886"/>
        <w:gridCol w:w="146"/>
        <w:gridCol w:w="1006"/>
        <w:gridCol w:w="146"/>
        <w:gridCol w:w="231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Clinical</w:t>
            </w:r>
          </w:p>
          <w:p>
            <w:pPr>
              <w:pStyle w:val="TableContents"/>
              <w:bidi w:val="0"/>
              <w:jc w:val="center"/>
              <w:rPr>
                <w:rFonts w:ascii="Times New Roman" w:hAnsi="Times New Roman"/>
                <w:b/>
                <w:color w:val="000000"/>
                <w:sz w:val="16"/>
              </w:rPr>
            </w:pPr>
            <w:r>
              <w:rPr>
                <w:rFonts w:ascii="Times New Roman" w:hAnsi="Times New Roman"/>
                <w:b/>
                <w:color w:val="000000"/>
                <w:sz w:val="16"/>
              </w:rPr>
              <w:t>Trial</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Indication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Begin</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Enrollment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Design/</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Phase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Number of</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Subjects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Status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Outcomes**</w:t>
            </w:r>
          </w:p>
        </w:tc>
      </w:tr>
      <w:tr>
        <w:trPr/>
        <w:tc>
          <w:tcPr>
            <w:tcW w:w="70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V002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Peripheral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2013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Phase 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10-year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30-day PP: 100%</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Artery Disease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Single-arm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follow-up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6-month SP: 84%</w:t>
            </w:r>
          </w:p>
        </w:tc>
      </w:tr>
      <w:tr>
        <w:trPr/>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ongoing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12-month SP: 84%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72-month SP: 60%</w:t>
            </w:r>
          </w:p>
        </w:tc>
      </w:tr>
      <w:tr>
        <w:trPr/>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Infection Rate/yr: 0%</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Number of Rejections: 0</w:t>
            </w:r>
          </w:p>
        </w:tc>
      </w:tr>
      <w:tr>
        <w:trPr/>
        <w:tc>
          <w:tcPr>
            <w:tcW w:w="70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V004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Peripheral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Phase 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Completed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30-day PP: 100%</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Artery Disease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Single-arm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6-month SP: 86%</w:t>
            </w:r>
          </w:p>
        </w:tc>
      </w:tr>
      <w:tr>
        <w:trPr/>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12-month SP: 64%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Infection Rate/yr: 0%</w:t>
            </w:r>
          </w:p>
        </w:tc>
      </w:tr>
      <w:tr>
        <w:trPr/>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Number of Rejections: 0</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Number of Amputations: 0</w:t>
            </w:r>
          </w:p>
        </w:tc>
      </w:tr>
    </w:tbl>
    <w:p>
      <w:pPr>
        <w:pStyle w:val="TextBody"/>
        <w:pBdr>
          <w:bottom w:val="single" w:sz="6" w:space="1" w:color="000000"/>
        </w:pBdr>
        <w:bidi w:val="0"/>
        <w:spacing w:before="80" w:after="283"/>
        <w:jc w:val="left"/>
        <w:rPr/>
      </w:pPr>
      <w:r>
        <w:rPr/>
        <w:t> </w:t>
      </w:r>
    </w:p>
    <w:p>
      <w:pPr>
        <w:pStyle w:val="TextBody"/>
        <w:bidi w:val="0"/>
        <w:spacing w:before="40" w:after="283"/>
        <w:jc w:val="left"/>
        <w:rPr>
          <w:rFonts w:ascii="Times New Roman" w:hAnsi="Times New Roman"/>
          <w:color w:val="231F20"/>
          <w:sz w:val="18"/>
        </w:rPr>
      </w:pPr>
      <w:r>
        <w:rPr>
          <w:rFonts w:ascii="Times New Roman" w:hAnsi="Times New Roman"/>
          <w:color w:val="231F20"/>
          <w:sz w:val="18"/>
        </w:rPr>
        <w:t>** PP: Primary Patency, which is the interval of time of access placement until any intervention designed to maintain or reestablish patency, access thrombosis, or the time of measurement of patency, i.e. patent without interventions.</w:t>
      </w:r>
    </w:p>
    <w:p>
      <w:pPr>
        <w:pStyle w:val="TextBody"/>
        <w:bidi w:val="0"/>
        <w:spacing w:before="200" w:after="283"/>
        <w:jc w:val="left"/>
        <w:rPr>
          <w:rFonts w:ascii="Times New Roman" w:hAnsi="Times New Roman"/>
          <w:color w:val="231F20"/>
          <w:sz w:val="18"/>
        </w:rPr>
      </w:pPr>
      <w:r>
        <w:rPr>
          <w:rFonts w:ascii="Times New Roman" w:hAnsi="Times New Roman"/>
          <w:color w:val="231F20"/>
          <w:sz w:val="18"/>
        </w:rPr>
        <w:t>SP: Secondary Patency, which is the interval from the time of access placement until abandonment, i.e. patent with or without interventions.</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Trial Design: </w:t>
      </w:r>
      <w:r>
        <w:rPr>
          <w:rFonts w:ascii="Times New Roman" w:hAnsi="Times New Roman"/>
          <w:color w:val="231F20"/>
          <w:sz w:val="20"/>
        </w:rPr>
        <w:t>Both our V004 and V002 trials were prospective, open-label, single treatment arm, multi-center studies. We enrolled 20 patients in our V002 trial in Poland, and 15 patients in our V004 trial in the United States. Both trials had the primary objectives of evaluating the safety of the ATEV as a femoral-to-popliteal bypass graft, and determining the primary, primary assisted, and secondary patency over 12 and 24 months.</w:t>
      </w:r>
    </w:p>
    <w:p>
      <w:pPr>
        <w:pStyle w:val="TextBody"/>
        <w:bidi w:val="0"/>
        <w:spacing w:before="200" w:after="283"/>
        <w:jc w:val="left"/>
        <w:rPr>
          <w:rFonts w:ascii="Times New Roman" w:hAnsi="Times New Roman"/>
          <w:sz w:val="20"/>
        </w:rPr>
      </w:pPr>
      <w:r>
        <w:rPr>
          <w:rFonts w:ascii="Times New Roman" w:hAnsi="Times New Roman"/>
          <w:b/>
          <w:color w:val="231F20"/>
          <w:sz w:val="20"/>
        </w:rPr>
        <w:t xml:space="preserve">Current Trial Status and Outcomes: </w:t>
      </w:r>
      <w:r>
        <w:rPr>
          <w:rFonts w:ascii="Times New Roman" w:hAnsi="Times New Roman"/>
          <w:color w:val="231F20"/>
          <w:sz w:val="20"/>
        </w:rPr>
        <w:t>V002 enrolled a total of 20 patients between the ages of 54 and 79 at three clinical sites. 24-month results of the V002 trial were published in 2020. After censoring for three deaths (none of which were determined to be related to the ATEV or the implant procedure), we observed 24-month primary, primary assisted and secondary patency rates of 58%, 58%, and 74%, respectively. We observed through ultrasound data that the ATEVs were mechanically stable during the follow-up period and did not develop aneurysmal dilatation in any patient. Overall, we also determined through the histological assessment of explanted specimens that there were normal vascular cells within the ATEV and there was no infection or signs of immunological reaction to the graft.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have been no ATEV-related infections reported during the V002 trial as of December 31, 2025, and no amputations of the treated extremity. A sub-set of seven V002 subjects consented for long-term follow-up computerized tomography (“CT”) angiograms, which were obtained at 48 to 52 months after ATEV implantation. In all cases, the ATEV maintained normal architecture and function. A representative image is shown below, taken 50 months post-implantation. Proximal and distal anastomoses of ATEV with recipient’s vasculature are noted, as is the scale bar on the right-hand side of each image. The image presents two views of the same subject, and shows uniform ATEV diameter along the length of the implant.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A CT Angiogram from a V002 Subject at 51 months after ATEV implantation</w:t>
      </w:r>
    </w:p>
    <w:p>
      <w:pPr>
        <w:pStyle w:val="TextBody"/>
        <w:bidi w:val="0"/>
        <w:spacing w:before="200" w:after="283"/>
        <w:jc w:val="center"/>
        <w:rPr/>
      </w:pPr>
      <w:r>
        <w:rPr/>
        <w:drawing>
          <wp:inline distT="0" distB="0" distL="0" distR="0">
            <wp:extent cx="3429000" cy="3429000"/>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3429000" cy="3429000"/>
                    </a:xfrm>
                    <a:prstGeom prst="rect">
                      <a:avLst/>
                    </a:prstGeom>
                  </pic:spPr>
                </pic:pic>
              </a:graphicData>
            </a:graphic>
          </wp:inline>
        </w:drawing>
      </w:r>
    </w:p>
    <w:p>
      <w:pPr>
        <w:pStyle w:val="TextBody"/>
        <w:bidi w:val="0"/>
        <w:spacing w:before="200" w:after="283"/>
        <w:jc w:val="left"/>
        <w:rPr>
          <w:rFonts w:ascii="Times New Roman" w:hAnsi="Times New Roman"/>
          <w:sz w:val="20"/>
        </w:rPr>
      </w:pPr>
      <w:r>
        <w:rPr>
          <w:rFonts w:ascii="Times New Roman" w:hAnsi="Times New Roman"/>
          <w:color w:val="231F20"/>
          <w:sz w:val="20"/>
        </w:rPr>
        <w:t>Patients in the V002 trial are currently in long-term follow-up out to ten years. In 2022, s</w:t>
      </w:r>
      <w:r>
        <w:rPr>
          <w:rFonts w:ascii="Times New Roman" w:hAnsi="Times New Roman"/>
          <w:color w:val="000000"/>
          <w:sz w:val="20"/>
        </w:rPr>
        <w:t xml:space="preserve">ix-year results from V002 were published in </w:t>
      </w:r>
      <w:r>
        <w:rPr>
          <w:rFonts w:ascii="Times New Roman" w:hAnsi="Times New Roman"/>
          <w:i/>
          <w:color w:val="000000"/>
          <w:sz w:val="20"/>
        </w:rPr>
        <w:t>Journal of Vascular Surgery – Vascular Science</w:t>
      </w:r>
      <w:r>
        <w:rPr>
          <w:rFonts w:ascii="Times New Roman" w:hAnsi="Times New Roman"/>
          <w:color w:val="000000"/>
          <w:sz w:val="20"/>
        </w:rPr>
        <w:t xml:space="preserve">. The article, entitled “6-Year Outcomes of a Phase 2 Study of Human-Tissue Engineered Blood Vessels for Peripheral Arterial Bypass,” reported overall secondary patency rate of 60% at 72 months, including all patients originally enrolled, as estimated by Kaplan Meier analysis. There was no evidence of graft rejection or infection, and no patients underwent amputation of the affected limb out to six years.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Long-term results from V002 Phase 2 study in PAD</w:t>
      </w:r>
    </w:p>
    <w:p>
      <w:pPr>
        <w:pStyle w:val="TextBody"/>
        <w:bidi w:val="0"/>
        <w:jc w:val="center"/>
        <w:rPr/>
      </w:pPr>
      <w:r>
        <w:rPr/>
        <w:t> </w:t>
      </w:r>
    </w:p>
    <w:tbl>
      <w:tblPr>
        <w:tblW w:w="8572" w:type="dxa"/>
        <w:jc w:val="left"/>
        <w:tblInd w:w="0" w:type="dxa"/>
        <w:tblLayout w:type="fixed"/>
        <w:tblCellMar>
          <w:top w:w="28" w:type="dxa"/>
          <w:left w:w="28" w:type="dxa"/>
          <w:bottom w:w="28" w:type="dxa"/>
          <w:right w:w="28" w:type="dxa"/>
        </w:tblCellMar>
      </w:tblPr>
      <w:tblGrid>
        <w:gridCol w:w="2731"/>
        <w:gridCol w:w="146"/>
        <w:gridCol w:w="721"/>
        <w:gridCol w:w="146"/>
        <w:gridCol w:w="496"/>
        <w:gridCol w:w="146"/>
        <w:gridCol w:w="496"/>
        <w:gridCol w:w="146"/>
        <w:gridCol w:w="496"/>
        <w:gridCol w:w="146"/>
        <w:gridCol w:w="496"/>
        <w:gridCol w:w="146"/>
        <w:gridCol w:w="496"/>
        <w:gridCol w:w="146"/>
        <w:gridCol w:w="556"/>
        <w:gridCol w:w="146"/>
        <w:gridCol w:w="9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8" w:space="0" w:color="FFFFFF"/>
              <w:left w:val="single" w:sz="8" w:space="0" w:color="FFFFFF"/>
              <w:bottom w:val="single" w:sz="8" w:space="0" w:color="FFFFFF"/>
            </w:tcBorders>
            <w:shd w:fill="24428B" w:val="clear"/>
            <w:tcMar>
              <w:left w:w="53" w:type="dxa"/>
              <w:right w:w="0" w:type="dxa"/>
            </w:tcMar>
            <w:vAlign w:val="center"/>
          </w:tcPr>
          <w:p>
            <w:pPr>
              <w:pStyle w:val="TableContents"/>
              <w:bidi w:val="0"/>
              <w:jc w:val="left"/>
              <w:rPr>
                <w:rFonts w:ascii="Arial" w:hAnsi="Arial"/>
                <w:color w:val="FFFFFF"/>
                <w:sz w:val="20"/>
              </w:rPr>
            </w:pPr>
            <w:r>
              <w:rPr>
                <w:rFonts w:ascii="Arial" w:hAnsi="Arial"/>
                <w:color w:val="FFFFFF"/>
                <w:sz w:val="20"/>
              </w:rPr>
              <w:t>Result from V002</w:t>
            </w:r>
          </w:p>
          <w:p>
            <w:pPr>
              <w:pStyle w:val="TableContents"/>
              <w:bidi w:val="0"/>
              <w:jc w:val="left"/>
              <w:rPr>
                <w:rFonts w:ascii="Arial" w:hAnsi="Arial"/>
                <w:color w:val="FFFFFF"/>
                <w:sz w:val="20"/>
              </w:rPr>
            </w:pPr>
            <w:r>
              <w:rPr>
                <w:rFonts w:ascii="Arial" w:hAnsi="Arial"/>
                <w:color w:val="FFFFFF"/>
                <w:sz w:val="20"/>
              </w:rPr>
              <w:t>Phase 2 Trial in PAD</w:t>
            </w:r>
          </w:p>
          <w:p>
            <w:pPr>
              <w:pStyle w:val="TableContents"/>
              <w:bidi w:val="0"/>
              <w:spacing w:before="0" w:after="283"/>
              <w:jc w:val="left"/>
              <w:rPr>
                <w:rFonts w:ascii="Arial" w:hAnsi="Arial"/>
                <w:i/>
                <w:color w:val="FFFFFF"/>
                <w:sz w:val="16"/>
              </w:rPr>
            </w:pPr>
            <w:r>
              <w:rPr>
                <w:rFonts w:ascii="Arial" w:hAnsi="Arial"/>
                <w:i/>
                <w:color w:val="FFFFFF"/>
                <w:sz w:val="16"/>
              </w:rPr>
              <w:t>(as of April 2021)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Pre-Op</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1 yr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2 yr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3 yr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4 yr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5 yr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5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6 yr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8" w:space="0" w:color="FFFFFF"/>
              <w:bottom w:val="single" w:sz="8" w:space="0" w:color="FFFFFF"/>
              <w:right w:val="single" w:sz="8" w:space="0" w:color="FFFFFF"/>
            </w:tcBorders>
            <w:shd w:fill="24428B" w:val="clear"/>
            <w:tcMar>
              <w:left w:w="0" w:type="dxa"/>
              <w:right w:w="53"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Avg</w:t>
            </w:r>
          </w:p>
        </w:tc>
      </w:tr>
      <w:tr>
        <w:trPr/>
        <w:tc>
          <w:tcPr>
            <w:tcW w:w="2731"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Secondary Patency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60%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731"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Ankle-Brachial Index (median)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0.64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0.90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0.96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0.98</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Arial" w:hAnsi="Arial"/>
                <w:color w:val="000000"/>
                <w:sz w:val="20"/>
              </w:rPr>
              <w:t>0.94</w:t>
            </w:r>
            <w:r>
              <w:rPr>
                <w:rFonts w:ascii="Times New Roman" w:hAnsi="Times New Roman"/>
                <w:color w:val="000000"/>
                <w:sz w:val="24"/>
              </w:rPr>
              <w:br/>
            </w:r>
            <w:r>
              <w:rPr>
                <w:rFonts w:ascii="Arial" w:hAnsi="Arial"/>
                <w:color w:val="000000"/>
                <w:sz w:val="20"/>
              </w:rPr>
              <w:t>(n=2)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rFonts w:ascii="Times New Roman" w:hAnsi="Times New Roman"/>
                <w:sz w:val="24"/>
              </w:rPr>
            </w:pPr>
            <w:r>
              <w:rPr>
                <w:rFonts w:ascii="Arial" w:hAnsi="Arial"/>
                <w:color w:val="000000"/>
                <w:sz w:val="20"/>
              </w:rPr>
              <w:t>0.97</w:t>
            </w:r>
            <w:r>
              <w:rPr>
                <w:rFonts w:ascii="Times New Roman" w:hAnsi="Times New Roman"/>
                <w:color w:val="000000"/>
                <w:sz w:val="24"/>
              </w:rPr>
              <w:br/>
            </w:r>
            <w:r>
              <w:rPr>
                <w:rFonts w:ascii="Arial" w:hAnsi="Arial"/>
                <w:color w:val="000000"/>
                <w:sz w:val="20"/>
              </w:rPr>
              <w:t>(post-op)</w:t>
            </w:r>
          </w:p>
        </w:tc>
      </w:tr>
      <w:tr>
        <w:trPr/>
        <w:tc>
          <w:tcPr>
            <w:tcW w:w="2731"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Times New Roman" w:hAnsi="Times New Roman"/>
                <w:sz w:val="20"/>
              </w:rPr>
            </w:pPr>
            <w:r>
              <w:rPr>
                <w:rFonts w:ascii="Arial" w:hAnsi="Arial"/>
                <w:color w:val="231F20"/>
                <w:sz w:val="20"/>
              </w:rPr>
              <w:t>ATEV</w:t>
            </w:r>
            <w:r>
              <w:rPr>
                <w:rFonts w:ascii="Times New Roman" w:hAnsi="Times New Roman"/>
                <w:color w:val="000000"/>
                <w:sz w:val="20"/>
              </w:rPr>
              <w:t> </w:t>
            </w:r>
            <w:r>
              <w:rPr>
                <w:rFonts w:ascii="Arial" w:hAnsi="Arial"/>
                <w:color w:val="000000"/>
                <w:sz w:val="20"/>
              </w:rPr>
              <w:t>Infection 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r>
    </w:tbl>
    <w:p>
      <w:pPr>
        <w:pStyle w:val="TextBody"/>
        <w:bidi w:val="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V004 trial enrolled 15 subjects in the United States, with the 12-month follow-up of the last enrolled patient occurring in December 2020. Patients in the V004 trial included Rutherford 4 and 5 subjects, with severe, debilitating limb ischemia. (Rutherford 4 and 5 patients are classified as patients with pain at rest due to limb ischemia (stage 4), and those patients suffering tissue loss in the limb as a result of ischemia (stage 5)). In addition, enrollment in V004 required that no autologous vein be available for bypass. Hence, the subjects enrolled in the V004 trial had severe and debilitating limb ischemia due to PAD and had no autologous vein that was suitable for lesion bypass and revascularization.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12-month results from V004 Phase 2 study in PAD</w:t>
      </w:r>
    </w:p>
    <w:p>
      <w:pPr>
        <w:pStyle w:val="TextBody"/>
        <w:bidi w:val="0"/>
        <w:jc w:val="center"/>
        <w:rPr/>
      </w:pPr>
      <w:r>
        <w:rPr/>
        <w:t> </w:t>
      </w:r>
    </w:p>
    <w:tbl>
      <w:tblPr>
        <w:tblW w:w="6007" w:type="dxa"/>
        <w:jc w:val="left"/>
        <w:tblInd w:w="0" w:type="dxa"/>
        <w:tblLayout w:type="fixed"/>
        <w:tblCellMar>
          <w:top w:w="28" w:type="dxa"/>
          <w:left w:w="28" w:type="dxa"/>
          <w:bottom w:w="28" w:type="dxa"/>
          <w:right w:w="28" w:type="dxa"/>
        </w:tblCellMar>
      </w:tblPr>
      <w:tblGrid>
        <w:gridCol w:w="3406"/>
        <w:gridCol w:w="146"/>
        <w:gridCol w:w="721"/>
        <w:gridCol w:w="146"/>
        <w:gridCol w:w="646"/>
        <w:gridCol w:w="146"/>
        <w:gridCol w:w="79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8" w:space="0" w:color="FFFFFF"/>
              <w:left w:val="single" w:sz="8" w:space="0" w:color="FFFFFF"/>
              <w:bottom w:val="single" w:sz="8" w:space="0" w:color="FFFFFF"/>
            </w:tcBorders>
            <w:shd w:fill="24428B" w:val="clear"/>
            <w:tcMar>
              <w:left w:w="53" w:type="dxa"/>
              <w:right w:w="0" w:type="dxa"/>
            </w:tcMar>
            <w:vAlign w:val="center"/>
          </w:tcPr>
          <w:p>
            <w:pPr>
              <w:pStyle w:val="TableContents"/>
              <w:bidi w:val="0"/>
              <w:spacing w:before="0" w:after="283"/>
              <w:jc w:val="left"/>
              <w:rPr>
                <w:rFonts w:ascii="Times New Roman" w:hAnsi="Times New Roman"/>
                <w:sz w:val="20"/>
              </w:rPr>
            </w:pPr>
            <w:r>
              <w:rPr>
                <w:rFonts w:ascii="Arial" w:hAnsi="Arial"/>
                <w:color w:val="FFFFFF"/>
                <w:sz w:val="20"/>
              </w:rPr>
              <w:t xml:space="preserve">Result from V004 Trial </w:t>
            </w:r>
            <w:r>
              <w:rPr>
                <w:rFonts w:ascii="Arial" w:hAnsi="Arial"/>
                <w:color w:val="FFFFFF"/>
                <w:sz w:val="16"/>
              </w:rPr>
              <w:t>(as of April 2021)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Pre-Op</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FFFFFF"/>
              <w:bottom w:val="single" w:sz="8" w:space="0" w:color="FFFFFF"/>
            </w:tcBorders>
            <w:shd w:fill="24428B" w:val="clear"/>
            <w:tcMar>
              <w:left w:w="0" w:type="dxa"/>
              <w:right w:w="0"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6 mos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8" w:space="0" w:color="FFFFFF"/>
              <w:bottom w:val="single" w:sz="8" w:space="0" w:color="FFFFFF"/>
              <w:right w:val="single" w:sz="8" w:space="0" w:color="FFFFFF"/>
            </w:tcBorders>
            <w:shd w:fill="24428B" w:val="clear"/>
            <w:tcMar>
              <w:left w:w="0" w:type="dxa"/>
              <w:right w:w="53" w:type="dxa"/>
            </w:tcMar>
            <w:vAlign w:val="center"/>
          </w:tcPr>
          <w:p>
            <w:pPr>
              <w:pStyle w:val="TableContents"/>
              <w:bidi w:val="0"/>
              <w:spacing w:before="0" w:after="283"/>
              <w:jc w:val="center"/>
              <w:rPr>
                <w:rFonts w:ascii="Arial" w:hAnsi="Arial"/>
                <w:color w:val="FFFFFF"/>
                <w:sz w:val="20"/>
              </w:rPr>
            </w:pPr>
            <w:r>
              <w:rPr>
                <w:rFonts w:ascii="Arial" w:hAnsi="Arial"/>
                <w:color w:val="FFFFFF"/>
                <w:sz w:val="20"/>
              </w:rPr>
              <w:t>12 mos</w:t>
            </w:r>
          </w:p>
        </w:tc>
      </w:tr>
      <w:tr>
        <w:trPr/>
        <w:tc>
          <w:tcPr>
            <w:tcW w:w="340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Secondary Patency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64%</w:t>
            </w:r>
          </w:p>
        </w:tc>
      </w:tr>
      <w:tr>
        <w:trPr/>
        <w:tc>
          <w:tcPr>
            <w:tcW w:w="340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Ankle-Brachial Index (median)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0.85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0.90</w:t>
            </w:r>
          </w:p>
        </w:tc>
      </w:tr>
      <w:tr>
        <w:trPr/>
        <w:tc>
          <w:tcPr>
            <w:tcW w:w="340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Rate of Amputation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w:t>
            </w:r>
          </w:p>
        </w:tc>
      </w:tr>
      <w:tr>
        <w:trPr/>
        <w:tc>
          <w:tcPr>
            <w:tcW w:w="3406" w:type="dxa"/>
            <w:tcBorders>
              <w:left w:val="single" w:sz="8" w:space="0" w:color="FFFFFF"/>
              <w:bottom w:val="single" w:sz="8" w:space="0" w:color="FFFFFF"/>
            </w:tcBorders>
            <w:shd w:fill="E6E6F0" w:val="clear"/>
            <w:tcMar>
              <w:top w:w="0" w:type="dxa"/>
              <w:left w:w="53"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VascuQol Quality of Life Assessment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FFFFFF"/>
            </w:tcBorders>
            <w:shd w:fill="E6E6F0"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FFFFFF"/>
              <w:right w:val="single" w:sz="8" w:space="0" w:color="FFFFFF"/>
            </w:tcBorders>
            <w:shd w:fill="E6E6F0"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5.9</w:t>
            </w:r>
          </w:p>
        </w:tc>
      </w:tr>
    </w:tbl>
    <w:p>
      <w:pPr>
        <w:pStyle w:val="TextBody"/>
        <w:bidi w:val="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the V004 trial, ATEV secondary patency was 86% at 6 months, and 64% at 12 months. While lower than patency values observed in the V002 trial, patients in the V004 trial had more severe PAD, which is associated with poorer arterial “run-off” and higher propensity for conduit occlusion. Assessment of Quality of Life by the validated VascuQol assessment demonstrated an increase in overall quality of life for V004 patients at 6 and 12 months. In addition, ankle-brachial index, a measurement of blood pressure in the operative limb, was increased at 6 and 12 months. There were no infections of the ATEV reported in the V004 trial, despite the severity of the PAD and the often-associated tissue infection that can accompany this disease. There were zero reports of clinical ATEV rejection. Lastly, there were zero reported amputations of any operative limb in the first 12 months of follow-up.</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Published literature reports of patients with Rutherford stage 4 and 5 PAD and no autologous vein available for revascularization show that outcomes can include amputation. For Rutherford 4 and 5 patients with no vein and no revascularization procedure, amputation rates at 6 months are reported at 31%. For stage 4 and 5 patients who do undergo saphenous vein revascularization, the amputation rate at one year is approximately 10%. The lack of amputation for stage 4 and 5 patients in the V004 trial at one year, none of whom had saphenous vein for revascularization, supports the use of the ATEV in severe PAD.</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Examples of the Use of Our 6 millimeter ATEVs in Expanded Access Cases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FDA granted use of the ATEV in 30 special expanded access cases prior to the December 2024 FDA approval in extremity vascular truama, the majority of which were patients with chronic limb-threatening ischemia (“CLTI”), the end stage of PAD. Each of these compassionate use cases was conducted under an individual, investigator-initiated IND application with the FDA. Two cases are highlighted below.</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70-year-old with Critical Limb Ischemia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patient is a 70-year-old male with critical limb ischemia and no vein available to perform a bypass, as the vein was previously used for a CABG. He underwent a successful bypass with the ATEV. Imaging at one year demonstrated a patent graft as illustrated below.</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057900" cy="3114675"/>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6057900" cy="3114675"/>
                    </a:xfrm>
                    <a:prstGeom prst="rect">
                      <a:avLst/>
                    </a:prstGeom>
                  </pic:spPr>
                </pic:pic>
              </a:graphicData>
            </a:graphic>
          </wp:inline>
        </w:drawing>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42-year-old with Infected Dacron Graft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 ATEV was used in a 42-year-old female to replace an 8 mm Dacron iliac artery bypass graft that had become infected. The patient refused harvesting of the femoral vein for reconstruction and requested the ATEV. The patient was seen at one, three, six, nine, and 12 months after ATEV implantation. At all visits, the ATEV appeared normal with unobstructed patency. Flow and velocities were normal. At three months, the patient was released to full activity. At six and 12 months, the graft was functioning well. At one-year imaging, the ATEV was patent and appeared remarkably similar to the patient’s native blood vessels. The patient had no signs of infection in the ATEV and continues to have no limitations or complications during normal activity or exercise.</w:t>
      </w:r>
    </w:p>
    <w:p>
      <w:pPr>
        <w:pStyle w:val="TextBody"/>
        <w:bidi w:val="0"/>
        <w:spacing w:before="200" w:after="283"/>
        <w:jc w:val="left"/>
        <w:rPr>
          <w:rFonts w:ascii="Times New Roman" w:hAnsi="Times New Roman"/>
          <w:sz w:val="20"/>
        </w:rPr>
      </w:pPr>
      <w:r>
        <w:rPr>
          <w:rFonts w:ascii="Times New Roman" w:hAnsi="Times New Roman"/>
          <w:i/>
          <w:color w:val="231F20"/>
          <w:sz w:val="20"/>
        </w:rPr>
        <w:t>Mayo Clinic Study in Severe PAD</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Mayo Clinic, Rochester, MN, conducted a study in patients with CLTI under an investigator-initiated IND filed with the FDA. In February 2024, researchers published interim results in the </w:t>
      </w:r>
      <w:r>
        <w:rPr>
          <w:rFonts w:ascii="Times New Roman" w:hAnsi="Times New Roman"/>
          <w:i/>
          <w:color w:val="231F20"/>
          <w:sz w:val="20"/>
        </w:rPr>
        <w:t>Journal of Vascular Surgery</w:t>
      </w:r>
      <w:r>
        <w:rPr>
          <w:rFonts w:ascii="Times New Roman" w:hAnsi="Times New Roman"/>
          <w:color w:val="231F20"/>
          <w:sz w:val="20"/>
        </w:rPr>
        <w:t>, including their conclusion that in the clinical study the ATEV was a safe, resilient, and effective conduit for arterial bypass and limb salvage. This is an important result since approximately 40% of patients requiring lower extremity bypass do not have saphenous vein available, which is the standard of care for treating this challenging disease state. The presentation reported the outcomes of 29 patients, with a mean age of 71 and having no available vein to use as a bypass graft, who underwent ATEV implantation. Of these 29 patients, 28 (97%) had previously experienced unsuccessful revascularization procedures on the extremity and 21 (72%) had tissue loss or gangrene. Based on the state of this disease, this patient group had a 30-50% one-year risk of amputation. Notably, performing bypass surgery in 24 (83%) of the patients necessitated the fusion of two 42 cm long ATEVs to achieve the required bypass length. Surgeons reported that the operations to implant the ATEV achieved a 100% technical success rate, without any ATEV-related major adverse events reported. At a median follow-up of nine months, the secondary patency rate for patients implanted with the ATEV was 71%. The limb salvage rate was 86%, corresponding to only a 14% amputation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Preclinical Pipeline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Pancreatic Islet Transplantation for Type 1 Diabetes (BioVascular Pancreas)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BVP is a modification of Humacyte’s ATEV product, leveraging the ATEV to deliver therapeutic cells within close proximity of the patient’s bloodstream. We believe that the ATEV extracellular matrix material is both highly biocompatible, as evidenced by adaptive cellular repopulation after implantation, and also highly angiogenic, as evidenced by extensive formation of microvessels surrounding the ATEV in vivo. These attributes mean that the ATEV may serve as a suitable conduit for delivering large numbers of therapeutic cells to a patient.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Pancreatic islets, which sense blood glucose and respond by secreting insulin, are destroyed by an auto-immune attack in patients with Type I diabetes. The outer surface of our 42cm ATEV has sufficient surface area to accommodate a monolayer of approximately 800,000 human pancreatic islets, which is approximately the number in an entire adult pancreas, and can reverse diabetes and restore glucose control.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performed mathematical modelling studies that predict, we believe, that a 42cm ATEV could maintain viability of a therapeutic number of islets after implantation of the ATEV into the arterial bloodstream, or after implantation as an AV conduit similar to that used for hemodialysis access. Bioreactor experiments have confirmed these mathematical conclusions. Furthermore, we have implanted rat-sized BVPs into the aortas of diabetic rats, and observed that the BVP could restore normal glucose levels in all treated animals, while control animals (“No Flow” in red in figure below) did not restore glucose control.</w:t>
      </w:r>
    </w:p>
    <w:p>
      <w:pPr>
        <w:pStyle w:val="TextBody"/>
        <w:bidi w:val="0"/>
        <w:spacing w:before="240" w:after="283"/>
        <w:jc w:val="center"/>
        <w:rPr/>
      </w:pPr>
      <w:r>
        <w:rPr/>
        <w:drawing>
          <wp:inline distT="0" distB="0" distL="0" distR="0">
            <wp:extent cx="4762500" cy="1905000"/>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4762500" cy="1905000"/>
                    </a:xfrm>
                    <a:prstGeom prst="rect">
                      <a:avLst/>
                    </a:prstGeom>
                  </pic:spPr>
                </pic:pic>
              </a:graphicData>
            </a:graphic>
          </wp:inline>
        </w:drawing>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April 2023, Humacyte and Breakthrough T1D (f/k/a JDRF International) (“JDRF”), the leading global organization funding type 1 diabetes research, announced a collaboration to advance the development of the BVP product candidate. During 2023 and 2024, we performed testing the BVP in primates. In these experiments, researchers observed that insulin-producing cells in the BVP survive for months after implantation into the animal and continue to make insulin after implantation that is measurable in the bloodstream. We consider these results to be extremely encouraging as they support the potential ability of the BVP to deliver a curative number of insulin-producing islets into diabetic subjects. Additional work in large animals is currently ongoing, including using the BVP in diabetic large animals.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Coronary Artery Bypass Graft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Evaluation of 3.5-4mm diameter blood vessel, the coronary tissue engineered vessel (“CTEV”) for CABG has been performed over the last five years at Humacyte. We performed a preclinical study at Duke University to evaluate the use of our small diameter CTEV for CABG in adult primates (baboons), and we have also performed studies of the CTEV in sheep and pig models of CABG surgery, with follow-up times ranging from 1-3 months. The goal of the primate and other large animal studies is to assess patency and function of the small diameter CTEV, as well as host responses and cellular remodeling. CTEVs are followed by ultrasound imaging of the heart, and angiographic imaging of the conduits. In September 2025, preclinical results of the CTEV in a baboon model of CABG were published in </w:t>
      </w:r>
      <w:r>
        <w:rPr>
          <w:rFonts w:ascii="Times New Roman" w:hAnsi="Times New Roman"/>
          <w:i/>
          <w:color w:val="000000"/>
          <w:sz w:val="20"/>
        </w:rPr>
        <w:t>JACC: Basic to Translational Science</w:t>
      </w:r>
      <w:r>
        <w:rPr>
          <w:rFonts w:ascii="Times New Roman" w:hAnsi="Times New Roman"/>
          <w:color w:val="000000"/>
          <w:sz w:val="20"/>
        </w:rPr>
        <w:t xml:space="preserve">, a specialist journal launched by the Journal of the American College of Cardiology (“JACC”). In the six-month preclinical CABG model, the CTEV was observed to sustain patency (blood flow), recellularized with the animals’ host cells, and remodeled to effectively reduce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initial size mismatch between the CTEV and the animals’ native artery. In the preclinical study, the CTEV was implanted between the aorta and right coronary artery (“RCA”) in five baboons to simulate a CABG procedure. Animals were followed for six months after CTEV implantation and all CTEVs maintained patency throughout the study. The baboon study provided an effective model for demonstrating the feasibility, mechanical durability and capacity for host-cell remodeling of the CTEV for CABG. After implantation, the CTEV was observed to recellularize with host cells and remodel to effectively reduce the initial size mismatch with the RCA.</w:t>
      </w:r>
    </w:p>
    <w:p>
      <w:pPr>
        <w:pStyle w:val="TextBody"/>
        <w:bidi w:val="0"/>
        <w:spacing w:before="200" w:after="283"/>
        <w:jc w:val="center"/>
        <w:rPr>
          <w:rFonts w:ascii="Times New Roman" w:hAnsi="Times New Roman"/>
          <w:sz w:val="20"/>
        </w:rPr>
      </w:pPr>
      <w:r>
        <w:rPr>
          <w:rFonts w:ascii="Times New Roman" w:hAnsi="Times New Roman"/>
          <w:i/>
          <w:color w:val="231F20"/>
          <w:sz w:val="20"/>
        </w:rPr>
        <w:t>Angiography showing adaptive remodeling</w:t>
      </w:r>
      <w:r>
        <w:rPr>
          <w:rFonts w:ascii="Times New Roman" w:hAnsi="Times New Roman"/>
          <w:color w:val="231F20"/>
          <w:sz w:val="20"/>
        </w:rPr>
        <w:t xml:space="preserve"> </w:t>
      </w:r>
    </w:p>
    <w:p>
      <w:pPr>
        <w:pStyle w:val="TextBody"/>
        <w:bidi w:val="0"/>
        <w:jc w:val="center"/>
        <w:rPr>
          <w:rFonts w:ascii="Times New Roman" w:hAnsi="Times New Roman"/>
          <w:i/>
          <w:color w:val="231F20"/>
          <w:sz w:val="20"/>
        </w:rPr>
      </w:pPr>
      <w:r>
        <w:rPr>
          <w:rFonts w:ascii="Times New Roman" w:hAnsi="Times New Roman"/>
          <w:i/>
          <w:color w:val="231F20"/>
          <w:sz w:val="20"/>
        </w:rPr>
        <w:t>of ATEV after implant in baboon CABG model</w:t>
      </w:r>
    </w:p>
    <w:p>
      <w:pPr>
        <w:pStyle w:val="TextBody"/>
        <w:bidi w:val="0"/>
        <w:spacing w:before="200" w:after="283"/>
        <w:jc w:val="center"/>
        <w:rPr/>
      </w:pPr>
      <w:r>
        <w:rPr/>
        <w:drawing>
          <wp:inline distT="0" distB="0" distL="0" distR="0">
            <wp:extent cx="6286500" cy="2333625"/>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6286500" cy="2333625"/>
                    </a:xfrm>
                    <a:prstGeom prst="rect">
                      <a:avLst/>
                    </a:prstGeom>
                  </pic:spPr>
                </pic:pic>
              </a:graphicData>
            </a:graphic>
          </wp:inline>
        </w:drawing>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plan to commence, dependent on clearance of an IND by the FDA, the first human clinical testing of the CTEV in CABG in the second half of 2026.</w:t>
      </w:r>
    </w:p>
    <w:p>
      <w:pPr>
        <w:pStyle w:val="TextBody"/>
        <w:bidi w:val="0"/>
        <w:spacing w:before="200" w:after="283"/>
        <w:jc w:val="both"/>
        <w:rPr>
          <w:rFonts w:ascii="Times New Roman" w:hAnsi="Times New Roman"/>
          <w:i/>
          <w:color w:val="231F20"/>
          <w:sz w:val="20"/>
        </w:rPr>
      </w:pPr>
      <w:r>
        <w:rPr>
          <w:rFonts w:ascii="Times New Roman" w:hAnsi="Times New Roman"/>
          <w:i/>
          <w:color w:val="231F20"/>
          <w:sz w:val="20"/>
        </w:rPr>
        <w:t>Pediatric Heart Surgery: Modified Blalock-Taussig-Thomas (mBTT) Shunt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Tetralogy of Fallot is a relatively common congenital heart defect, that is often treated using a modified Blalock-Taussig-Thomas (“mBTT”). To support a potential future IND filing with the FDA, we have evaluated the use of our CTEV as an mBTT shunt for up to six months in juvenile primates at the Research Institute at Nationwide Children’s Hospital in Columbus, Ohio.</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BT Shunt Implant Schematic</w:t>
      </w:r>
    </w:p>
    <w:p>
      <w:pPr>
        <w:pStyle w:val="TextBody"/>
        <w:bidi w:val="0"/>
        <w:spacing w:before="200" w:after="283"/>
        <w:jc w:val="center"/>
        <w:rPr/>
      </w:pPr>
      <w:r>
        <w:rPr/>
        <w:drawing>
          <wp:inline distT="0" distB="0" distL="0" distR="0">
            <wp:extent cx="4762500" cy="1905000"/>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4762500" cy="1905000"/>
                    </a:xfrm>
                    <a:prstGeom prst="rect">
                      <a:avLst/>
                    </a:prstGeom>
                  </pic:spPr>
                </pic:pic>
              </a:graphicData>
            </a:graphic>
          </wp:inline>
        </w:drawing>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October 2023, results of the preclinical study were published in the open-access </w:t>
      </w:r>
      <w:r>
        <w:rPr>
          <w:rFonts w:ascii="Times New Roman" w:hAnsi="Times New Roman"/>
          <w:i/>
          <w:color w:val="231F20"/>
          <w:sz w:val="20"/>
        </w:rPr>
        <w:t>Journal of Thoracic and Cardiovascular Surgery (JTCVS Open)</w:t>
      </w:r>
      <w:r>
        <w:rPr>
          <w:rFonts w:ascii="Times New Roman" w:hAnsi="Times New Roman"/>
          <w:color w:val="231F20"/>
          <w:sz w:val="20"/>
        </w:rPr>
        <w:t xml:space="preserve">. In the study, researchers implanted 3.5mm diameter CTEVs into a juvenile large-animal model of pediatric heart disease. The 3.5mm CTEV was implanted between the subclavian and pulmonary arteries, to mimic a commonly-performed surgical procedure used to treat babies born with Tetralogy of Fallot, one of the most common pediatric heart conditions. The study assessed the CTEV’s patency, structure, and blood flow from one week to six months after the implant.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3.5mm diameter CTEV has smaller product dimensions but is manufactured using a similar process as Humacyte's 6mm CTEV system currently being evaluated in clinical trials in vascular trauma, AV access for hemodialysis, and PAD. We believe that the production of the functional 3.5mm CTEV is indicative of the potentially broad application of our proprietary bioengineered tissue platform and manufacturing processes.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Engineered Trachea for Treatment of Severe Airway Injuries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Each year in the United States, approximately 4,000 operations are performed to repair or reconstruct the trachea or mainstem bronchi. But unlike most other connective tissues in the body — such as blood vessel, bone, skin and tendon — there currently are no replacements for tracheal tissue that are in widespread clinical use. For long tracheal or bronchial defects, some sort of tracheal replacement is often needed, yet none exists currently. The lack of a functional tracheal conduit commits patients to, sometimes, slow suffocation.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modified the ATEV production process to enable the embedding of a biocompatible medical-grade stent within the wall of the engineered vessel. Combining a non-degradable stent with the degradable polymer scaffold used for ATEV production results in a composite scaffold that can be seeded with smooth muscle cells and grown in culture. After decellularization, the engineered trachea consists of the extracellular matrix contained in the ATEV, along with an embedded stent that prevents the collapse of the engineered airway with inspiration or neck movements.</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Summary of Process to Generate Engineered Tracheas</w:t>
      </w:r>
    </w:p>
    <w:p>
      <w:pPr>
        <w:pStyle w:val="TextBody"/>
        <w:bidi w:val="0"/>
        <w:spacing w:before="200" w:after="283"/>
        <w:jc w:val="center"/>
        <w:rPr/>
      </w:pPr>
      <w:r>
        <w:rPr/>
        <w:drawing>
          <wp:inline distT="0" distB="0" distL="0" distR="0">
            <wp:extent cx="6191250" cy="104775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6191250" cy="1047750"/>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models where engineered tracheas were implanted into rats and non-human primates, we have observed that the implants repopulate with cells from the host, including cuboidal respiratory epithelium that lines the native airway progressively from two to eight weeks after implantation. We have further observed that the engineered tracheas can function out to two months. Future studies in large animal models are planned.</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Photograph (A) of Implantation of Engineered Trachea into Non-Human Primate Airway; Microscope Imaging of Cells Repopulating the Trachea after 2 and 8 weeks (B, C)</w:t>
      </w:r>
    </w:p>
    <w:p>
      <w:pPr>
        <w:pStyle w:val="TextBody"/>
        <w:bidi w:val="0"/>
        <w:spacing w:before="200" w:after="283"/>
        <w:jc w:val="center"/>
        <w:rPr/>
      </w:pPr>
      <w:r>
        <w:rPr/>
        <w:drawing>
          <wp:inline distT="0" distB="0" distL="0" distR="0">
            <wp:extent cx="5715000" cy="952500"/>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5715000" cy="952500"/>
                    </a:xfrm>
                    <a:prstGeom prst="rect">
                      <a:avLst/>
                    </a:prstGeom>
                  </pic:spPr>
                </pic:pic>
              </a:graphicData>
            </a:graphic>
          </wp:inline>
        </w:drawing>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Engineered Whole Lung Organs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End-stage lung disease is the fourth leading cause of death in the U.S., and lung transplantation remains severely limited by donor organ shortages. Dr. Niklason’s laboratory at Yale University has pioneered the development of using decellularized native lungs, combined with targeted recellularization of the lung scaffolds within biomimetic bioreactors, to produce whole lungs that are capable of exchanging gas. Gas exchange for several hours has been observed in studies in rodents. Efforts to scale-up the technology to human-sized organs are ongoing.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i/>
          <w:color w:val="231F20"/>
          <w:sz w:val="20"/>
        </w:rPr>
      </w:pPr>
      <w:r>
        <w:rPr>
          <w:rFonts w:ascii="Times New Roman" w:hAnsi="Times New Roman"/>
          <w:i/>
          <w:color w:val="231F20"/>
          <w:sz w:val="20"/>
        </w:rPr>
        <w:t>Structure of Lung, Scaffold for Lung Engineering, and Implanted Engineered Lung</w:t>
      </w:r>
    </w:p>
    <w:p>
      <w:pPr>
        <w:pStyle w:val="TextBody"/>
        <w:bidi w:val="0"/>
        <w:spacing w:before="200" w:after="283"/>
        <w:jc w:val="center"/>
        <w:rPr/>
      </w:pPr>
      <w:r>
        <w:rPr/>
        <w:drawing>
          <wp:inline distT="0" distB="0" distL="0" distR="0">
            <wp:extent cx="5715000" cy="1905000"/>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5715000" cy="1905000"/>
                    </a:xfrm>
                    <a:prstGeom prst="rect">
                      <a:avLst/>
                    </a:prstGeom>
                  </pic:spPr>
                </pic:pic>
              </a:graphicData>
            </a:graphic>
          </wp:inline>
        </w:drawing>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Manufacturing</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developed a novel paradigm for manufacturing human tissues that mimics key aspects of human physiology. Recognizing that commercial scale production capacity of bioengineered tissue has been non-existent, we prioritized the development of a scalable, reproduceable, commercial biomanufacturing process. At our 83,000 square foot manufacturing facility in Durham, North Carolina, we have industrialized this concept and created a scalable modular manufacturing process that enables us to engineer our ATEVs in commercial quantities in a system designed for cGMP compliance.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proprietary manufacturing process was designed with a modular approach allowing us to produce ATEVs in smaller batches for clinical trials and scale out to larger batches for commercial manufacturing. The current, commercial-scale LUNA200 system utilizes 20 growth drawers holding ten ATEVs each for a total of 200 ATEVs per batch. Since 2021 this system has been utilized to produce clinical product for use in our ongoing Phase 3 trials. The FDA inspected our manufacturing facility in April 2024 as part of its review and approval of our BLA in extremity vascular trauma, and we are using this facility to provide product for the United States commercial launch in that indication which commenced in the first quarter of 2025.</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manufacturing process utilizes our LUNA200 system, consisting of 20 “growth drawers.” Each growth drawer is capable of producing ten 42cm ATEVs and each ATEV remains contained within an individual bioreactor bag. Inside a LUNA200, a closed tubing network connects all 20 growth drawers as well as the ten bioreactor bags in each drawer, allowing the entire system to share cells and nutritive media. In this way, a single LUNA200 can produce up to 200 ATEVs per batch while maintaining the critical operating parameters that direct growth, creating a gross capacity of approximately 900 ATEVs per system annually.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designed the LUNA200 to have the ability to produce ATEVs in diameter sizes from 3mm to 10mm and lengths from 10cm to 42cm, making the equipment suitable for the varied array of product candidates in our pipeline. We are also developing a smaller diameter CTEV for CABG and pediatric heart surgery. We intend to introduce a 13cm ATEV line extension after commercial launch of the 42cm ATEV. Using our existing LUNA manufacturing equipment, we can generate 400 13cm ATEVs per batch. Our modular manufacturing platform can be scaled without impacting the operating parameters that support the ATEV growth process. We have designed our manufacturing system to be functionally closed, to utilize single-use disposable materials with aseptic connections, and to be fully automated.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currently have eight LUNA200 systems installed, commissioned and qualified in our manufacturing facility, creating an annual gross ATEV capacity of approximately 7,200 ATEVs. Our manufacturing facility contains space to increase capacity in future years to approximately 40 LUNA200 systems in total. As we continue to expand production, we believe that we will have the ability to take advantage of economies of scale and reduce production costs. The initiation and pace of the expansion of vessel capacity will be determined based on our assessment of market opportunity.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pPr>
      <w:r>
        <w:rPr/>
        <w:drawing>
          <wp:inline distT="0" distB="0" distL="0" distR="0">
            <wp:extent cx="5257800" cy="952500"/>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5257800" cy="952500"/>
                    </a:xfrm>
                    <a:prstGeom prst="rect">
                      <a:avLst/>
                    </a:prstGeom>
                  </pic:spPr>
                </pic:pic>
              </a:graphicData>
            </a:graphic>
          </wp:inline>
        </w:drawing>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initiate ATEV production using primary human aortic vascular cells from a working cell stock (“WCS”) that is isolated from FDA-compliant donor tissues and cryopreserved. The WCS vials are stored at two separate qualified facilities to mitigate the risk of single site storage. We qualify all new WCSs for use in ATEV manufacturing utilizing biochemical and gene expression assays. Each qualified primary isolation can produce approximately 500,000 to one million ATEVs.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WCS expanded using traditional cell culture techniques, and the cells are transferred onto a biocompatible, biodegradable polymer mesh within a flexible, single-use bioreactor bag. Cells inoculated onto this tubular mesh are cultured utilizing a proprietary culture medium and subjected to cyclic mechanical stretch for a period of approximately eight weeks. During this period,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salts, enzymes and detergents, followed by numerous washes in excipient grade neutral pH buffered saline. The resulting ATEV retains the human extracellular matrix constituents and, therefore, the biomechanical properties of the bioengineered vessel, but cells and cellular components, which could induce a foreign body response or immune rejection following implantation, are removed. After decellularization, our ATEVs are packaged for distribution inside the same flexible bioreactor bag in which they were produced, with sterile phosphate buffered saline as the excipient. Once the package is delivered to the operating room, the ATEV is removed from the bioreactor bag by the surgical staff.</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Suppliers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source critical components and necessary raw materials from vendors that have been approved and qualified through our vendor management program. SeraCare, which was subsequently acquired by LGC Clinical Diagnostics, Inc. (“SeraCare”), is the current single source supplier of human plasma used in our manufacturing process and Confluent Medical Technologies, Inc. (“Confluent”) is the current single source supplier of the polymer mesh we use. We source custom, Humacyte-designed, pre-sterilized (gamma irradiated) assemblies and single-use tubing sets through multiple approved vendors. We source bioprocess solutions, including culture media and decellularization buffers, from a division of Thermo Fisher Scientific, which has a second production site to provide redundant media/buffer production capacity. We continue to explore the development redundant vendors for all critical materials and we manage all vendor changes through a robust change control process.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Supply Agreement with SeraCare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January 2014, we entered into a supply agreement with SeraCare for the supply of human plasma, which was amended in October 2018 and March 2021 (as amended, the “SeraCare Agreement”). Under the SeraCare Agreement, we agreed to purchase at least a substantial majority of our human plasma requirements from SeraCare. In the event SeraCare is unable to fulfill our requirements, and subject to certain conditions, we may engage another plasma supplier during the period in which SeraCare is unable to fulfill our requirements. The SeraCare Agreement is subject to annual price modifications in the case of significant changes in SeraCare’s cost of raw materials, with any modification to be determined at least three months prior to the end of the relevant year. The initial term of the SeraCare Agreement expired on October 12, 2023, but automatically extends for subsequent one-year periods unless terminated by either party at least 18 months prior to the end of the initial term. Either party may terminate the SeraCare Agreement for uncured material breach or for the insolvency of the other party at any time. In addition, either party may terminate the SeraCare Agreement without cause upon 12 months’ written notice. We may also terminate the agreement in the event of certain supply interruptions. Each party also agreed to indemnify the other against certain third-party claims up to a specified cap.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Supply Agreement with Confluent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August 2015, we entered into an agreement for the supply of polymer mesh, which we refer to as the mesh supply agreement, with Biomedical Structures LLC (“Biomedical Structures”). Biomedical Structures’ rights and obligations under the mesh supply agreement were subsequently assigned to Confluent in connection with Confluent’s acquisition of Biomedical Structures in 2016. In 2020, the agreement was amended to align with the growth expected with the transition to commercial distribution following FDA approval. Pursuant to the mesh supply agreement, the price of polymer mesh we purchase from Confluent is subject to potential adjustment if Confluent’s cost of raw materials increases above a specified threshold pursuant to good faith negotiations from both parties, which negotiation Confluent may not request more than once in a 12-month period. The 2020 amendment also provided volume driven discounts. Confluent is obligated to partner with Humacyte in order to establish redundant facilities for the manufacture of the polymer mesh at established contractual volume thresholds. The amended mesh supply agreement has a term of three years, which can be automatically extended for subsequent one-year periods and will continue to do so unless either party provides notice of non-renewal at least 120 days prior to the end of the then-current term or otherwise terminates in accordance with the agreement. We and Confluent are each also permitted to terminate the mesh supply agreement for convenience, however Confluent must provide us with at least 365 days written notice and we are obligated to provide 180 days’ notice, prior to such a termination. In addition, each party is permitted to terminate the mesh supply agreement for an uncured material breach by the other party following failure to remedy the breach during a sixty-day cure period. Both parties have agreed to indemnify one another for certain third-party claims.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Distribution</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Commercialization Strategy Within United States and for Earlier-Stage Pipeline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the December 2024 FDA approval of Symvess in extremity vascular trauma, we commenced the United States commercial launch in that indication in the first quarter of 2025. For our vascular repair and replacement applications of our technology, including vascular trauma, AV access for dialysis, and the treatment of PAD, we have retained the right to commercialize our ATEV within the United States. In the United States we are commercializing the ATEV through our own direct sales and marketing team and expect to do so also for any additional ATEV indications that may be approved. We own end-to-end commercialization and are pursuing collaborations with appropriate strategic partners who have established distribution channels for specialized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first market launch of Symvess for the treatment of extremity vascular trauma in the United States involves a highly concentrated market of approximately 200 Level I Trauma Centers that may be reached with a small field sales forces, currently 12 field sales executives. Many of the major trauma centers already have familiarity with our ATEVs through their participation in our clinical trials. Our sales launch commenced in the first quarter of 2025 and includes dual targeting of surgeons to create pull-through demand and hospital administration (trauma center Value Analysis Committees) to ensure adoption and uptake of the ATEV in vascular trauma.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developed and published a Budget Impact Model based on the clinical results supporting the approval of Symvess, and the estimated reduction in clinical complications potentially achievable by treating specific patients with Symvess versus current standard of care. Based on the model, the per-patient cost of treating patients with Symvess is estimated to be less than the cost of treating trauma patients with synthetic grafts, cryopreserved allografts, or xenografts, as well as other patients at high risk of complications. Major drivers of cost savings associated with Symvess were attributed to reductions in the rate of amputation and vascular conduit infection.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DoD assigned a priority designation to the ATEV technology under Public Law 115-92 and provided an approximately $6.8 million grant from the DoD for the development of our ATEVs for vascular reconstruction and repair. The fiscal year 2026 DoD Appropriations Act includes dedicated funding to support the evaluation and incorporation of biologic vascular repair technologies for the warfighters suffering from traumatic vascular injuries.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expect that the large market potential of earlier-stage applications of our technology platform such as CABG and BVP for diabetes will provide additional collaboration opportunities, and we expect explore strategic partnerships for these product candidates as preclinical and clinical results providing additional proof of concept are generated.</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Distribution Agreement with Fresenius Medical Care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our 6 millimeter x 42cm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PAD,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Humacyte in its commercialization of the product in the field, including adoption of the distribution product as a standard of care in patients for which such use is supported by clinical results and health economic analyses.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we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we agreed to use commercially reasonable efforts to support Fresenius Medical Care in its efforts.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Under the distribution agreement, we grant an exclusive, sublicensable license to Fresenius Medical Care under the patents, know-how and regulatory materials controlled by us during the term to commercialize the distribution product in the field outside the United States, subject to our retained rights to carry out our obligations under the distribution agreement. We also grant a non-exclusive, sublicensable license to Fresenius Medical Care under the patents, know-how and regulatory materials controlled by us during the term to develop the distribution product in accordance with the terms of the distribution agreement. In addition, we grant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distribution agreement provides that we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obligated to make payments to Fresenius Medical Care based on a share of aggregate net sales by or on behalf of us of the distribution product in the United States in the field. Such revenue-share payments will be a percentage of net sales in the low double digits, without regard to the calendar year in which such net sales are attributable, until such time that we have paid to Fresenius Medical Care a certain total amount, at which time the revenue-share will decrease to a percentage of net sales in the mid-single digits. The amounts that Fresenius Medical Care will be obligated to pay us under the distribution agreement for sales of the distribution product in the field outside of the United States will vary. Fresenius Medical Care agreed to pay us initially, on a country-by-country basis for sales outside of the United States, the amount equal to the average cost of manufacturing our distribution product plus a fixed dollar amount per unit. Following a specified period, on a country-by-country basis outside of the United States, Fresenius Medical Care will pay us a fixed percentage of net sales for each unit sold in such country, such that the Company will receive more than half of such net sales.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distribution agreement will generally continue on a country-by-country basis until the later of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us, although Fresenius Medical Care is not permitted to give such notice prior to the end of the second year following launch of the distribution product in such country. Each party is required to indemnify one another for certain third-party claims.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Third-Party Reimbursement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anticipate that coverage and reimbursement by the Centers for Medicare and Medicaid Services (“CMS”) and private payors will be essential for most patients and health care providers to afford our treatments, particularly in the applications of renal replacement therapy for dialysis access and the treatment of PAD. Accordingly, sales of our products will depend substantially, both domestically and abroad, on reimbursement by government authorities, private health coverage insurers and other third-party payors. Our strategy around ATEV reimbursement focuses on achieving alignment and agreement from CMS on coding and payment pathways; both are critical to influencing and achieving optimal reimbursement payment from private payor sources. Therefore, Humacyte continues to develop a comprehensive reimbursement strategy including CMS, private payors, and other key stakeholders to ensure a clear and sustainable reimbursement path for all ATEV product opportunities.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pursuing a dual regulatory and legislative reimbursement strategy to ensure separate Medicare payment for the ATEV at an appropriate price. The regulatory strategy includes (1) engaging CMS political and career staff directly on coverage, payment, and coding followed by (2) submission of formal applications in these areas once FDA approval is obtained. Currently, no RMAT tissue engineered product has established coverage and reimbursement by CMS, and it is difficult to predict what CMS will decide with respect to coverage and reimbursement for fundamentally novel products. See “Risk Factors — Risks Related to the Development and Commercialization of Our Product Candidates” for further information. Even if we receive marketing approval for our ATEVs, there is uncertainty with respect to third-party coverage and reimbursement of our ATEVs. They may also be subject to unfavorable pricing regulations, third-party reimbursement practices or healthcare reform initiatives, any of which could harm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Containment of healthcare costs has been a priority of federal, state, and foreign governments, and the prices of drug products have been a focus of this effort. Governments have shown significant interest in implementing cost-containment programs. This interest has resulted in significant proposed and enacted reform measures affecting healthcare reimbursement and drug pricing, including the enactment in August 2022 of significant changes to potential Medicare drug product reimbursement through government negotiation of certain drug prices, as well as manufacturer discount and inflation rebate obligations under the Inflation Reduction Act (the “IRA”).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Intellectual Property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that may be important for the development of our business. We additionally may rely on regulatory protection afforded through data exclusivity, market exclusivity and patent term extensions where available.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our patent estate is comprised of 15 families of patents. Of these families, 11 are solely owned by Humacyte, one is jointly owned by Humacyte and Global Life Sciences Solutions USA LLC, one is jointly owned by Humacyte and Yale University, one is exclusively licensed to Humacyte from Duke University and one is exclusively licensed to Humacyte from Yale University. For more information regarding these license agreements, see “— License Agreement with Duke University” and “— License Agreements with Yale University.”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15 families of patents are comprised of:</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Eleven issued U.S. patents, 76 foreign patents in Austria, Australia, Belgium, Canada, China, Cyprus, Denmark, France, Germany, Greece, Hong Kong, Hungary, Ireland, Italy, Japan, Netherlands, Portugal, Spain, Sweden, Switzerland, Turkey, and the UK, eight pending U.S. non-provisional patent applications, and 15 pending foreign applications in Australia, Canada, China, Europe, Japan and Hong Kong, which are solely owned by 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(ii)</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four issued U.S. patents, 25 issued foreign patents in Australia, Austria, Belgium, Canada, Denmark, France, Germany, Ireland, Italy, Portugal, Netherlands, Spain, Sweden, Switzerland, Turkey, and the UK, no pending U.S. non-provisional patent applications, and three pending foreign patent applications in Europe and Canada, which we co-own, and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(iii)</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two issued U.S. patent, two issued foreign patents in Australia and Japan, one pending U.S. non-provisional patent application, and three pending foreign patent applications in Canada, Europe, and Hong Kong, which we exclusively license.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Many of these patents and patent applications generally relate to the scaffolds used to make Symvess and our product candidates, the composition of Symvess and our product candidates, and systems and methods of manufacturing Symvess and our product candidates. Excluding any patent term adjustment or patent term extension, the U.S. patent relating to the scaffold used to make Symvess and our product candidates expires in 2032, the U.S. patents relating to the composition of our vessels expire in 2032 and the U.S. patents relating to the systems and methods of manufacturing Symvess and our product candidates expires in 2032. Based on the FDA approval of the ATEV in December 2024, in February 2025 we filed with the U.S. Patent and Trademark Office an application for extension of patent term on one of our U.S. patents relating to the composition of Symvess and our product candidates under 35 U.S.C. § 156. If granted, we estimate that the expiration of the patent will be extended by approximately 50 months. The U.S. patent relating to the entangler machinery used to make tubular scaffolds expires in 2035. Included in our patent portfolio is one U.S. patent expiring in 2040, and multiple pending, Humacyte-owned non-provisional applications relating to the manufacturing of engineered tissues at commercial scale, as well as other technologies and product candidates. If these non-provisional applications are allowed, such additional patents issuing therefrom would be expected to expire around 2043.</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in the future file or license from third parties, may not result in the issuance of patents. For more information, see “Risk Factors — Risks Related to Our Intellectual Property.”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also registered trademarks for use in connection with our products. These include registrations for Symvess® in the United States and pending registrations for Symvess in Europe, United Kingdom and Ukraine, HUMACYL in the United States, Europe, Australia, Canada, China, and Israel; HUMAGRAFT in Australia, China, Europe, and Israel; HUMAPASS in Europe, Australia, and Israel; HUMACYTE in the United States, Europe, Australia, Canada, and Israel; and, BVP in the United States. We may pursue additional registrations for future products in markets of interest.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to the above, we have established expertise and development capabilities focused in the areas of preclinical research and development, manufacturing process scale-up, cGMP manufacturing, quality control, quality assurance, compliance, regulatory affairs and clinical trial design and execution. We believe that our focus and expertise will help us develop and expand technology-based applications leveraging our proprietary intellectual property.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Finally, we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to the intellectual property that we have developed internally, we license rights to certain intellectual property that is material to our business prospects. We have summarized our material license agreements below.</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License Agreement with Duke University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March 2006, we entered into a license agreement with Duke University (“Duke”), which was subsequently amended in 2011, 2014, 2015, 2018, 2019 and January 2022 (as amended, the “Duke License Agreement”). Under the Duke License Agreement, Duke granted us a worldwide, exclusive, sublicensable license to certain patents related to decellularized tissue engineering, which we refer to as the patent rights, as well as a non-exclusive license to use and practice certain know-how related to the patent rights. The relevant licensed patent on decellularization of tissue expired in 2021. We have agreed to use commercially reasonable efforts to develop, register, market and sell products utilizing the patent rights, which we refer to as the licensed products. Any services provided to a third party utilizing licensed products are referred to as licensed services. We have also agreed to meet certain benchmarks in our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connection with our entry into the Duke License Agreement, we granted equity consideration to Duke in the form of 52,693 shares of our post-Merger common stock. Under the Duke License Agreement, we have also agreed to pay Duke: a low single-digit percentage royalty on eligible sales of licensed products and licensed services, plus a low double-digit percentage of any sublicensing revenue; an annual minimum royalty beginning in 2012, which increased in the calendar year immediately following the first commercial sale of licensed products or licensed services (whichever occurs first); and an additional amount in license fees, as certain scientific milestones are met.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Duke License Agreement remains effective until the latter of (i) the last of the patent rights expires or (ii) four years after our first commercial sale, unless earlier terminated. Either party may terminate the agreement for fraud, willful misconduct or illegal conduct, or uncured material breach. Duke may terminate the agreement if we become insolvent. Duke may also terminate the license, convert the license into a non-exclusive license or seek assignment of any sublicense if we fail to reach diligence milestones within the applicable time period. If we abandon any claim, patent or patent application, our rights under the license with respect to such patent rights will be terminated in the territory in which we abandon such rights. We may terminate the Duke License Agreement unilaterally upon three months’ prior notice to Duke. We agree to indemnify Duke against certain third-party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License Agreements with Yale University</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Large Diameter ATEV</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August 2019, we entered into a license agreement with Yale University (“Yale”) that granted us a worldwide license to the patents jointly owned with us related to tubular prostheses which are large diameter versions of our ATEVs, which may or may not contain a stent (the “Tubular Prothesis License Agreement”). The license granted under the Tubular Prothesis License Agreement is exclusive in the field of engineered urinary conduits, engineered tracheae/airways and engineered esophagi,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connection with our entry into the Tubular Prothesis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we or any of our future sublicensees bring a patent challenge against Yale or assist another party in bringing a patent challenge against Yale, the license fees described above will be subject to certain increases and penalties.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Tubular Prothesis License Agreement expires on a country-by-country basis on the date on which the last of the patents in such country expires, lapses or is declared invalid.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Yale may terminate the Tubular Prothesis License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Tubular Prothesis License Agreement (i) on 90 days’ prior written notice to Yale, provided we are not in breach of the license agreement and have made all required payments to Yale thereunder and (ii) on written notice to Yale following an uncured material breach.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BioVascular Pancreas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August 2019, we entered into a license agreement with Yale that granted us a worldwide license to its patents related to a BVP (the “BVP License Agreement”). The license granted under the BVP License Agreement is exclusive in the field of acellular vascular tissues that deliver pancreatic islet cells to patients,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connection with our entry into the BVP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$0.1 million and $0.2 million for this license; a low single-digit percentage royalty on worldwide net sales, subject to reductions for third-party license fees; and a low double-digit percentage of sublicensing income.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we or any future sublicensees bring a patent challenge against Yale or assist another party in bringing a patent challenge against Yale, the license fees described above will be subject to certain increases and penalties.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BVP License Agreement expires on a country-by-country basis on the date on which the last of the patents in such country expires, lapses or is declared invalid. Patents issuing from this licensed portfolio will expire no earlier than 2039, and the term of each patent may be extended by patent term adjustment, patent term extension, or foreign equivalents thereof. Patents issuing from this licensed portfolio will expire no earlier than 2039, and the term of each patent may be extended by patent term adjustment, patent term extension, or foreign equivalents thereof. Yale may terminate the BVP License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BVP License Agreement (i) on 90 days’ prior written notice to Yale, provided we are not in breach of the license agreement and have made all required payments to Yale thereunder and on written notice to Yale following an uncured material breach. Our rights under the BVP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Competition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Despite the magnitude and critical nature of the diseases and conditions we are targeting, no significant advances in the open surgical market have been made in the last 35 years, and current treatment and products used in vascular repair, reconstruction and replacement suffer from various drawbacks. The large majority of vascular repair, reconstruction and replacement procedures rely on either harvesting autologous veins or using synthetic grafts. However, each method presents significant limitations as discussed below:</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Autologous Veins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harvest of autologous veins is a serious operation that can result in numerous complications, including infection, chronic pain, and limb swelling that severely impact the patient’s quality of life. In addition, this procedure can often result in long recovery times, increased hospital stays, and increased risk of hospital readmission. In order to obtain an autologous vein, such as a saphenous vein, for use in a surgical procedure, a second operation must be performed on the patient to harvest the vein. The harvesting process must be completed before the bypass procedure occurs and can take significant time to complete, which increases costs related to the additional operative time and staff required to perform the operation. Even if successful, the patient’s recovery time could increase as the patient must recover from two surgical procedures instead of one, further increasing morbidity and cost. Additionally, a significant percentage of patients are not suitable for vein harvesting either due to vein or limb damage, limited vein supply from prior harvest, venous disease or the surgeon’s desire to preserve the vein for future coronary or other bypass procedures. In acute trauma, the time to restore blood flow to injured limbs is delayed when a vein must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 harvested from the patient, which puts the limbs at greater risk of reduced function or amputation. For patients suffering from vascular trauma, some types of injury preclude the harvesting of autologous saphenous vein due to concomitant injuries of one or both legs. Furthermore, time is required to prepare the vein harvest site and to remove the vein from the leg, which adds to ischemia time and can increase the risk of tissue and limb loss. Rates of traumatic limb loss are strongly tied to ischemia time, and therefore rapid revascularization using an off-the-shelf ATEV conduit may decrease ischemia time and lead to better outcomes.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use of autologous vein for creating an AV fistula for use in hemodialysis is often limited by vein size and location. The vast majority of veins must go through a process of enlargement, known as maturation, prior to use for hemodialysis. For approximately 40% of patients receiving fistulae, the vein does not mature sufficiently to allow for hemodialysis even after six months. Even in patients having adequate veins for fistula creation, the fistula often becomes large, tortuous and disfiguring and can be at risk for sometimes fatal rupture.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Synthetic Grafts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Use of synthetic materials, such as ePTFE and Dacron, while widely available, have known complications, such as continuous chronic risk of infection and clotting inside the graft. Risk of infection is significantly increased in acute battlefield and civilian injuries, as well as in contaminated wounds. The body recognizes any synthetic materials as foreign and, therefore, can mount a host foreign body response following implantation. Synthetic materials also have been shown to be inferior to autologous vein in resisting infection, and generally only are used for vascular repair when autologous vein is not an option.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hemodialysis access, persistent puncture presents an ongoing risk of graft infection. The annual risk of infection of ePTFE grafts in hemodialysis patients can be as high as 10% – 15% per patient-year. Furthermore, gradual degradation of the non-healing ePTFE graft material caused by persistent needle punctures can eventually lead to graft failure. In traumatic vascular injury, ePTFE grafts are generally contraindicated, due to the high rates of contamination of the wound that can lead to synthetic graft infection and failure.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Two lesser used products, cryopreserved human blood vessels, known as allografts, and animal-derived vessels, known as xenografts, also involve significant limitations.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Cryopreserved Blood Vessels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To eliminate the need for harvesting autologous vein, some surgeons use allogeneic vessels that have been previously harvested from cadavers and cryogenically preserved. These allogeneic vessels are stored at -80 degrees Celsius and must be thawed prior to use, which can take up to 60 minutes. The supply of cryopreserved vessels is limited by the number of cadaveric donors available, and the vessels are often non-uniform in size. In addition, because the vessels contain human cells from a donor, they can generate an immune rejection response that can lead to aneurismal degradation or catastrophic failure. Furthermore, development of antibodies to the implanted cryopreserved human vessel frequently has a detrimental impact on the ability of the patient to receive a transplant in the future. Cryopreserved blood vessels are only rarely used in the treatment of vascular trauma, due to the time required for procurement and thawing, and the high rates of rejection response.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Animal-Derived Vessels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Xenogeneic tissues, including cow, pig or sheep-derived vessels, are used less frequently in vascular surgery, in part due to the risk of thrombosis and structural deterioration over time. The limited clinical data that are available for existing xenografts in vascular reconstruction indicates lower patency rates and higher incidence of complications when compared to autologous vein. Xenografts are all chemically treated in efforts to minimize rejection to animal components, and therefore do not respond like living tissue. Some of these products require rinsing to remove toxic chemicals used for storage.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Our Solution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We believe our ATEVs combine the off-the-shelf availability of synthetic grafts with the regenerative capabilities of autologous vessels. We believe these and other attributes have the potential to address unmet clinical needs in a range of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states, including atherosclerosis, end-stage kidney disease, coronary artery disease, vascular trauma, pediatric congenital heart disease, airway disease, and others. We believe that the ATEVs multiple key characteristics will drive rapid clinical adoption amongst surgeons and the broader healthcare community:</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Off-the-Shelf</w:t>
      </w:r>
      <w:r>
        <w:rPr>
          <w:rFonts w:ascii="Times New Roman" w:hAnsi="Times New Roman"/>
          <w:color w:val="231F20"/>
          <w:sz w:val="20"/>
        </w:rPr>
        <w:t>: Our “cabinet” of ATEVs of varying diameters and lengths is designed to be stored on-site at facilities such as hospitals, trauma centers and outpatient surgical centers.</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Immediately Available</w:t>
      </w:r>
      <w:r>
        <w:rPr>
          <w:rFonts w:ascii="Times New Roman" w:hAnsi="Times New Roman"/>
          <w:color w:val="231F20"/>
          <w:sz w:val="20"/>
        </w:rPr>
        <w:t>: When needed, our ATEVs are available for immediate use by opening and removing the ATEV from its original flexible bioreactor bag. Since our ATEV does not need flushing, harvesting or thawing, as is common with other vascular substitute alternatives, we believe hospitals will be able to use our ATEVs for vascular surgery more quickly with smaller surgical teams, reduced logistics and decreased overall cost.</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No Surgical Harvesting</w:t>
      </w:r>
      <w:r>
        <w:rPr>
          <w:rFonts w:ascii="Times New Roman" w:hAnsi="Times New Roman"/>
          <w:color w:val="231F20"/>
          <w:sz w:val="20"/>
        </w:rPr>
        <w:t>: The use of our ATEVs does not subject patients to the serious operation of harvesting an autologous vein, which can result in greater procedure and recovery time, potential scarring and disfigurement, increased costs, and numerous potential health complications.</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Non-Immunogenic and No Foreign Body Response</w:t>
      </w:r>
      <w:r>
        <w:rPr>
          <w:rFonts w:ascii="Times New Roman" w:hAnsi="Times New Roman"/>
          <w:color w:val="231F20"/>
          <w:sz w:val="20"/>
        </w:rPr>
        <w:t>: Given their acellular nature, our ATEVs have the potential to be universally implantable and durable across patients. Because our ATEVs are derived from human tissue (but cleansed of all cells and cellular components), we believe (and have observed in clinical trials to date) that they do not generate the foreign body response associated with the use of synthetic grafts, or the immune response associated with cryopreserved vessels.</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Low Infection Susceptibility</w:t>
      </w:r>
      <w:r>
        <w:rPr>
          <w:rFonts w:ascii="Times New Roman" w:hAnsi="Times New Roman"/>
          <w:color w:val="231F20"/>
          <w:sz w:val="20"/>
        </w:rPr>
        <w:t>: In clinical trials to date, we have observed reduced rates of infection in our ATEVs as compared to synthetic materials. As a result, we believe our ATEVs may be used in complicated and potentially contaminated wounds with fewer patient complications following the initial procedure.</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Uniform and Predictable Size, Structure and Quality</w:t>
      </w:r>
      <w:r>
        <w:rPr>
          <w:rFonts w:ascii="Times New Roman" w:hAnsi="Times New Roman"/>
          <w:color w:val="231F20"/>
          <w:sz w:val="20"/>
        </w:rPr>
        <w:t>: Harvested veins vary in size, structure and quality by donor. We manufacture our ATEVs to precise specifications under controlled quality standards, which will allow surgeons the flexibility to quickly and easily select an ATEV in the appropriate size and shape for each indication.</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u w:val="single"/>
        </w:rPr>
        <w:t>Regenerative Potential</w:t>
      </w:r>
      <w:r>
        <w:rPr>
          <w:rFonts w:ascii="Times New Roman" w:hAnsi="Times New Roman"/>
          <w:color w:val="231F20"/>
          <w:sz w:val="20"/>
        </w:rPr>
        <w:t>: Our ATEVs repopulate with the patient’s own vascular cells, creating a living vascular tissue with the associated long-term benefits of self-healing and infection resistance.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expect our ATEVs will compete with the use of a patient’s own blood vessels, as well as a variety of marketed products, such as conventional synthetic grafts, xenografts, and allografts, as well as developing technologies. We expect the key competitive factors affecting the commercial success of our ATEVs to likely be efficacy, safety, convenience, pricing and reimbursement.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Other Commercial Entities</w:t>
      </w:r>
    </w:p>
    <w:p>
      <w:pPr>
        <w:pStyle w:val="TextBody"/>
        <w:bidi w:val="0"/>
        <w:spacing w:before="200" w:after="283"/>
        <w:jc w:val="left"/>
        <w:rPr>
          <w:rFonts w:ascii="Times New Roman" w:hAnsi="Times New Roman"/>
          <w:sz w:val="20"/>
        </w:rPr>
      </w:pPr>
      <w:r>
        <w:rPr>
          <w:rFonts w:ascii="Times New Roman" w:hAnsi="Times New Roman"/>
          <w:color w:val="231F20"/>
          <w:sz w:val="20"/>
        </w:rPr>
        <w:t>There are several conventional synthetic grafts made of ePTFE or Dacron presently on the market from companies such as Bard Peripheral Vascular, Inc., W.L. Gore &amp; Associates, Inc., Terumo Medical Systems, and Atrium (Maquet Getinge Group) that are used for both AV access for hemodialysis and vascular repair. Xenograft and allograft products are also available, but not widely used. Xenografts, such as Artegraft</w:t>
      </w:r>
      <w:r>
        <w:rPr>
          <w:rFonts w:ascii="Times New Roman" w:hAnsi="Times New Roman"/>
          <w:color w:val="231F20"/>
          <w:sz w:val="13"/>
        </w:rPr>
        <w:t>®</w:t>
      </w:r>
      <w:r>
        <w:rPr>
          <w:rFonts w:ascii="Times New Roman" w:hAnsi="Times New Roman"/>
          <w:color w:val="231F20"/>
          <w:sz w:val="20"/>
        </w:rPr>
        <w:t xml:space="preserve"> and Procol</w:t>
      </w:r>
      <w:r>
        <w:rPr>
          <w:rFonts w:ascii="Times New Roman" w:hAnsi="Times New Roman"/>
          <w:color w:val="231F20"/>
          <w:sz w:val="13"/>
        </w:rPr>
        <w:t>®</w:t>
      </w:r>
      <w:r>
        <w:rPr>
          <w:rFonts w:ascii="Times New Roman" w:hAnsi="Times New Roman"/>
          <w:color w:val="231F20"/>
          <w:sz w:val="20"/>
        </w:rPr>
        <w:t>, are processed animal-derived vessels, while allografts are processed allogeneic cellular vessels, such as CryoVein</w:t>
      </w:r>
      <w:r>
        <w:rPr>
          <w:rFonts w:ascii="Times New Roman" w:hAnsi="Times New Roman"/>
          <w:color w:val="231F20"/>
          <w:sz w:val="13"/>
        </w:rPr>
        <w:t>®</w:t>
      </w:r>
      <w:r>
        <w:rPr>
          <w:rFonts w:ascii="Times New Roman" w:hAnsi="Times New Roman"/>
          <w:color w:val="231F20"/>
          <w:sz w:val="20"/>
        </w:rPr>
        <w:t xml:space="preserve"> and AngioGRAFT</w:t>
      </w:r>
      <w:r>
        <w:rPr>
          <w:rFonts w:ascii="Times New Roman" w:hAnsi="Times New Roman"/>
          <w:color w:val="231F20"/>
          <w:sz w:val="13"/>
        </w:rPr>
        <w:t>®</w:t>
      </w:r>
      <w:r>
        <w:rPr>
          <w:rFonts w:ascii="Times New Roman" w:hAnsi="Times New Roman"/>
          <w:color w:val="231F20"/>
          <w:sz w:val="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are also a number of companies of which we are aware that have preclinical and early clinical-stage research programs underway to develop products that could potentially compete with our ATEVs, including NovaHep AB, Xeltis AG, Hancock Jaffe, and Vascudyne Inc. We may face competition from these and other emerging technologies such as bioabsorbable polymetric implants and electrospun or 3D printed tubular conduits.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Our commercial opportunity could be reduced or eliminated if our competitors develop and commercialize products that are more effective, safer, have fewer or less severe side effects, are more convenient or are less expensive than the products that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Government Regulation</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Overview</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FDA and comparable regulatory authorities in state and local jurisdictions and in other countries impose substantial and burdensome requirements on the research, development, testing, manufacture, quality control, safety, effectiveness, packaging, labeling, storage, record keeping, marketing, advertising and promotion, import/export, and distribution of Symvess and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the United States, the FDA regulates pharmaceutical drugs, medical devices and biologic products under the Federal Food, Drug, and Cosmetic Act (“FDCA”), the Public Health Service Act (“PHSA”), FDA implementing regulations, and other laws. Symvess and our product candidates are subject to regulation by the FDA as biologics. Biologics require the submission of a BLA and approval by the FDA before being marketed in the United States. Our first vessel product, Symvess, received approval of its BLA on December 19, 2024 for use as a vascular conduit for extremity arterial injury when urgent revascularization is needed to avoid imminent limb loss, and autologous vein graft is not feasible. None of our other vessel products or other investigational products have received FDA approval. If we fail to comply with applicable FDA or other requirements at any time during the product development process, clinical testing, and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Marketing Approval — Biological Products in the United States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Before a biologic is approved in the United States, an applicant must submit a BLA that includes sufficient evidence to establish the safety, purity, and potency of the product candidate for its intended indications, including from the results of preclinical studies and clinical trials. A BLA must also contain extensive information about manufacturing and product quality control testing, and the applicant must pass an FDA preapproval inspection of the manufacturing facility or facilities at which the biologic product is produced and distributed from to assess compliance with current good manufacturing practices (“cGMPs”).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steps for obtaining FDA approval of a BLA to market a biologic product in the United States generally include: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Completion of extensive preclinical laboratory tests and preclinical animal studies performed in accordance with the FDA’s current good laboratory practice (“GLP”) regulations;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Submission to the FDA of an IND, which must become effective before human clinical trials in the United States may begin;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Approval of the protocol and related documentation by an Institutional Review Board (“IRB”) or ethics committee representing each clinical site before each clinical trial may be initiated;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Performance of adequate and well-controlled human clinical trials according to the FDA’s regulations commonly referred to as GCPs and any additional requirements for the protection of human research subjects and their health information, to establish the safety and efficacy of the product candidate for each proposed indication;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Submission to the FDA of a BLA;</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Satisfactory completion of an FDA inspection of the manufacturing facility or facilities and distribution site at which the product is produced: to assess compliance with cGMP regulations; to assure that the facilities, production methods,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testing and controls are adequate; and, if applicable, to assure compliance with current good tissue practice (“cGTP”) requirements for human cellular and tissue-derived products;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Potential FDA audit of the nonclinical study and clinical trial sites that generated the data in support of the BLA;</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Review of the product candidate by an FDA advisory committee, if applicable;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Payment of user fees for FDA review of the BLA (unless a fee waiver applies);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FDA review and approval, or licensure, of the BLA prior to any commercial marketing, sale or shipment of the product.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U.S. Biological Products Development Process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testing and approval process requires substantial time, effort and financial resources, and we cannot be certain that any further approvals for Symvess and/or our product candidates will be granted on a timely basis, if at all.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Once a product candidate is identified for development, that biologic candidate enters the preclinical testing stage. Preclinical studies include laboratory evaluations of product chemistry, toxicity, formulation and stability, as well as animal studies to evaluate the product’s potential safety and activity. The results of the preclinical studies, together with manufacturing information, analytical data, and at least one protocol for clinical study,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This is known as a “clinical hold.” In such a case, the IND sponsor must resolve all of the FDA’s concerns to the agency’s satisfaction before the clinical trial can begin. Submission of an IND may result in the FDA not allowing the clinical trials to commence or not allowing the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 Even after a clinical trial has begun, the FDA can issue a clinical hold at any time if it concludes that certain conditions exist, such as patients may be exposed to an unreasonable and significant risk of illness or injury.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Clinical trials involve the use of the product candidate in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 An independent IRB for each medical center proposing to conduct a clinical trial must also review and approve a plan for any clinical trial before it can begin at that center and the IRB must monitor the clinical trial until it is completed. The IRB must review and approve, among other things, the study protocol and informed consent information to be provided to study subjects.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Clinical testing also must satisfy extensive GCP requirements, including the requirements for informed consent. Information about clinical trials must be submitted within specific timeframes to the National Institutes of Health (“NIH”) for public dissemination on its ClinicalTrials.gov website.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purposes of BLA submission and approval, clinical trials are typically, though not always, conducted in three sequential phases, which may overlap or be combined. For certain of Humacyte’s development of product candidates, Phase 1 and Phase 2 trials have heretofore been combined into a single trial design.</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i/>
          <w:color w:val="231F20"/>
          <w:sz w:val="20"/>
        </w:rPr>
        <w:t xml:space="preserve">Phase 1. </w:t>
      </w:r>
      <w:r>
        <w:rPr>
          <w:rFonts w:ascii="Times New Roman" w:hAnsi="Times New Roman"/>
          <w:color w:val="231F20"/>
          <w:sz w:val="20"/>
        </w:rPr>
        <w:t>The biological product is initially introduced into human subjects and tested for safety. These initial trials to evaluate the potential toxicity and pharmacological activity of the investigational product (including pharmacokinetics, if applicable), and, if possible, gain early evidence on effectiveness.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i/>
          <w:color w:val="231F20"/>
          <w:sz w:val="20"/>
        </w:rPr>
        <w:t>Phase 2</w:t>
      </w:r>
      <w:r>
        <w:rPr>
          <w:rFonts w:ascii="Times New Roman" w:hAnsi="Times New Roman"/>
          <w:color w:val="231F20"/>
          <w:sz w:val="20"/>
        </w:rPr>
        <w:t>. The biological product is evaluated in a limited patient population to identify potential adverse events and safety risks, to evaluate preliminarily the efficacy of the product candidate for specific targeted indications in patients with the disease or condition under trial, and, when applicable, to evaluate dosage tolerance and appropriate dosage.</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i/>
          <w:color w:val="231F20"/>
          <w:sz w:val="20"/>
        </w:rPr>
        <w:t xml:space="preserve">Phase 3. </w:t>
      </w:r>
      <w:r>
        <w:rPr>
          <w:rFonts w:ascii="Times New Roman" w:hAnsi="Times New Roman"/>
          <w:color w:val="231F20"/>
          <w:sz w:val="20"/>
        </w:rPr>
        <w:t>The biological product is administered to an expanded patient population, often large numbers of patients of several hundred to several thousand and generally at geographically dispersed clinical trial sites. These trials are designed to generate enough data to statistically evaluate clinical effectiveness and safety as well as to establish the overall benefit-risk relationship of the investigational new biological product, and to provide an adequate basis for product approval. FDA typically requires at least two Phase 3 trials to support approval, but in some cases may approve an application on the basis of one trial. For example, FDA’s approval of our BLA for Symvess for extremity arterial injury was based on a single pivotal trial with supporting evidence from humanitarian use of the product in Ukraine.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all phases of clinical development, regulatory agencies require extensive monitoring and auditing of all clinical activities, clinical data, and clinical trial investigators. Annual progress reports detailing the progress of the clinical trials must be submitted to the FDA. Written IND safety reports must be promptly submitted to the FDA and the investigators detailing serious and unexpected adverse events, any findings from other studies that suggest a significant risk to human patients, tests in laboratory animals or in vitro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FDA or the sponsor may suspend or terminate a clinical trial at any time on various grounds, including a finding that the research patients are being exposed to an unacceptable health risk, including risks inferred from other trials on other products.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Concurrent with clinical trials, companies usually complete additional animal trials and must also develop additional information about the characteristics of the biologic and finalize a process for manufacturing the biologic in commercial quantities in accordance with cGMP and, when applicable, GTP requirements. The manufacturing process must be capable of consistently producing quality batches of the product candidate. Additionally, appropriate packaging must be selected and tested and stability studies must be conducted to demonstrate that the product candidate does not undergo unacceptable deterioration over its shelf life.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BLA Review Process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results of preclinical studies and of the clinical trials, together with other detailed information, including extensive manufacturing information, information on the composition of the biologic, and proposed labeling, are submitted to the FDA in the form of a BLA requesting approval to market the biologic in the United States for one or more specified indications. The FDA reviews a BLA to determine, among other things, whether a biologic is safe and effective for its intended use.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FDA has 60 days from its receipt of a BLA to determine whether the application will be accepted for filing based on the FDA’s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potent, or effective, for its intended use, and has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acceptable purity profile, and whether the product is being manufactured in accordance with cGMPs (and, where applicable, GTPs) to assure and preserve the product’s identity, safety, strength, quality, potency, and purity, and biological product standards. The FDA may refer applications for novel biological products or biological products that present difficult questions of safety or efficacy to an advisory committee, typically a panel that includes outside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Before approving an application, the FDA will, among other things, inspect the facility or the facilities at which the biologic product is manufactured and distributed, and will not approve the product unless cGMP compliance is satisfactory. The FDA may also inspect the sites at which the clinical trials were conducted to assess their compliance, and may refuse to approve the biologic if compliance with GCP requirements is found to be unsatisfactory. For a human cellular or tissue product the FDA also may refuse to approve the product if the manufacturer is not in compliance with GTP requirements, in addition to cGMPs.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and/or use. These elements are negotiated as part of the BLA approval, and in some cases may delay the approval date. Once adopted, REMS are subject to periodic assessment and modification.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new indications for Symvess and/or our product candidates. The FDA may limit the indications for use or place other conditions on any approvals that could restrict the commercial application of the products.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Biologics may be marketed only for the FDA approved indications and in accordance with the provisions of the approved labeling. Further, if there are any modifications to the biologic, including changes in indications, labeling, or manufacturing processes or facilities, the applicant may be required to submit and obtain FDA approval of a new BLA or BLA supplement, which may require developing additional data or conducting additional preclinical studies and clinical trials. As with new BLAs, the review process is often significantly extended by FDA requests for additional information or clarification.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Biologics Price Competition and Innovation Act (“BPCIA”), amended the PHSA to authorize the FDA to approve similar versions of innovative biologics, commonly known as biosimilars. A competitor seeking approval of a biosimilar must file an application to establish its product as highly similar to an approved innovator biologic, among other requirements. The BPCIA, however, bars the FDA from approving biosimilar applications for 12 years after an innovator biological product receives initial marketing approval. This bar does not apply to submission or approval of full BLAs. Because Symvess received its initial approval for marketing via a BLA, we believe that it will be entitled to 12 years of exclusivity. Nevertheless, the BPCIA is complex and is only beginning to be interpreted and implemented by the FDA. As a result, its ultimate impact, implementation and meaning is subject to uncertainty.</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Expedited Development and Review Programs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FDA offers various programs, including Fast Track designation, Breakthrough Therapy Designation, accelerated approval, priority review and RMAT designation, that are intended to expedite the process for the development and FDA review of biological products that are intended for the treatment of serious or life-threatening diseases or conditions. To be eligible for Fast Track designation,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biological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candidate may request the FDA to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biological product candidate may be eligible for Breakthrough Therapy Designation if it is intended to treat a serious or life-threatening disease or condition and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marketing application for a biological product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Any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biological product candidate designated for priority review in an effort to facilitate the review. Under priority review, the FDA’s goal is to review an application within six months of the 60-day filing date, compared to ten months for a standard review.</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Additionally, FDA may grant accelerated approval to a product candidate intended to treat a serious or life-threatening disease or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2017, the FDA established a new RMAT designation as part of its implementation of the 21st Century Cures Act. The RMAT designation program is intended to fulfill the 21st Century Cures Act requirement that the FDA facilitate an efficient development program for, and expedite review of, any biological product that meets the following criteria: (i) the biological product qualifies as an RMAT, which is defined as a cell therapy, therapeutic tissue engineering product, human cell and tissue product, or any combination product using such therapies or products, with limited exceptions; (ii) the biological product is intended to treat, modify, reverse, or cure a serious or life-threatening disease or condition; and preliminary clinical evidence indicates that the biological product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Fast Track designation, Breakthrough Therapy Designation, priority review, accelerated approval, and RMAT designation do not change the standards for approval but may expedite the development or approval process. Even if a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Additionally, on December 12, 2017, Public Law No. 115-92 amended the FDCA to, among other things, allow the DoD to request, and FDA to provide assistance to expedite development and the FDA’s review of products to diagnose, prevent, treat or mitigate a specific and life-threatening risk to the U.S. military. Similar to the designations described above that FDA may grant, a priority designation by the DoD does not change the standards for approval but may expedite the development or approval process.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Orphan Drug Designation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Under the Orphan Drug Act, the FDA may grant orphan designation to a biological product intended to treat a rare disease or condition, which is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biological product for the same indication for seven years,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Competitors, however, may receive approval of different products for the indication for which the orphan product has exclusivity or obtain approval for the same product but for a different indication for which the orphan product has exclusivity.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Other U.S. Regulatory Requirements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biologics that are human cells, tissues, and cellular and tissue-based products (“HTC/Ps”), manufacturers must also comply with the FDA’s HCT/P regulations at 21 C.F.R. Part 1271. These regulations impose a variety of specialized requirements as follows:</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HCT/P registration and listing. </w:t>
      </w:r>
      <w:r>
        <w:rPr>
          <w:rFonts w:ascii="Times New Roman" w:hAnsi="Times New Roman"/>
          <w:color w:val="231F20"/>
          <w:sz w:val="20"/>
        </w:rPr>
        <w:t>Every establishment that manufactures an HCT/P must register with the FDA and provide a list of every HCT/P that the establishment manufactures. The definition of manufacture is broad and includes any and all steps in the recovery, processing, storage, labeling, packaging or distribution of any human cell or tissue and the screening or testing of the cell or tissue donor.</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Donor eligibility. </w:t>
      </w:r>
      <w:r>
        <w:rPr>
          <w:rFonts w:ascii="Times New Roman" w:hAnsi="Times New Roman"/>
          <w:color w:val="231F20"/>
          <w:sz w:val="20"/>
        </w:rPr>
        <w:t>HCT/P manufacturers must maintain procedures for testing, screening and determining the eligibility of donors of cells and tissues used in HCT/Ps. An HCT/P may not be transferred or implanted into an individual until the donor has been determined to be eligible under these procedures. These procedures must involve, among other things, testing donors for certain communicable diseases and the use of quarantines for HCT/Ps that have not yet been shown to meet the eligibility requirements. Manufacturers must keep detailed records regarding donor eligibility determinations.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Current Good Tissue Practices. </w:t>
      </w:r>
      <w:r>
        <w:rPr>
          <w:rFonts w:ascii="Times New Roman" w:hAnsi="Times New Roman"/>
          <w:color w:val="231F20"/>
          <w:sz w:val="20"/>
        </w:rPr>
        <w:t>HCT/Ps must be recovered, processed, stored, labeled, packaged and distributed in a manner that is consistent with the FDA’s cGTP regulations. Cells and tissues must also be screened and tested according to these regulations. The goal of cGTPs is to prevent the introduction, transmission or spread of communicable diseases. The FDA’s cGTPs regulations require companies to establish a comprehensive quality program and to comply with rules related to personnel, facilities and equipment used to manufacture HCT/Ps, as well as rules on how these HCT/Ps are processed, labeled and stored. Companies must also keep detailed manufacturing records and product complaint files.</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Adverse Reaction Reports. </w:t>
      </w:r>
      <w:r>
        <w:rPr>
          <w:rFonts w:ascii="Times New Roman" w:hAnsi="Times New Roman"/>
          <w:color w:val="231F20"/>
          <w:sz w:val="20"/>
        </w:rPr>
        <w:t>Manufacturers of nonreproductive HCT/Ps must investigate and report to the FDA certain adverse reactions.</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Inspections. </w:t>
      </w:r>
      <w:r>
        <w:rPr>
          <w:rFonts w:ascii="Times New Roman" w:hAnsi="Times New Roman"/>
          <w:color w:val="231F20"/>
          <w:sz w:val="20"/>
        </w:rPr>
        <w:t>Establishments that manufacture HCT/Ps must allow the FDA to inspect the establishment and company records.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Post-Approval Requirements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biologics manufactured or distributed by us or our collaborators pursuant to FDA approvals, such as Symvess, are subject to continuing post-approval regulation by the FDA, including recordkeeping requirements and reporting of adverse experiences associated with the product, as well as any post-marketing surveillance requested by the FDA as a condition to BLA approval. As a condition of approval of our BLA for Symvess in extremity arterial injury, we are obligated to conduct post-approval studies and trials, and report the results to the FDA.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our product from distribution or withdraw approval of the BLA for that product.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FDA closely regulates the post-approval marketing and promotion of biologics to healthcare professionals, including standards and regulations for direct-to-consumer advertising, false or misleading claims, off-label promotion, industry-sponsored scientific and educational activities, and promotional activities involving the Internet. Failure to comply with these requirements can result in adverse publicity, warning letters, corrective advertising, and potential civil and criminal penalties. Physicians may prescribe legally available biologics for uses that are not described in the product’s labelling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U.S. Healthcare Reform</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Political, economic and regulatory influences are subjecting the healthcare industry in the United States to fundamental changes. There have been, and we expect there will continue to be, legislative and regulatory proposals to significantly change the healthcare system. For example, the Patient Protection and Affordable Care Act (the “ACA”) was enacted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In December 2017, portions of the ACA dealing with the individual mandate insurance requirement were effectively repealed by the Tax Cuts and Jobs Act of 2017.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U.S. Third-Party Payor Coverage and Reimbursement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commercial success of Symvess and our product candidates, if they are approved for marketing, will depend, in part, upon the availability of coverage and reimbursement from third-party payors at the federal, state and private levels. Government payor programs, including Medicare and Medicaid, private health care insurance companies and managed-care plans have attempted to control costs by limiting coverage and the amount of reimbursement for particular procedures or treatments. The U.S. Congress and state legislatures from time to time propose and adopt initiatives aimed at cost-containment. Ongoing federal and state government initiatives directed at lowering the total cost of health care will likely continue to focus on health care reform and on the reform of the Medicare and Medicaid payment systems. Examples of how limits on coverage and reimbursement in the United States may cause reduced payments for products in the future include: changing Medicare reimbursement methodologies; fluctuating decisions on which drugs to include in formularies; allowing the federal government to negotiate drug prices for federal healthcare programs; revising drug rebate calculations under the Medicaid program; and reforming drug importation laws.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Some third-party payors also require pre-approval of coverage for new or innovative devices or therapies before they will reimburse health care providers who use such therapies. While we cannot predict whether any proposed cost-containment measures will be adopted or otherwise implemented in the future, the announcement or adoption of these proposals could have a material adverse effect on our ability to obtain adequate prices for Symvess and our product candidates and operate profitably. Significant cost containment pressure and downward pricing pressures exist in the U.S. and around the world, which may negatively affect reimbursement at any time.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Other Healthcare Laws and Regulations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also subject to healthcare regulation and enforcement by the federal government and the states and foreign governments in which we conduct our business. The laws that may affect our ability to operate include but are not limited to:</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federal false claims laws which prohibit, among other things, individuals or entities from knowingly presenting, or causing to be presented, claims for payment from Medicare, Medicaid, or other third-party payors that are false or fraudulent;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federal criminal laws that prohibit executing a scheme to defraud any healthcare benefit program or making false statements relating to healthcare matters;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federal Health Insurance Portability and Accountability Act of 1996, as amended by the Health Information Technology for Economic and Clinical Health Act (collectively, “HIPAA”), which governs the conduct of certain electronic healthcare transactions and protects the security and privacy of protected health information;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federal Physician Payments Sunshine Act, which requires drug and device companies to annually report to CMS all payments and transfers of value provided to physicians and teaching hospitals for posting on a public website;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state law equivalents of many of the above federal laws, including anti-kickback and false claims laws that may apply to items or services reimbursed by any third-party payor, including commercial insurers.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operate our business and impact our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International Regulation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to regulations in the United States, we will be subject to a variety of foreign regulations governing clinical trials and commercial sales and distribution of our future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EU Requirements Applicable to Medicinal Products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the EU, medicinal products are subject to extensive pre-and post-market regulation by regulatory authorities at both the EU and national levels.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Clinical Trials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Clinical trials of medicinal products in the EU must be conducted in accordance with EU (previously, Directive 2001/20/EC applied; as of January 31, 2022, Regulation EU No 536/2014 applies) and national regulations and the International Conference on Harmonization (“ICH”) guidelines on GCP.</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Prior to commencing a clinical trial, the sponsor must obtain a clinical trial authorization from the competent authority, and a positive opinion from an independent ethics committee of the relevant EU Member State in which the clinical trial will be carried out. Any substantial changes to the trial protocol or other information submitted with the clinical trial applications must be notified to or approved by the relevant competent authorities and ethics committees.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sponsor of a clinical trial must register the clinical trial in advance, and certain information related to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the development of a medicinal product, the EMA and national medicines regulators within the EU provide the opportunity for dialogue and guidance on the development program. At the EMA level, this is usually done in the form of scientific advice, which is given by the Scientific Advice Working Party of the Committee for Medicinal Products for Human Use (“CHMP”). Advice is not legally binding with regard to any future marketing authorization application of the product concerned. To date, we have not initiated any scientific advice procedures with the EMA, but we have obtained confirmation from the EMA that our ATEVs would be eligible for the EMA’s scientific advice procedures.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Marketing Authorizations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After completion of the required clinical testing, we must obtain a marketing authorization before we may place a medicinal product on the market in the EU. There are various application procedures available, depending on the type of product involved.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All application procedures require an application in the common technical document format, which includes the submission of detailed information about the manufacturing and quality of the product, and non-clinical and clinical trial information. There is an increasing trend in the EU towards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proactively or in response to freedom of information requests after the marketing authorization has been granted.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centralized procedure gives rise to marketing authorizations that are valid throughout the EU. Applicants file marketing authorization applications with the EMA, where they are reviewed by a relevant scientific committee, in most cases the CHMP (although other specialist committees may also be involved; for example, the Committee for Advanced Therapies will also be involved in the review of advanced therapy medicinal products (“ATMP”), and ATEVs could potentially be classified as an ATMP). The EMA forwards CHMP opinions to the European Commission, which uses them as the basis for deciding whether to grant a marketing authorization. The centralized procedure is compulsory for medicinal products that (1) are derived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biotechnology processes, (2) contain a new active substance indicated for the treatment of certain diseases, such as HIV/AIDS, cancer, diabetes, neurodegenerative disorders, viral diseases or autoimmune diseases and other immune dysfunctions, (3) are orphan medicinal products or (4) are advanced therapy medicinal products. For medicines that do not fall within these categories, an applicant may voluntarily submit an application for a centralized marketing authorization to the EMA, as long as the CHMP agrees that (i) the medicine concerned contains a new active substance, (ii) the medicine is a significant therapeutic, scientific, or technical innovation, or if its authorization under the centralized procedure would be in the interest of public health.</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those medicinal products for which the centralized procedure is not available, the applicant must submit marketing authorization applications to the national medicines regulators through one of three procedures: (1) a national procedure, which results in a marketing authorization in a single EU member state; (2) the decentralized procedure, in which applications are submitted simultaneously in two or more EU member states; and (3) the mutual recognition procedure, in which the EU member states are required to grant an authorization recognizing an existing authorization in another EU member state, unless they identify a serious risk to public health.</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Data Exclusivity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Marketing authorization applications for generic medicinal products do not need to include the results of preclinical and clinical trials, but instead can refer to the data included in the marketing authorization of a reference product for which regulatory data exclusivity has expired. If a marketing authorization is granted for a medicinal product containing a new active substance or to a different marketing authorization holder that has carried out a complete set of preclinical tests and clinical trials, that product benefits from eight years of data exclusivity, during which generic marketing authorization applications referring to the data of that product may not be accepted by the regulatory authorities, and a further two years of market exclusivity, during which such generic products may not be placed on the market. The two-year period may be extended to three years if during the first eight years a new therapeutic indication with significant clinical benefit over existing therapies is approved.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while a full set of preclinical tests and trials are not necessary, the results of appropriate preclinical or clinical trials must be provided, and guidelines from the EMA detail the type of quantity of supplementary data to be provided for different types of biological product.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Pediatric Development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the EU, companies developing a new medicinal product must agree to a Pediatric Investigation Plan (“PIP”) with the EMA and must conduct pediatric clinical trials in accordance with that PIP. The marketing authorization application for the product must ordinarily include the results of pediatric clinical trials conducted in accordance with the PIP. It is possible to obtain a deferral, in which case the pediatric clinical trials must be completed at a later date, or a complete waiver from the obligation to conduct pediatric clinical trials (e.g., because the relevant disease or condition occurs only in adults).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Post-Approval Controls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holder of a marketing authorization is subject to various post-approval controls, such as obligations to maintain a pharmacovigilance system and report adverse reactions, and requirements relating to promotional activities, including a prohibition on the promotion of prescription medicines to the general public. Manufacturers/importers and distributors of medicinal products must obtain authorizations from the competent national authorities and are subject to periodic inspections for compliance with cGMPs and current good distribution practices (“cGDPs”), respectively. The regulatory authorities may also impose specific obligations as a condition of the marketing authorization, such as additional safety monitoring or the conduct of additional clinical trials or post-authorization safety studies.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EU Requirements Applicable to Medical Devices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Under the previous medical devices directive, Directive 93/42/EEC, our ATEVs were not classified as medical devices in the EU because, with limited exceptions, products incorporating or derived from tissues or cells of human origin are expressly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excluded from the scope of the EU medical devices rules under Directive 93/42. However, as of May 26, 2021, Regulation (EU) 2017/745 applies, and this will bring us within the scope of the EU medical device rules products containing or derived from tissues or cells of human origin that are non-viable or are rendered non-viable.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Medical devices are generally governed by Regulation (EU) 2017/745 on Medical Devices that directly applies in all EU Member States and harmonizes the conditions for placing medical devices on the EU market. This Regulation, however, does not regulate certain important marketing aspects, such as pricing and reimbursement, which remain governed by national law. Additionally, certain areas, such as advertising, may be governed by additional national requirements.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medical device may be placed on the market within the EU if it conforms to certain “general product safety requirements” or “GSPRs.” These are general in nature and broad in scope. A fundamental GSPR, for example, is that a device must be designed and manufactured in such a way that it will not compromise the clinical condition or safety of patients, or the safety and health of users or other persons.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manufacturer is obliged to demonstrate that the device conforms to the relevant GSPRs through a conformity assessment procedure. Once the appropriate conformity assessment procedure for a medical device has been completed, the manufacturer must draw up a written declaration of conformity and affix the CE mark to the device. The device can then be marketed throughout the EU.</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nature of the conformity assessment depends upon the classification of the device. The classification rules are mainly based on three criteria: the length of time the device is in contact with the body, the degree of invasiveness, and the extent to which the device affects the anatomy. As a general rule, Class I (low risk) devices are those that do not enter or interact with the body; Class IIa and IIb (medium risk) devices are invasive or implantable or interact with the body; and Class III (high risk) devices are those that affect the vital organs.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Conformity assessment procedures for all but the lowest risk classification of device involve a notified body, which are non-governmental, private entities licensed to provide independent certification of certain classes of medical device. EU regulatory bodies are not involved in the premarket approval of medical devices, with only very limited exceptions (such as medical devices that incorporate a medicinal product as an ancillary substance, in which case these regulatory bodies review the medicinal product). The onus of ensuring a device is safe enough to be placed on the market is ultimately the responsibility of the manufacturer and the notified body.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part of the conformity assessment procedure, the manufacture will need to conduct a clinical evaluation of the device. This clinical evaluation may consist of an analysis of the scientific literature relating to similar devices, new clinical investigations of the device, or a combination of the two. For Class III and implantable devices, the conduct of clinical investigations is mandatory (with limited exceptions). If a manufacturer wishes to conduct a clinical investigation in the EU, the manufacturer must notify the competent national regulatory authorities in advance and obtain ethics committee approval of the study.</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EU Requirements Applicable to Human Cells and Tissues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EU rules, notably Directive 2004/23/EC and other implementing directives, govern the donation, procurement, testing and storage of human cells and tissues intended for human application, whether or not they are medicinal products. These rules also cover the donation, testing, processing, preservation, storage and distribution of human cell and tissues that are not medicinal products.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SAEs and reactions linked to the quality and safety of cells and tissues. More detailed rules may exist at the national level.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to regulations in Europe and the United States, we will be subject to a variety of foreign regulations governing clinical trials and commercial distribution of our future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Facilities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Employees and Human Capital Management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we had 184 employees, all of whom were full-time. None of our employees are represented by a collective bargaining agreement, and we have never experienced any work stoppages. We believe we have good relations with our employees.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Additional Information</w:t>
      </w:r>
    </w:p>
    <w:p>
      <w:pPr>
        <w:pStyle w:val="TextBody"/>
        <w:bidi w:val="0"/>
        <w:spacing w:before="200" w:after="283"/>
        <w:jc w:val="left"/>
        <w:rPr>
          <w:rFonts w:ascii="Times New Roman" w:hAnsi="Times New Roman"/>
          <w:sz w:val="20"/>
        </w:rPr>
      </w:pPr>
      <w:r>
        <w:rPr>
          <w:rFonts w:ascii="Times New Roman" w:hAnsi="Times New Roman"/>
          <w:color w:val="231F20"/>
          <w:sz w:val="20"/>
        </w:rPr>
        <w:t>We</w:t>
      </w:r>
      <w:r>
        <w:rPr>
          <w:rFonts w:ascii="Times New Roman" w:hAnsi="Times New Roman"/>
          <w:color w:val="000000"/>
          <w:sz w:val="20"/>
        </w:rPr>
        <w:t xml:space="preserve"> were incorporated in Delaware on July 1, 2020, under the name Alpha Healthcare Acquisition Corp. in order to effectuate a merger, capital stock exchange, asset acquisition, stock purchase, reorganization or similar business combination with one or more businesses or entities. AHAC completed its initial public offering on September 22, 2020. On August 26, 2021, AHAC and Legacy Humacyte consummated the transactions contemplated by the Merger Agreement. In connection with the closing of the Merger, we changed our name to Humacyte, Inc.</w:t>
      </w:r>
    </w:p>
    <w:p>
      <w:pPr>
        <w:pStyle w:val="TextBody"/>
        <w:bidi w:val="0"/>
        <w:spacing w:before="200" w:after="283"/>
        <w:jc w:val="left"/>
        <w:rPr>
          <w:rFonts w:ascii="Times New Roman" w:hAnsi="Times New Roman"/>
          <w:sz w:val="20"/>
        </w:rPr>
      </w:pPr>
      <w:r>
        <w:rPr>
          <w:rFonts w:ascii="Times New Roman" w:hAnsi="Times New Roman"/>
          <w:color w:val="231F20"/>
          <w:sz w:val="20"/>
        </w:rPr>
        <w:t>Our</w:t>
      </w:r>
      <w:r>
        <w:rPr>
          <w:rFonts w:ascii="Times New Roman" w:hAnsi="Times New Roman"/>
          <w:color w:val="000000"/>
          <w:sz w:val="20"/>
        </w:rPr>
        <w:t xml:space="preserve"> principal executive office is located at 2525 East North Carolina Highway 54, Durham, North Carolina 27713, and our telephone number is (919) 313-9633.</w:t>
      </w:r>
    </w:p>
    <w:p>
      <w:pPr>
        <w:pStyle w:val="TextBody"/>
        <w:bidi w:val="0"/>
        <w:spacing w:before="200" w:after="283"/>
        <w:jc w:val="left"/>
        <w:rPr>
          <w:rFonts w:ascii="Times New Roman" w:hAnsi="Times New Roman"/>
          <w:sz w:val="20"/>
        </w:rPr>
      </w:pPr>
      <w:r>
        <w:rPr>
          <w:rFonts w:ascii="Times New Roman" w:hAnsi="Times New Roman"/>
          <w:color w:val="231F20"/>
          <w:sz w:val="20"/>
        </w:rPr>
        <w:t>Our</w:t>
      </w:r>
      <w:r>
        <w:rPr>
          <w:rFonts w:ascii="Times New Roman" w:hAnsi="Times New Roman"/>
          <w:color w:val="000000"/>
          <w:sz w:val="20"/>
        </w:rPr>
        <w:t xml:space="preserve"> website address is www.humacyte.com and our investor relations website is located at https://investors.humacyte.com. The information posted on our website is not incorporated into this Annual Report on Form 10-K. The U.S. SEC maintains an Internet site that contains reports, proxy and information statements, and other information regarding issuers that file electronically with the SEC at http://www.sec.gov. Our Annual Report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w:t>
      </w:r>
    </w:p>
    <w:p>
      <w:pPr>
        <w:pStyle w:val="TextBody"/>
        <w:bidi w:val="0"/>
        <w:spacing w:before="200" w:after="283"/>
        <w:jc w:val="left"/>
        <w:rPr>
          <w:rFonts w:ascii="Times New Roman" w:hAnsi="Times New Roman"/>
          <w:sz w:val="20"/>
        </w:rPr>
      </w:pPr>
      <w:r>
        <w:rPr>
          <w:rFonts w:ascii="Times New Roman" w:hAnsi="Times New Roman"/>
          <w:color w:val="231F20"/>
          <w:sz w:val="20"/>
        </w:rPr>
        <w:t>We</w:t>
      </w:r>
      <w:r>
        <w:rPr>
          <w:rFonts w:ascii="Times New Roman" w:hAnsi="Times New Roman"/>
          <w:color w:val="000000"/>
          <w:sz w:val="20"/>
        </w:rPr>
        <w:t xml:space="preserve"> provide notifications of news or announcements regarding our financial performance, including SEC filings, investor events, and press releases, as part of our investor relations website. The contents of these websites are not intended to be incorporated by reference into this report or in any other report or document we file.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7" w:name="risk_factors"/>
      <w:bookmarkEnd w:id="7"/>
      <w:r>
        <w:rPr>
          <w:rFonts w:ascii="Times New Roman" w:hAnsi="Times New Roman"/>
          <w:b/>
          <w:color w:val="000000"/>
          <w:sz w:val="20"/>
        </w:rPr>
        <w:t xml:space="preserve">Item 1A. </w:t>
      </w:r>
      <w:r>
        <w:rPr>
          <w:rFonts w:ascii="Times New Roman" w:hAnsi="Times New Roman"/>
          <w:b/>
          <w:color w:val="231F20"/>
          <w:sz w:val="20"/>
        </w:rPr>
        <w:t>Risk Factors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Our operations and financial results are subject to a high degree of risk. These risks include, but are not limited to, those described below, each of which may have a material and adverse effect on our business, prospects, operating results, financial condition and the trading price of our securities. You should carefully consider the risks described below, together with all of the other information included in this Annual Report on Form 10-K. The risks and uncertainties described below are not the only ones we face. Additional risks and uncertainties not presently known to us or that we currently believe to be immaterial may also adversely affect our business. In that event, the trading price of our securities could decline and you could lose all or part of your investment.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Summary of Risk Factors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is a summary of the principal risks to which our business, operations and financial performance are subject. Each of these risks is more fully described in the individual risk factors immediately following this summary.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incurred significant losses to date. We expect to continue to incur losses for the foreseeable future and may never generate significant product revenue or be profitable. We will need to raise additional capital to finance our operations, which we may not be able to do on acceptable terms or at all.</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near-term prospects are dependent on the success of Symvess, our sole FDA-approved product, and if we are unable to increase sales in the vascular trauma indication and obtain regulatory approval for Symvess in additional indications, our business, operating results and financial condition will be materially harmed.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Symvess and our product candidates, if approved, may fail to achieve the degree of market acceptance by physicians, patients, third-party payors and others in the medical community necessary for commercial success.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we are found or alleged to have improperly promoted off-label uses, we may become subject to significant liability.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face and will continue to face substantial competition, which may result in others discovering, developing or commercializing competing products before or more successfully than we do, which may adversely affect our ability to successfully market or commercialize Symvess or our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experience delays or difficulties in the enrollment of patients in our clinical trials, which may delay or prevent additional clinical trials and our receipt of necessary marketing approvals.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Lack of experience by investigators and surgeons with our ATEVs can lead to incorrect implantation or follow-up procedures which could harm the results of our clinical trials and market acceptance of Symvess and our product candidates, if approved.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not be successful in our efforts to use our proprietary scientific technology platform to build a pipeline of additional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sizes of the market opportunities for Symvess and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distribution agreement with Fresenius Medical Care imposes obligations on us that may restrict our ability to operate our business in ways we believe to be in our long-term best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we receive approval for a product candidate that is not subject to our distribution agreement with Fresenius Medical Care, and we are unable to establish our own marketing, sales and distribution capabilities or are unable to enter into agreements with third parties to do so, we may not be able to generate product revenue and will have to alter our development and commercialization plans.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manufacture of Symvess and our product candidates is complex, we have limited experience manufacturing commercial product, and we have in the past and may in the future encounter difficulties in production. If we or any third-party manufacturer encounter such difficulties, our ability to supply Symvess for commercial sale or Symvess and our product candidates for clinical trials could be delayed or halted entirely.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terms of the Loan Agreement (defined below) may limit our ability to incur future debt.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intend to rely on our strategic, global partnership with Fresenius Medical Care to undertake, or assist with, the marketing, sale and distribution of certain of our product candidates in certain markets if we receive marketing approval from relevant regulatory authorities. Disruption of this arrangement could materially adversely affect our business, prospects, operating results and financial condition.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ability to successfully commercialize Symvess and our product candidates may be impaired if we are unable to obtain and maintain effective intellectual property rights for our proprietary scientific technology platform and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the Development of Symvess and Commercialization of Our Product Candidates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near-term prospects are dependent on the success of Symvess, our sole FDA-approved product, and if we are unable to increase sales in the vascular trauma indication and obtain regulatory approval for Symvess in additional indications, our business, operating results and financial condition will be materially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business currently depends heavily on our ability to increase sales of Symvess in the United States and in other jurisdictions where we may obtain marketing approval. Symvess currently is our only product approved for sale in the US and, while we are developing a number of product candidates, we have invested and continue to invest a substantial portion of our efforts and financial resources in the development of Symvess. None of our remaining product geometries and modifications have advanced beyond preclinical development. As a result, in the near term we are dependent on the success of Symvess, and if we are unable to increase sales in the vascular trauma indication and obtain regulatory approval for Symvess in additional indications, our business, along with our operating results and financial condition, will be materially harmed. We may never be able to increase sales of Symvess or our product candidates or meet our expectations with respect to revenues for a number of reasons, including: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lack of acceptance of Symvess by physicians, patients, third-party payors and other members of the medical community;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limited experience in marketing, selling and distributing Symvess or any other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limited experience in the commercial manufacturing of Symvess or any other product;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reimbursement and coverage policies of government and private payors such as Medicare, Medicaid, group purchasing organizations, insurance companies, health maintenance organizations and other plan administrators;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expand the current FDA-approved indications for Symvess into treatment of pediatric patients, treatment of a broader set of traumas, or indications outside of trauma;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emergence of new AEs associated with Symvess once the product is in commercial use or data suggesting that known AEs are more frequent or severe than originally thought;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changed or increased regulatory restrictions in the United States, EU, Israel and other foreign territories;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lack of adequate financial or other resources to commercialize Symvess successfully.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example, during its review of the Symvess BLA, the FDA identified concerns relating to mid-graft rupture or anastomotic failure of Symvess post-implantation. As a result, the FDA approved package insert for Symvess contains a boxed warning relating to mid-graft rupture or anastomotic failure, and as a condition of Symvess approval we are obliged to conduct a post-approval long-term observational study to further characterize these and other risks. If our post-approval study demonstrates that these or other risks associated with Symvess are more severe and/or more prevalent than currently understood, this may have adverse impacts on our business, including lack of market acceptance of our product, imposition of further warnings or limitations on distribution and/or use of Symvess, or revocation of our marketing authorization.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is no guarantee that the infrastructure, systems, processes, policies, relationships, and materials we have built for the launch and commercialization of our approved product in the United States will be sufficient for us to achieve success at the levels we expect. Our ability to increase sales and become profitable from Symvess depends on our assumptions regarding the relevant market opportunity and the degree of market acceptance for Symvess, and if approved, our other products, for which our estimates may prove inaccurate, and market acceptance in any approved indication, which may never occur.</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Symvess and our product candidates, if approved, may fail to achieve the degree of market acceptance by physicians, patients, third-party payors and others in the medical community necessary for commercial success.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commercial success of Symvess and our product candidates will depend, in part, on the acceptance of physicians, patients and health care payors, as medically necessary, cost-effective and safe. Symvess and any other product that we commercialize may not gain acceptance by physicians, patients, health care payors and others in the medical community due to ethical, social, medical, cost, reputational and legal concerns. If these products do not achieve an adequate level of acceptance, we may not generate significant product revenue and may not become profitable.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degree of market acceptance of Symvess or any of our product candidates that receives marketing approval will depend on a number of factors, including:</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efficacy and potential advantages of Symvess or our product candidates compared with alternative products or methods, including convenience and ease of administration;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prices we charge for Symvess or our other products, if approved;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availability of third-party coverage and adequate reimbursement;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willingness of the target patient population to try new products and methods and of physicians to use these products and methods;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strength of marketing and distribution support;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availability of the product and our ability to meet market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prevalence and severity of any side effects, or the emergence of new, previously unknown side effects;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restrictions on the use of Symvess and our other products, if approved.</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be subject to enforcement action, civil liability, regulatory investigation and penalties if we engage in the off-label promotion of Symvess.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promotional materials and training methods must comply with FDA and other applicable laws and regulations, including the prohibition of the promotion of off-label use. In a significant number of cases, physicians have used, and may in the future continue to use, Symvess off-label, as the FDA does not restrict or regulate a physician’s choice of treatment within the practice of medicine. However, if the FDA determines that our promotional efforts constitute promotion of an off-label use, it could request that we modify our training or promotional efforts or subject us to regulatory or enforcement actions, including the issuance of an untitled letter, a warning letter, injunction, seizure, civil penalties and criminal fines. It is also possible that other federal, state or foreign enforcement authorities, such as the DOJ or HHS, might take action if they consider our promotional or training materials to constitute promotion of an unapproved/off-label use, which could result in significant criminal and/or civil sanctions under other statutory authorities, such as laws prohibiting false claims for reimbursement. In that event, our reputation could be damaged and adoption of Symvess would be impaired. Although our policy is to refrain from statements that could be considered off-label promotion of Symvess, the FDA or another regulatory agency could disagree and allege that we have engaged in off-label promotion. In addition, the off-label use of Symvess may increase the risk of injury to patients, and, in turn, the risk of product liability claims. Claims under federal false claims laws and product liability claims are expensive to defend and could divert our management’s attention, result in substantial damage awards against us and harm our reputation.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our clinical trials are delayed, do not produce favorable results, or otherwise fail to demonstrate safety and efficacy to the satisfaction of the FDA or similar regulatory authorities outside the United States, we may incur significant additional costs or experience significant delays in completing, or ultimately be unable to complete, the development, approval, and commercialization of our product candidates. If we experience significant delays or significant additional costs, our business will be materially harmed.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Before obtaining marketing approval for any of our product candidates, and before gaining approval for additional indications for our approved Symvess product, we must conduct extensive clinical trials to demonstrate the safety and efficacy of our product candidates in humans. Clinical testing is expensive and time-consuming, and its outcomes are uncertain.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number of factors may impact the timing of our preclinical and clinical programs and the development and commercialization of our product candidates. These include factors such as inability to recruit sufficient numbers of patients, delays in obtaining IRB approval for planned trials, or disagreements with regulatory agencies on clinical trial design and/or imposition of clinical holds. For instance, our proposed CABG clinical trial currently is on a clinical hold until we can provide batch testing data to the FDA for our smaller diameter ATEV. We cannot guarantee that any clinical trials will be conducted as planned or completed on schedule, if at all, or that they will be successful. Any inability to successfully complete development of our product candidates would likely result in significant additional costs to us, create delays in filing a BLA for regulatory approval of our product candidates and impair our ability to generate revenue.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We believe the novelty of our research and development efforts, which are focused on the development of bioengineered human, acellular, tissue-based vessels for use across a wide spectrum of applications in vascular surgery, augments this uncertainty. The scientific discoveries that form the basis for our efforts to develop our product candidates are relatively new, and the scientific evidence to support the feasibility of developing product candidates based on these discoveries is limited. At this time, Symvess has been approved in the United States in an initial indication, and none of our other product candidates have been approved in the United States, Europe, Israel, or in any other jurisdiction. The clinical trial requirements of the FDA and other regulatory agencies and the criteria these regulators use to determine the safety and efficacy of a product candidate vary substantially according to the type, complexity, novelty and intended use and market of the potential product. In addition, because of the nature of the ATEVs, many of our clinical trials are “open label,” meaning that both the patient and the investigator know whether the patient is receiving the investigational product candidate. These studies often require the use of historical control arms consisting of patients previously treated with alternative therapies in the normal course of medical 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Use of open label study designs further complicates the clinical development process. Because of these and other factors, we may experience substantial difficulties in agreeing with FDA and other regulatory authorities on clinical trial design.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our studies are not successful, we be delayed in obtaining marketing approval or may not receive marketing approval at all. For example, our V006 trial did not meet its primary endpoint, which has delayed development of the ATEV for the hemodialysis access indication. If we fail to achieve the primary endpoint of our other ongoing or future clinical trials, or if safety issues arise, or the results from our clinical trials are otherwise inadequate to support regulatory approval of our product candidates, we may incur significant additional costs or experience significant delays in completing, or ultimately be unable to complete, the development and commercialization of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Even if our clinical trials achieve their primary endpoints, the FDA may still determine that such trials do not adequately establish the safety and effectiveness of our products. Data obtained from preclinical and clinical studies are subject to varying interpretations, which may delay, limit, or prevent marketing approval. In such a circumstance, the FDA may require that we design and conduct new, additional clinical trials to demonstrate safety and effectiveness, or may determine not to approve our products at all.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Additionally, even though we received FDA approval for Symvess in certain types of trauma, we may face a number of difficulties if the results of our clinical trials for additional Symvess indications or for our product candidates are unfavorable, inconclusive, or only modestly favorable or if there are safety concerns, such as AEs or SAEs, which could include clotting, mechanical failure, immunological rejection or infection, that could outweigh potential benefits associated with such product candidates. This could result in: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obtaining approval for indications or patient populations that are not as broad as intended or desired;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obtaining approval with, or later becoming subject to, labelling that includes significant use or distribution restrictions or significant safety warnings;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being subject to a REMS or equivalent requirement from a comparable foreign regulatory agency, to ensure that the benefits of a biological product outweigh its risks or to change the way the product is used;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being required to perform additional clinical trials to support approval or comparability or being subject to additional post-marketing testing requirements;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having regulatory authorities withdraw their approval of the product;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being sued; or</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suffering damage to our reputation.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of these events could cause us to incur significant additional costs, significant delays and prevent us from achieving or maintaining market acceptance of or commercializing one or more of our product candidates.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progress in early stage clinical trials may not guarantee success in late stage clinical trials, and our progress in trials for one product candidate or the FDA’s approval of Symvess may not be indicative of progress in trials for another product candidate.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product candidates in our pipeline are at various stages of development. Trial designs and results from previous studies are not necessarily predictive of our future clinical trial designs or results, and initial results of ongoing trials may not be confirmed upon full analysis of the complete trial data. A number of companies in the biotechnology industry have suffered significant setbacks in late-stage clinical trials even after achieving promising results in earlier stage clinical trials, and we may experience similar setbacks. Favorable results in clinical trials for, or the FDA’s approval of, one of our product candidates also do not necessarily indicate that we will obtain positive results in clinical trials related to product candidates. The novelty of our proprietary scientific technology platform adds another layer of risk that early-stage clinical trials may not guarantee success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late-stage clinical trials. If we are unable to demonstrate favorable results in future clinical trials for our various product candidates, we expect that our business, prospects, operating results and financial condition will be materially adversely affected.</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From time to time, we may publicly disclose preliminary or topline data from our clinical trials, which is based on a preliminary analysis of then-available data. However, the final results and related findings and conclusions are subject to change following a more comprehensive review of the data related to the particular study or trial. We also make assumptions, estimations, calculations and conclusions as part of our analyses of data, although we may not have received or had the opportunity to fully and carefully evaluate all data at the time such preliminary or topline results are released. As a result, the topline or preliminary results that we report may differ from final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SAEs occur at an unacceptable rate or other unacceptable side effects are identified in our ATEVs we may need to delay, abandon or limit development and marketing of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ATEVs may prove to have undesirable or unintended side effects, toxicities or other characteristics. If our ATEVs are associated with undesirable side effects in clinical trials or in commercial marketing, or have negative characteristics that are unexpected, we may need to perform additional clinical trials, abandon their development or limit development to more narrow uses or subpopulations in which the undesirable side effects or other characteristics are less prevalent, less severe or more acceptable from a risk-benefit perspective. For approved products, such as Symvess, the FDA and other regulatory authorities may limit the scope of that approval, require us to include detailed warnings and/or contraindications in product labeling, and/or implement a REMS, which may include restrictions on distribution or use of the product. If serious safety concerns emerge after product approval, FDA and other regulatory authorities may take steps to withdraw the product from the market. Any of these events could cause us to delay, abandon or limit the development and marketing of Symvess and our product candidates, if approved. For more information, see the section of this Annual Report on Form 10-K titled “Business.”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experience delays or difficulties in the enrollment of patients in our clinical trials, which may delay or prevent additional clinical trials and our receipt of necessary marketing approvals.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currently enrolling patients in several clinical trials, including in our V012 trial, which is a Phase 3 clinical trial comparing the safety and efficacy of our 6 millimeter ATEV to AV fistula for hemodialysis access in women, and may in the future enroll patients in other clinical trials. Identifying and qualifying patients to participate in clinical trials of our product candidates is critical to our success. The timing of our clinical trials depends in part on the rate at which we can recruit patients to participate in such trials. We may not be able to initiate or continue clinical trials for our product candidates if we are unable to locate and enroll a sufficient number of eligible patients to participate in these trials as required by the FDA and other regulatory authorities, and as such our product candidates could be delayed or otherwise adversely affected. Patient enrollment and trial completion is affected by many factors including the: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size of the patient population and process for identifying subjects;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design of the trial protocol;</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inclusion and exclusion criteria;</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safety profile to date of the product candidate under study;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perceived risks and benefits of the product candidate under study;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availability of competing therapies and clinical trials;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severity of the disease under investigation;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degree of progression of the subject’s disease at the time of enrollment;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proximity and availability of clinical trial sites for prospective subjects;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impact of pandemics or similar events on patients’ willingness and ability to participate in clinical trials or on study site policies;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ability to obtain and maintain subject consent;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risk that enrolled subjects will drop out before completion of the trial;</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patient referral practices of physicians;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ability to monitor subjects adequately during and after treatment.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Lack of experience by investigators and surgeons with our ATEVs can lead to incorrect implantation or follow-up procedures which could harm the results of our clinical trials and market acceptance of Symvess and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ATEV product, Symvess, is FDA approved as a vascular conduit for extremity arterial injury when urgent revascularization is needed to avoid imminent limb loss, and autologous vein graft is not feasible. For other indications, our ATEVs are currently in various stages of preclinical and clinical testing. We do not have the personnel capacity to directly conduct or manage solely with our own personnel all of the clinical trials that are necessary for the development of further indications for our ATEVs. Therefore, we rely, and will continue to rely, on third parties to assist us in managing, monitoring and conducting our clinical trials. Some of the investigators in our clinical trials have not been, and, with regard to Symvess, surgeons may not be, previously exposed to the implantation and follow-up procedures related to their use. As a result, our ATEVs may be, and have been in the past, incorrectly implanted and follow-up procedures may be performed incorrectly, resulting in increased interventions or failure of the ATEV, and complicating interpretation of clinical trial results. Our efforts to educate investigators, surgeons and interventionalists regarding the proper techniques for use of our ATEVs both during clinical trials and in commercial use may be costly, prove unsuccessful and could materially harm our ability to continue the clinical trials or commence marketing of Symvess. Regulatory authorities may also seek to impose restrictive labeling or proactive communication obligations on any marketing approval granted for use of our ATEVs as a result, which could reduce market acceptance of any of our ATEVs that receive marketing approval. For example, the FDA approved package insert for Symvess contains a boxed warning relating to mid-graft rupture or anastomotic failure.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be successful in our efforts to use our proprietary scientific technology platform to build a pipeline of additional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key element of our strategy is to use our proprietary scientific technology platform to expand our pipeline of ATEVs and to progress product candidates into and through clinical development. We may not be able to identify or develop future product candidates that are safe and effective. Even if we are successful in building our pipeline, the potential product candidates that we identify may not be suitable for clinical development, including if they have harmful side effects or other characteristics that render them unlikely to receive marketing approval or achieve market acceptance. Research programs to identify new product candidates require substantial technical, financial and human resources, and we may focus our efforts and resources on potential programs or product candidates that ultimately prove to be unsuccessful. If we do not successfully develop and commercialize additional product candidates based upon our technology, we may have difficulty generating product revenue in the future, which could result in significant harm to our business, prospects, operating results and financial condition and adversely affect our stock price.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 sizes of the market opportunities for Symvess 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estimates of the market opportunity for Symvess and certain of our product candidates, if approved,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 For example, the number of patients who ultimately use Symvess or our product candidates, if approved by regulatory authorities, and our total market opportunities for Symvess or such product candidates, will depend on, among other things, pricing and reimbursement, market acceptance of those product candidates and patient access, and may be lower than we estimate. Additionally, the approval we received for Symvess in trauma includes only adults as a vascular conduit for extremity arterial injury when urgent revascularization is needed to avoid imminent limb loss, and autologous vein graft is not feasible. Any approval that we receive for our product candidates also may be based on a narrower definition of the relevant patient population than we have estimated. These and similar limitations on future products could materially harm our business, financial condition, results of operations and prospects.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face and will continue to face substantial competition, which may result in others discovering, developing or commercializing competing products before or more successfully than we do, which may adversely affect our ability to successfully market or commercialize Symvess or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development and commercialization of new biological products is highly competitive and subject to rapid change and technological advancements. We expect that Symvess will, and that our product candidates would, if approved, compete with the use of a patient’s own blood vessels, as well as a variety of marketed products, such as conventional synthetic grafts, xenografts, and allografts, as well as developing technologies.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expect to face competition with respect to any additional product candidates that we may seek to develop or commercialize in the future from a variety of sources, including major pharmaceutical companies, specialty pharmaceutical companies and biotechnology companies, hospital product-focused companies, as well as public and private universities and research organizations.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Many of our existing or potential competitors, either alone or with their strategic partners, have significantly greater financial resources and expertise in research and development, manufacturing, preclinical testing, conducting clinical trials, obtaining marketing approvals and marketing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the products that we develop. Our competitors also may obtain FDA or other marketing approval for their products more rapidly than we may obtain the same approval for ours, which could provide them with further competitive advantage.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obtained initial marketing approval for Symvess in the United States for vascular repair in adults with certain extremity trauma injuries. We plan to seek marketing approval for our product candidates in the United States as biologics and for Symvess and our product candidates in the EU as a medicinal product. In both the United States and the EU, our competitors may try to market vascular conduits similar to our product candidates as medical devices. Such competitive products could have comparable characteristics and could function similarly in the body (and could even be protein-based like our product candidates). Companies may be able to obtain marketing approval for such products on the basis of less data than the data required for a BLA and marketing similar products as devices could permit our competitors to circumvent regulatory exclusivity for biologics in the United States and medicinal products in the EU.</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distribution agreement with Fresenius Medical Care imposes obligations on us that may restrict our ability to operate our business in ways we believe to be in our long-term best interest.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expect to rely on our strategic, global relationship with Fresenius Medical Care for the development and commercialization of Symvess and certain of our product candidates. As discussed in more detail in the section of this Annual Report on Form 10-K titled “Business — Distribution — Distribution Agreement with Fresenius Medical Care,” Fresenius Medical Care will have the exclusive right to develop outside of the United States and EU and commercialize outside of the United States, among other things, our 6 millimeter x 42 centimeter ATEV and all improvements thereto, and modifications and derivatives thereof (including any changes to the length, diameter, or configuration of the foregoing), which we refer to as the distribution product, for use in vascular creation, repair,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We refer to these indications wherein Fresenius Medical Care has rights to develop and commercialize Humacyte’s products as the field. The distribution agreement also imposes a number of restrictions on our business. For instance, outside the United States, the distribution agreement restricts our ability to engage a distributor for the distribution product outside the field or for ATEV products other than the distribution product: we have granted Fresenius Medical Care (i) an exclusive right of first negotiation for exclusive distribution rights outside the United States for the distribution product for use outside the field, and (ii) an exclusive right of first negotiation for exclusive distribution rights outside the United States for our other ATEV products, if any, subject, in each case, to certain conditions. These and other obligations may restrict our ability to operate our business in ways we believe are in our long-term best interest, which could harm our business and our prospects.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We recently received FDA approval to commercialize Symvess in the United States. As a company, we had no prior experience commercializing a product. We currently have limited internal marketing, sales or distribution capabilities, and our management team has limited experience commercializing products following marketing approval. If one of our product candidates that is not subject to the distribution agreement with Fresenius Medical Care receives marketing approval, we will be required either to develop these capabilities internally or to make arrangements with third parties for the marketing, sales and distribution of the relevant product candidate. The establishment and development of our own marketing, sales and distribution functions will be expensive and time-consuming and may delay any product launch, and we may ultimately be unable to successfully develop the product candidate. In addition, or in the alternative, we could seek one or more partners to handle some or all of the marketing, sales and distribution activities associated with any such product candidate. However, we may face significant competition in seeking appropriate strategic partners, and the negotiation process is time consuming and complex. Therefore, we may not be able to enter into arrangements with third parties to do so on favorable terms or at all. In the event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are unable to develop our own marketing, sales and distribution functions or collaborate with a third-party organization for this purpose, we may not be able to successfully commercialize a product candidate that is not subject to the distribution agreement with Fresenius Medical Care, which would adversely affect our ability to generate revenue. Further, whether we commercialize any such product candidate on our own or rely on a third party to do so, our ability to generate revenue will be dependent on the effectiveness of the organization performing these functions.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There is uncertainty with respect to third-party coverage and reimbursement of Symvess and our product candidates, if approved. They may also be subject to unfavorable pricing regulations, third-party reimbursement practices or healthcare reform initiatives, any of which could harm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is uncertainty around third-party coverage and reimbursement of newly approved regenerative medicine type products, including Symvess.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CMS. It is difficult to predict what CMS or any comparable foreign regulatory agency will decide with respect to coverage and reimbursement for novel products such as Symvess or our product candidates, as there is no body of established practices and precedents for these types of products.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healthcare industry is acutely focused on cost containment, both in the United States and elsewhere. Government authorities and third-party payors have attempted to control costs by limiting coverage and the amount of reimbursement. These payors may not view Symvess and our other products, if approved, as cost-effective, and coverage and reimbursement may not be available to our customers or may not be sufficient to allow our products to be marketed on a competitive basis. Cost control initiatives could also cause us to decrease any price we might establish for our products, which could result in lower than anticipated product revenue. Moreover, eligibility for reimbursement does not imply that any such product will be paid for in all cases or at a rate that covers our costs, including our costs related to research, development, manufacture, sale and distribution. Reimbursement rates may vary, by way of example, according to the use of Symvess or our other products, if approved,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August 16, 2022, President Biden signed the IRA into law, which sets forth meaningful changes to drug product reimbursement by Medicare. Among other actions, the IRA permits HHS to engage in price-capped negotiation to set the price of certain drugs and biologics reimbursed under Medicare Part B and Part D. The IRA contains statutory exclusions to the negotiation program, including for certain orphan designated drugs for which the only approved indication (or indications) is for the orphan disease or condition. Should Symvess or our other products, if approved, be covered by Medicare Part B or Part D, and fail to fall within a statutory exclusion, such as that for an orphan drug, Symvess or our other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inflation rebates may require us to pay rebates if we increase the cost of a product covered by Medicare Part B or Part D faster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designed Part D benefit structure compared to the pre-IRA benefit design. Additionally, manufacturers that fail to comply with certain provisions of the IRA may be subject to penalties, including civil monetary penalties. The IRA is anticipated to have significant effects on the pharmaceutical industry and may reduce the prices we can charge and reimbursement we can receive for our products, among other effects.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reduction in reimbursement from Medicare resulting from the IRA or other legislative or policy changes, or from other government programs may result in a similar reduction in payments from private payers. These healthcare reforms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implementation of any future cost containment measures or other reforms may prevent us from being able to generate sufficient revenue, attain and/or maintain profitability or commercialize our drug candidates. We cannot be sure whether additional legislative changes will be enacted, or the effect of forthcoming guidance implementing the IRA, or whether FDA regulations, guidance or interpretations will be changed, or what the impact of such changes on our product candidates or the marketing approvals of our product candidates, if any, may be.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Product liability lawsuits against us could cause us to incur substantial liabilities that may not be covered by our limited product liability insurance and may limit the development, approval and commercialization of Symvess and any product candidates that we develop in the future.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face an inherent risk of product liability exposure related to the testing of Symvess and our product candidates in human clinical trials. As we begin to sell Symvess, we will face an even greater risk of such exposure. If we cannot successfully defend ourselves against claims that Symvess or our product candidates caused injuries, we will incur substantial liabilities. Regardless of merit or eventual outcome, product liability claims may result in: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decreased demand for Symvess or any product candidates that we develop or sell, leading to loss of revenue;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injury to our reputation and significant negative media attention;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withdrawal, or slower enrollment, of clinical trial participants;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significant costs to defend the related litigation and reduced resources of our management to pursue our business strategy;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substantial monetary awards to trial participants or patients;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inability to further develop or commercialize Symvess or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Manufacturing Symvess and Our Product Candidates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 manufacture of Symvess and our product candidates is complex, we have limited experience manufacturing commercial product, and we have in the past and may in the future encounter batch failures and difficulties in production. If we or any third-party supplier encounter such difficulties, our ability to supply Symvess for commercial sale or our product candidates for clinical trials could be delayed or halted entirely.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process of manufacturing our </w:t>
      </w:r>
      <w:r>
        <w:rPr>
          <w:rFonts w:ascii="Times New Roman" w:hAnsi="Times New Roman"/>
          <w:color w:val="231F20"/>
          <w:sz w:val="20"/>
        </w:rPr>
        <w:t>ATEV</w:t>
      </w:r>
      <w:r>
        <w:rPr>
          <w:rFonts w:ascii="Times New Roman" w:hAnsi="Times New Roman"/>
          <w:color w:val="000000"/>
          <w:sz w:val="20"/>
        </w:rPr>
        <w:t xml:space="preserve">s, including Symvess, is complex, highly regulated and subject to multiple risks. The manufacture of biologics such as our </w:t>
      </w:r>
      <w:r>
        <w:rPr>
          <w:rFonts w:ascii="Times New Roman" w:hAnsi="Times New Roman"/>
          <w:color w:val="231F20"/>
          <w:sz w:val="20"/>
        </w:rPr>
        <w:t>ATEV</w:t>
      </w:r>
      <w:r>
        <w:rPr>
          <w:rFonts w:ascii="Times New Roman" w:hAnsi="Times New Roman"/>
          <w:color w:val="000000"/>
          <w:sz w:val="20"/>
        </w:rPr>
        <w:t xml:space="preserve">s has been, and continues to be, susceptible to product loss and batch failures due to a range of factors including raw material and other component deficiencies, contamination, equipment failure, temporary power outages, improper installation or operation of equipment, damage to facilities, vendor or operator error, inconsistency in yields, variability in product and raw material characteristics and difficulties in scaling the production process. Even minor deviations from normal manufacturing processes has resulted, and could in the future result, in reduced production yields, batch failures, product defects and other supply disruptions. For example, from time to time we have had multiple batch failures in succession. We believe we have identified the root cause of those failures and have implemented appropriate corrective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However, if our corrective actions are not successful, or if the FDA disagrees with our root cause analysis or our corrective actions, it may delay or disrupt our manufacturing operations or delay or prevent the filing or approval of marketing applications for our </w:t>
      </w:r>
      <w:r>
        <w:rPr>
          <w:rFonts w:ascii="Times New Roman" w:hAnsi="Times New Roman"/>
          <w:color w:val="231F20"/>
          <w:sz w:val="20"/>
        </w:rPr>
        <w:t>ATEV</w:t>
      </w:r>
      <w:r>
        <w:rPr>
          <w:rFonts w:ascii="Times New Roman" w:hAnsi="Times New Roman"/>
          <w:color w:val="000000"/>
          <w:sz w:val="20"/>
        </w:rPr>
        <w:t>s. If microbial, viral or other contaminations are discovered in Symvess or our product candidates, or in the manufacturing facilities in which our products are made, manufacturing may be delayed or disrupted for an extended period of time to investigate and remedy the contamination, which would harm our business, operating results and financial condition as well as our reputation. We depend on cell banks in our manufacturing process, and the loss or alteration of our master cell banks would result in significant disruptions to that process.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currently manufacture Symvess for initial commercial distribution and our 6 millimeter </w:t>
      </w:r>
      <w:r>
        <w:rPr>
          <w:rFonts w:ascii="Times New Roman" w:hAnsi="Times New Roman"/>
          <w:color w:val="231F20"/>
          <w:sz w:val="20"/>
        </w:rPr>
        <w:t>ATEV</w:t>
      </w:r>
      <w:r>
        <w:rPr>
          <w:rFonts w:ascii="Times New Roman" w:hAnsi="Times New Roman"/>
          <w:color w:val="000000"/>
          <w:sz w:val="20"/>
        </w:rPr>
        <w:t xml:space="preserve">s for our clinical trials at our manufacturing facility in Durham, North Carolina, where we have created a scalable modular manufacturing process, which we refer to as the LUNA200 system, that enable us to manufacture Symvess in commercial quantities in compliance with cGMPs. As our commercial and clinical needs grow, our efforts to further scale out our manufacturing operations may not succeed. Scaling out a biologic manufacturing process is a difficult task, as there are risks including, among others, cost overruns, process reproducibility, stability issues, lot consistency and timely availability of raw materials. We have limited years of experience manufacturing our </w:t>
      </w:r>
      <w:r>
        <w:rPr>
          <w:rFonts w:ascii="Times New Roman" w:hAnsi="Times New Roman"/>
          <w:color w:val="231F20"/>
          <w:sz w:val="20"/>
        </w:rPr>
        <w:t>ATEV</w:t>
      </w:r>
      <w:r>
        <w:rPr>
          <w:rFonts w:ascii="Times New Roman" w:hAnsi="Times New Roman"/>
          <w:color w:val="000000"/>
          <w:sz w:val="20"/>
        </w:rPr>
        <w:t xml:space="preserve">s in-house with the LUNA200 system, and no experience manufacturing the volume of Symvess and our </w:t>
      </w:r>
      <w:r>
        <w:rPr>
          <w:rFonts w:ascii="Times New Roman" w:hAnsi="Times New Roman"/>
          <w:color w:val="231F20"/>
          <w:sz w:val="20"/>
        </w:rPr>
        <w:t>ATEV product candidates</w:t>
      </w:r>
      <w:r>
        <w:rPr>
          <w:rFonts w:ascii="Times New Roman" w:hAnsi="Times New Roman"/>
          <w:color w:val="000000"/>
          <w:sz w:val="20"/>
        </w:rPr>
        <w:t xml:space="preserve"> that we anticipate will be required to achieve planned levels of commercial sales and to supply all of our clinical trials.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We also have experienced interruptions in the supply of the raw materials required to manufacture our products, and increased costs due to supply chain disruptions or inflation in the cost of goods, services or other operating inputs. Likewise, supply chain interruptions could affect the transport of Symvess or our clinical trial materials, such as our investigational </w:t>
      </w:r>
      <w:r>
        <w:rPr>
          <w:rFonts w:ascii="Times New Roman" w:hAnsi="Times New Roman"/>
          <w:color w:val="231F20"/>
          <w:sz w:val="20"/>
        </w:rPr>
        <w:t>ATEV</w:t>
      </w:r>
      <w:r>
        <w:rPr>
          <w:rFonts w:ascii="Times New Roman" w:hAnsi="Times New Roman"/>
          <w:color w:val="000000"/>
          <w:sz w:val="20"/>
        </w:rPr>
        <w:t xml:space="preserve">s and other supplies, which would negatively impact our ability to conduct our clinical trials or commercialize our product. In addition, we may not be able to develop and implement efficient manufacturing capabilities and processes to manufacture our </w:t>
      </w:r>
      <w:r>
        <w:rPr>
          <w:rFonts w:ascii="Times New Roman" w:hAnsi="Times New Roman"/>
          <w:color w:val="231F20"/>
          <w:sz w:val="20"/>
        </w:rPr>
        <w:t>ATEV</w:t>
      </w:r>
      <w:r>
        <w:rPr>
          <w:rFonts w:ascii="Times New Roman" w:hAnsi="Times New Roman"/>
          <w:color w:val="000000"/>
          <w:sz w:val="20"/>
        </w:rPr>
        <w:t xml:space="preserve">s in sufficient volumes that also satisfy the legal, regulatory, quality, price, durability, engineering, design and production standards required to commercialize our </w:t>
      </w:r>
      <w:r>
        <w:rPr>
          <w:rFonts w:ascii="Times New Roman" w:hAnsi="Times New Roman"/>
          <w:color w:val="231F20"/>
          <w:sz w:val="20"/>
        </w:rPr>
        <w:t>ATEV</w:t>
      </w:r>
      <w:r>
        <w:rPr>
          <w:rFonts w:ascii="Times New Roman" w:hAnsi="Times New Roman"/>
          <w:color w:val="000000"/>
          <w:sz w:val="20"/>
        </w:rPr>
        <w:t>s, including Symvess, successfully.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If we are unable to produce sufficient quantities of Symvess for commercialization or our investigational </w:t>
      </w:r>
      <w:r>
        <w:rPr>
          <w:rFonts w:ascii="Times New Roman" w:hAnsi="Times New Roman"/>
          <w:color w:val="231F20"/>
          <w:sz w:val="20"/>
        </w:rPr>
        <w:t>ATEV</w:t>
      </w:r>
      <w:r>
        <w:rPr>
          <w:rFonts w:ascii="Times New Roman" w:hAnsi="Times New Roman"/>
          <w:color w:val="000000"/>
          <w:sz w:val="20"/>
        </w:rPr>
        <w:t xml:space="preserve">s for our clinical trial needs,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w:t>
      </w:r>
      <w:r>
        <w:rPr>
          <w:rFonts w:ascii="Times New Roman" w:hAnsi="Times New Roman"/>
          <w:color w:val="231F20"/>
          <w:sz w:val="20"/>
        </w:rPr>
        <w:t>ATEV</w:t>
      </w:r>
      <w:r>
        <w:rPr>
          <w:rFonts w:ascii="Times New Roman" w:hAnsi="Times New Roman"/>
          <w:color w:val="000000"/>
          <w:sz w:val="20"/>
        </w:rPr>
        <w:t>s, including Symvess, utilizing our current or a modified version of our manufacturing system, we expect that our development and commercialization efforts would be impaired as a result, which would likely materially adversely affect our business, prospects, operating results and financial condition.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Manufacturing facilities are subject to significant government regulations and approvals, which are often costly and could result in adverse consequences to our business if we fail to comply with the regulations or maintain the approvals.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manufacturing facility is subject to ongoing regulation and periodic inspection by the FDA and other regulatory authorities to ensure compliance with cGMPs. Failure to follow and document adherence to such regulations or other regulatory requirements may (i) lead to significant delays in the availability of Symvess for commercial sale or of product for our clinical trials, (ii) result in the termination of or a hold being placed on one or more of our clinical trials, (iii) require significant modifications to our manufacturing facility, personnel, and procedures, (iv) delay or prevent filing or approval of marketing applications for our product candidates, (v) result in temporary or permanent closures of our manufacturing facilities, and/or (vi) result in other civil or criminal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Our Reliance on Third Parties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do not independently conduct clinical trials for our product candidates and instead rely on third parties, such as CROs, clinical data management organizations, medical institutions and clinical investigators, to perform various functions, including implanting our ATEVs and monitoring patients. The FDA and other regulatory authorities require us and these third parties to comply with GCP and, where applicable, cGTPs for conducting, recording and reporting the results of clinical trials to assure that data and reported results are credible and accurate and that the rights, integrity and confidentiality of patients in clinical trials are protected; ultimately, we remain responsible for ensuring that each of our clinical trials is conducted in accordance with the general investigational plan and trial protocol. Failure by us or these third parties to do so could require us to enroll additional trial subjects beyond those we anticipate, could require us to modify our protocol, which may cause us to lose previously established Special Protocol Assessment (“SPA”) agreements with the FDA or similar agreements with other regulatory authorities concerning whether the design and size of our clinical trial adequately addresses scientific and regulatory requirements to support marketing approval, or could materially harm our ability to complete our clinical trials, including as a result of the need to remove trial sites and participants from the trial, and could result in civil or criminal penalties. We have in the past and may in the future need to terminate trial sites due to failure to conduct a trial in accordance with its protocol, applicable regulations, GCPs, and generally accepted research standards.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performance of the sites for our clinical trials may also be adversely affected by various other issues, including the lack of familiarity with the properties of our ATEVs, intervention rates, insufficient training of personnel, variances in medical infrastructure, lack of familiarity with conducting clinical trials in accordance with international regulatory standards, communication difficulties or changes in local regulations. If these third parties do not successfully conduct our clinical trials in accordance with regulatory requirements or our stated protocols, carry out their contractual duties, or meet expected deadlines, we may not be able to obtain, or may be delayed in obtaining, marketing approvals for our product candidates and may not be able to, or may be delayed in our efforts to, successfully commercialize Symvess or our product candidates, if approved by regulatory authorities.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rely on third-party suppliers, including sole source suppliers, to provide certain components for Symvess and our product candidates. Any failure by a third-party supplier to supply these components for manufacture may delay or impair our ability to commercialize Symvess and to complete our clinical trials for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currently rely, and expect to continue to rely, on third parties for the supply of certain components necessary for Symvess and our product candidates, such as donor tissue, other biologically derived substances, human serum, the PGA polymer mesh and the bioreactor bags in which our ATEVs are grown. Our suppliers for certain of these materials, including SeraCare for the supply of human plasma and Confluent for the supply of polymer mesh, are sole source suppliers. Failure of one or more of our suppliers, including these sole source suppliers, to deliver components necessary for the production of our ATEVs in a timely and sufficient manner, whether due to shortages of such materials, difficulties in scaling up supply to satisfy our clinical trial and commercial needs, contamination, recall, pandemics or otherwise, or to source or manufacture such components in accordance with cGMPs and cGTPs, as applicable, could delay our ability to commercialize Symvess, which would reduce revenue from our sole approved product, or to complete our clinical trials, obtain marketing approval for and commercialize our product candidates. Establishing additional or replacement suppliers for these components could take a substantial amount of time and it may be difficult to establish replacement suppliers who meet regulatory requirements. 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 If our suppliers fail to comply with applicable regulations, and if we do not qualify alternate suppliers, the clinical development, marketing approval or commercialization of our product candidates could be delayed, thereby increasing our costs to complete clinical development and to obtain marketing approval and depriving us of potential product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intend to rely on our strategic, global relationship with Fresenius Medical Care to undertake, or assist with, the development and commercialization of certain of our product candidates if we receive marketing approval from relevant regulatory authorities. Disruption of this arrangement could materially adversely affect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Under the distribution agreement, Fresenius Medical Care has the exclusive right to sell and distribute the distribution product in the field outside of the United States. In addition, under the terms of the distribution agreement, Fresenius Medical Care will collaborate with Humacyte in its commercialization of the distribution product in the field in the United States, including adoption of the distribution product as a standard of care in patients for which such use is supported by clinical results and health economic analyses. As a result of our arrangement with Fresenius Medical Care, we expect to be reliant on Fresenius Medical Care to undertake or assist with the development and commercialization, as well as, in some cases, obtaining and maintaining regulatory approval, of the distribution product in the field and for Fresenius Medical Care to do so in a manner consistent with applicable law and regulatory requirements outside of the United States. If Fresenius Medical Care otherwise fails to undertake or assist with the development or commercialization, or obtaining or maintaining regulatory approvals, of the distribution product in accordance with the terms of the distribution agreement, our business, prospects, operating results and financial condition would be adversely affected, perhaps materially.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Fresenius Medical Care also maintains certain discretionary termination rights on a country-by-country basis with respect to any country outside of the United States under the distribution agreement, as discussed in more detail in the section of this Annual Report on Form 10-K titled “Business — Distribution — Distribution Agreement with Fresenius Medical Care.” If the distribution agreement is terminated, we may not be able to secure an alternative distributor in the applicable country on a timely basis or at all, in which case our ability to generate revenues from the distribution product in such country would be harmed.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if Fresenius Medical Care fails to undertake or assist with the development or commercialization, or obtaining or maintaining regulatory approval, as applicable, of the distribution product in a manner consistent with applicable law and regulatory requirements, patient access to, and demand for, the distribution product could be reduced, our reputation could be damaged, and, under certain circumstances, we could be exposed to potential liability. Furthermore, while Fresenius Medical Care has certain commercialization diligence obligations, Fresenius Medical Care is not restricted from offering its own products and services or the products and services of other companies that compete with the distribution product, and may not undertake or assist with the development or commercialization of the distribution product effectively.</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Our Financial Position and Need for Additional Funding</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have concluded that substantial doubt is deemed to exist concerning our ability to continue as a going concern.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will not have sufficient liquidity to fund its operations beyond one year from the issuance of these financial statements if the Company is unable to generate sufficient cash flows from commercial sales on a timely basis and/or obtain additional capital. These factors raise substantial doubt about the Company’s ability to continue as a going concern. The future viability of the Company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capital may not be available to the Company when needed or on acceptable terms. 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w:t>
      </w:r>
      <w:r>
        <w:rPr>
          <w:rFonts w:ascii="Times New Roman" w:hAnsi="Times New Roman"/>
          <w:color w:val="000000"/>
          <w:sz w:val="20"/>
        </w:rPr>
        <w:t>The accompanying consolidated financial statements contained in Part II, Item 8 of this Annual Report on Form 10-K have been prepared assuming that the Company will continue as a going concern and contemplate the realization of assets and the satisfaction of liabilities in the normal course of business. The accompanying financial statements do not include any adjustments related to the recoverability and classification of assets or the amounts and classification of liabilities or any other adjustments that might be necessary should the Company be unable to continue as a going concern. See Note 1, Organization and Description of Business to our accompanying consolidated financial statements contained in Part II, Item 8 of this Annual Report on Form 10-K for additional information regarding our assessment.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We have incurred significant losses to date and we expect to continue to incur losses for the foreseeable future and may never be profitable.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Since its inception in 2004, the Company has incurred operating losses and negative cash flows from operations in each year. We incurred net losses of $40.8 million and $148.7 million for the years ended December 31, 2025 and 2024, respectively. As of December 31, 2025 and 2024, we had an accumulated deficit of $726.8 million and $686.0 million, respectively. Although we are a commercial-stage biotechnology platform company, we have a single product approved for commercial sale and a limited operating history as a commercial-stage company upon which you can evaluate our business and prospects. We have historically financed our operations primarily through the sale of equity securities and convertible debt, proceeds from our going public transaction, borrowings under loan facilities, including the Loan Agreement (as defined below), the Purchase Agreement (as defined below) and, to a lesser extent, through grants from governmental agencies. We have devoted substantially all of our financial resources and efforts to sales, marketing, research and development, including preclinical studies and clinical trials and development of manufacturing technology, and we anticipate that our expenses will continue to increase over the next several years as we continue these activities.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To become and remain profitable, we must succeed in commercializing Symvess, obtaining marketing approval for Symvess outside of the United States, obtaining marketing approval for our product candidates, and in developing and commercializing additional product candidates that generate significant revenue. We may never succeed in these activities and, even if we do, may never generate revenue that is sufficient to achieve profitability.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Even if we do achieve profitability, we may not be able to sustain or increase profitability. Our failure to become and remain profitable would depress the value of our company and could impair our ability to maintain our research and development efforts, expand our business, diversify our product offerings or even continue our operations. A decline in the value of Humacyte could also cause you to lose all or part of your investment in our securities.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ability to use our net operating loss and tax credit carryforwards to offset future taxable income may be subject to certain limitations.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we had net operating loss carryforwards for federal and state tax purposes of approximately $599.4 million and $614.8 million, respectively, which began to expire in 2025. In addition, we had tax credit carryforwards for federal and state tax purposes of approximately $32.6 million as of December 31, 2025, which will begin to expire in 2026 and will expire completely in 2045. The future utilization of net operating loss and tax credit carryforwards may be limited due to changes in ownership. In general, if we experience a greater than 50% aggregate change in ownership of certain significant stockholders or groups over a three-year period (which constitutes an ownership change under Section 382 of the Internal Revenue Code of 1986, as amended (the “Code”)), utilization of our pre-change net operating loss carryforwards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net operating loss carryforwards before utilization and may be substantial. In the past we may have experienced, and in the future may experience, ownership changes as a result of subsequent shifts in our stock ownership. As a result, if we earn net taxable income, our ability to use our pre-change net operating loss carryforwards to offset United States federal taxable income may be subject to limitations, which could potentially result in increased future tax liability to us.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expect to need to raise additional funding, which may not be available on acceptable terms, or at all, and any failure to obtain capital when needed may force us to delay, limit or terminate our product development or commercialization efforts.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We expect to incur significant expenses in connection with our ongoing activities as we seek to (i) continue to commercialize Symvess and seek marketing approval for Symvess in additional indications and for our product candidates in the United States and to obtain marketing approval for our 6 millimeter ATEV outside of the United States, (ii) continue clinical development of our 6 millimeter ATEV for use in hemodialysis AV access and submit a BLA for FDA approval of an indication in hemodialysis AV access, (iii) advance our pipeline in major markets, including PAD Phase 3 trials and continue preclinical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development and advance to planned clinical studies in CABG and BVP for diabetes, and (iv) scale out our manufacturing facility as required to satisfy market demand. We will need additional funding in connection with these activities.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future funding requirements, both short-term and long-term, will depend on many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and timing of our sales and future commercialization activities, including product manufacturing, marketing and distribution for Symvess in the United States, and any other product candidate for which we receive marketing approval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 and timing of revenues that we receive from commercial sales of Symvess and any product candidates for which we receive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progress and results of our clinical trials and interpretation of those results by the FDA and other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timing and outcome of regulatory review of our product candidates, particularly for marketing approval of Symvess outside of the United States and of our product candidates in the United States;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scope, progress, results and costs of preclinical development, laboratory testing and clinical trials for our additional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TextBody"/>
        <w:bidi w:val="0"/>
        <w:spacing w:before="200" w:after="283"/>
        <w:jc w:val="left"/>
        <w:rPr>
          <w:rFonts w:ascii="Times New Roman" w:hAnsi="Times New Roman"/>
          <w:sz w:val="20"/>
        </w:rPr>
      </w:pPr>
      <w:r>
        <w:rPr>
          <w:rFonts w:ascii="Times New Roman" w:hAnsi="Times New Roman"/>
          <w:color w:val="231F20"/>
          <w:sz w:val="20"/>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As of December 31, 2025, we had cash and cash equivalents of $50.5 million and restricted cash of $0.4 million</w:t>
      </w:r>
      <w:r>
        <w:rPr>
          <w:rFonts w:ascii="Times New Roman" w:hAnsi="Times New Roman"/>
          <w:color w:val="000000"/>
          <w:sz w:val="20"/>
        </w:rPr>
        <w:t xml:space="preserve">, </w:t>
      </w:r>
      <w:r>
        <w:rPr>
          <w:rFonts w:ascii="Times New Roman" w:hAnsi="Times New Roman"/>
          <w:color w:val="231F20"/>
          <w:sz w:val="20"/>
        </w:rPr>
        <w:t>and as of December 31, 2024, we had cash and cash equivalents of $44.9 million and restricted cash of $50.4 million. The Company will not have sufficient liquidity to fund its operations beyond one year from the issuance of these financial statements if the Company is unable to generate sufficient cash flows from commercial sales on a timely basis and/or obtain additional capital.</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Pursuant to the terms of the Loan Agreement, we may be limited in our ability to incur future debt.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December 15, 2025, we entered into a Loan and Security Agreement (the “Loan Agreement”) with Avenue Venture Opportunities Fund II, L.P., as administrative agent and collateral agent for the lenders (the “Loan Agent”) and as lender (“Avenue”), providing for a senior secured term loan facility (the “Term Loan Facility”) of up to $77.5 million in the aggregate that we used to repay indebtedness under the Company’s then-existing Revenue Interest Purchase Agreement, dated May 12, 2023 (the "Purchase Agreement"), with two purchasers (the “Purchasers”), both affiliates of Oberland Capital Management LLC (“Oberland”), and another affiliate of Oberland, as agent for the Purchasers (the “Agent”), and for other general corporate purposes. Pursuant to the terms of the Loan Agreement, we are, among other things, limited in our ability to incur additional indebtedness without the prior written consent of the Loan Agent, which would constitute an event of default under the Loan Agreement. Upon the occurrence and continuation of such an event of default, the Loan Agent is entitled, without notice or demand, to declare all obligations under the Loan Agreement immediately due and payable. If an event of default under the Loan Agreement should occur, we could be required to immediately repay any outstanding indebtedness. If we are unable to repay such debt, the lenders would be able to foreclose on the secured collateral and take other remedies permitted under the Loan Agreement. Even if we are able to repay any indebtedness on an event of default, the repayment of these sums may significantly reduce our working capital and impair our ability to operate as planned.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cannot assure you that our business will generate sufficient cash flow from operations, that we will be able to incur future debt on favorable terms or at all, or that future financing will be available to us in amounts sufficient to fund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successfully execute or achieve the expected benefits of cost-saving measures that we have taken or may take in the future, and our efforts may result in further actions or additional asset impairment charges and adversely affect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taken several cost reduction actions to reduce our workforce, cease recruitment of additional planned new hires, and reduce other operating expenses. We undertook these cost reductions to improve our cash runway and to better align our organizational structure with our top business objectives. From time to time, we also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in connection with our current cost saving measures and that we may decide to take in the future may not be successful in yielding our intended results and may not appropriately address either or both of the short-term and long-term strategy for our business. Implementation of our current and any other cost-saving initiatives may be costly and disruptive to our business, the expected costs and charges may be greater than we have forecasted, and the estimated cost savings may be lower than we have forecasted. Certain aspects of the cost saving measures, such as severance costs in connection with reducing our headcount, could negatively impact our cash flows. In addition, our initiatives could result in personnel attrition beyond our planned reduction in headcount or reduced employee morale, which could in turn adversely impact productivity, including through a loss of continuity, loss of accumulated knowledge or inefficiency during transitional periods, or our ability to attract highly skilled employees. Unfavorable publicity about us or any of our strategic initiatives could result in reputation harm and could diminish confidence in, and the use of, our ATEVs.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Government Regulation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Even though we received marketing approval for Symvess, we continue to be subject to ongoing regulatory obligations and continued regulatory review, which may result in significant additional expense and subject us to significant penalties if we fail to comply with applicable regulatory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Symvess and any other product candidates for which we also obtain marketing approval in the United States, will be subject to ongoing regulatory requirements from the FDA and, if approved elsewhere, from applicable non-U.S. regulatory authorities. Any marketing approval that we receive for our product candidates may be subject to limitations on the indicated uses for which the product may be marketed or contain requirements for potentially costly post-marketing follow-up trials to monitor the safety and efficacy of the product. For example, the FDA’s approval of Symvess includes requirements to conduct an open-label study to assess the safety and efficacy of Symvess in certain patients 17 years of age or younger, as well as a long-term observational study to further characterize the risk of graft failure and infection in patients with extremity vascular injury who have received Symvess for the approved indication. The FDA could also approve our product candidates with a REMS, which could include significant restrictions on distribution and/or use of our products. In addition, we are subject to extensive and ongoing post-approval regulatory requirements for Symvess by the FDA, and if approved elsewhere, by other non-U.S. regulatory authorities, with regard to the manufacturing, labelling, packaging, AE reporting, storage, advertising, distribution, promotion and recordkeeping for Symvess and any other product candidates that may receive marketing approval. If we fail to comply with regulatory requirements of the FDA and, if relevant, other non-U.S. regulatory authorities, we could be subject to administrative or judicially imposed sanctions, including the following:</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issuance of warning letters or untitled letters by regulatory authorities asserting that we are in violation of the law;</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imposition of injunctions or significant civil monetary penalties or pursuit by regulatory authorities of civil or criminal prosecutions and fines or other civil and/or criminal penalties against us or our responsible officers;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suspension or withdrawal of marketing approval;</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suspension of any ongoing clinical trials or refusal by regulatory authorities to approve pending marketing applications or supplements to approved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seizure of products or refusal to allow us to enter into supply contracts, including government contracts, or to import or export products;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voluntary or mandatory product recalls and publicity requirements;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restrictions on operations, including marketing efforts, or restrictions that mandate costly new manufacturing requirements.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of these events could reduce market acceptance of Symvess or any of our product candidates that had received marketing approval, substantially reduce our revenue, increase the costs of operating our business, and cause us significant reputational damage, among other consequences. If we ultimately receive approval for Symvess or any of our product candidates in jurisdictions outside the United States, we expect to be subject to similar ongoing regulatory oversight by the relevant foreign regulatory authorities.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products may be subject to product recalls that could harm our reputation and could materially and adversely affect our business, financial condition, operating results, cash flows and prospects. The FDA and other regulatory agencies strictly regulate the promotional claims that may be made about approved products. In particular, while the FDA permits the dissemination of truthful and non-misleading information about an approved product, the FDA restricts our ability to promote a product for uses that are not approved by the FDA. The misuse or off-label use of our product may harm our reputation in the marketplace, result in injuries that lead to product liability suits or result in costly investigations, fines or civil or criminal sanctions by regulatory authorities if we are deemed to have engaged in the promotion of these uses, any of which could be costly to our business. We may also face risks in other non-U.S. jurisdictions from product recalls and advertising/promotion rules.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could also face product liability suits or regulatory delays due to defects in our products, which could be expensive and time-consuming and result in substantial damages payable by us and increases in our insurance rates.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obtain marketing approval from the FDA for any of our product candidates even if we successfully complete our clinical trials, which failure would materially harm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Prior to commercialization, biologics, like our ATEVs, require the submission of a BLA to, and approval of the BLA by, the FDA. A BLA must be supported by extensive preclinical and clinical data, as well as extensive information regarding chemistry, manufacturing and controls (“CMC”), sufficient to demonstrate the safety, purity, potency and effectiveness of the applicable product candidate to the satisfaction of the FDA. In December 2024, the FDA approved Symvess as a vascular conduit for extremity arterial injury when urgent revascularization is needed to avoid imminent limb loss, and autologous vein graft is not feasible, but there can be no assurance that we will obtain approval outside of the United States for that indication or marketing approval for any of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BLA approval process is expensive and uncertain, it may take several years to complete, and we may not be successful in obtaining approval for our product candidates. The FDA has substantial discretion in the approval process and decisions made by the FDA can be unpredictable. The number and types of preclinical studies and clinical trials that will be required for BLA approval varies depending on the product candidate, the disease or the condition that the product candidate is designed to target and the regulations applicable to any particular product candidate. The FDA could delay, limit or deny approval of our product candidates for many reasons, including because it: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may not deem the product candidate to be adequately safe or effective;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may not find the data from preclinical studies, clinical trials or CMC data sufficient to support approval;</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may not approve the manufacturing processes or facilities associated with the product candidate;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may conclude that the long-term integrity of the product candidate for which approval is being sought has not been sufficiently demonstrated;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may change approval policies or adopt new regulations; or</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may not accept a submission due to, among other reasons, the content or formatting of the submission.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some cases, the FDA may agree to an SPA for a clinical trial, when it determines that the trial is adequately designed to provide necessary data to support a license application. Even in such cases, however, the FDA may subsequently abandon the SPA if a substantial scientific issue essential to determining the safety or effectiveness of the product candidate has been identified after the testing has begun. In addition, if a company alters the protocol for a trial, the SPA may no longer apply. Further, the results of pivotal clinical trials are always subject to thorough FDA review. Even highly significant and favorable clinical trial results are no guarantee of approval.</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Even though we obtained approval for Symvess from the FDA, we may never obtain approval for our ATEVs outside of the United States, where the regulatory process is also complex and subject to significant uncertainty. Failure to do so would limit our market opportunities and adversely affect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Even though we received FDA approval to market Symvess in the United States, we must comply with the numerous and varying regulatory and compliance related requirements of other countries, including the submission of extensive preclinical and clinical data, manufacturing and quality information regarding the process and facility, scientific data characterizing the relevant product candidate and other supporting data in order to establish safety and effectiveness. 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marketing approval process in other countries may include all of the risks associated with FDA approval as well as additional, presently unanticipated, risks. Marketing approval in one country does not ensure marketing approval in another, but a failure or delay in obtaining marketing approval in one country may negatively impact the regulatory process in others, including the risk that our product candidates may not be approved for all indications requested and that such approval may be subject to limitations on the indicated uses for which the product candidate may be marketed.</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Even if we seek “rolling review” or priority review, the review time for BLAs for our product candidates may be longer and more expensive than for other products because of the novelty and complexity of our product candidates, which would delay our ability to begin commercialization and earn product revenues.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marketing approval process for novel product candidates such as ours may take longer to complete and be more expensive than the process for other, better known or extensively studied pharmaceutical or other product candidates. For example, on December 12, 2023, we submitted our BLA for the ATEV in urgent arterial repair following extremity vascular trauma when synthetic graft is not indicated and autologous vein use is not feasible. We submitted our BLA using a “rolling review,” which means we may submit completed modules of a BLA rather than waiting until every module of the BLA is completed before submitting the full BLA for FDA review. Such “rolling review” is common for indications that are part of one of FDA’s expedited programs, such as our 6 millimeter ATEV, which has received Fast Track and RMAT designations for AV access in hemodialysis, and RMAT designation for urgent arterial repair following extremity vascular trauma. In February 2024, the FDA accepted our BLA in the vascular trauma indication and granted priority review of that BLA. Under priority review, the FDA’s goal is to review an application within six months of the 60-day filing date, compared to ten months for a standard review. Even though we utilized a “rolling review” and we had received priority review for that BLA, we still did not receive approval of our initial Symvess BLA until December 2024. Thus, even if we are permitted to submit supplemental or additional BLAs under rolling review in the future, and even if those applications receive priority review, we cannot guarantee that those applications will be reviewed and approved on an expedited basis, if at all. The FDA could require us to submit major amendments to the BLA, which could lead to a longer review time. The FDA could also decide to consult an advisory committee as part of our BLA review process, which often leads to a longer review time. We are not permitted to commercialize our product candidates in the United States until they have been approved by the FDA, and if we experience a lengthier review period than expected, our ability to generate product revenues would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in the future seek orphan drug designation for the use of our ATEVs to treat congenital pediatric heart defects. We may be unable to obtain such designation or to maintain the benefits associated with orphan drug designation, including market exclusivity, which may cause our revenue, if any, to be reduced.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Under the Orphan Drug Act, the FDA may grant orphan designation to a drug or biologic intended to treat a rare disease or condition, defined as a disease or condition with a patient population of fewer than 200,000 in the United States, or a patient population of 200,000 or more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if FDA approves a BLA for a biologic that has received orphan drug designation, then FDA may not approve another application for the same drug or biologic for the same disease or condition until the expiration of seven years from the date of the approval of the orphan BLA. This is known as orphan exclusivity. However, even if one of our biological product candidates receives orphan exclusivity, the FDA can still approve different drugs or biologics for use in treating the same indication or disease, as well as the same drug or biologic for a different indication or disease. The FDA can also approve the same drug or biologic for the same indication or disease if the subsequent drug or biologic demonstrates clinical superiority. Furthermore, the FDA can waive orphan exclusivity if we are unable to manufacture sufficient supply of our product.</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Inadequate funding for the FDA and other government agencies, including from government shut downs, global health concerns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Disruptions at the FDA and other agencies may also slow the time necessary for new product candidates to be reviewed and/or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experience delays or rejections based upon additional government regulation from future legislation or administrative action, or changes in regulatory agency policy during the period of product development, clinical trials and the review process. In addition,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additional prolonged government shutdowns occur,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Designation of our product candidates for expedited programs, such as Fast Track designation, Breakthrough Therapy Designation, or RMAT designation, or accelerated approval by the FDA, or priority designation by the Department of Defense, may not lead to a faster development or regulatory review or approval process, and even if granted, will not increase the likelihood that our product candidates will receive marketing approval.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2014, the FDA granted Fast Track designation for our 6 millimeter ATEV for use in the creation of AV access for hemodialysis, in 2017, the FDA granted RMAT designation for our 6 millimeter ATEV for the creation of vascular access for performing hemodialysis, in 2023, the FDA granted RMAT designation for our 6 millimeter ATEV for urgent arterial repair following extremity vascular trauma, and in 2024, the FDA granted RMAT designation for the ATEV for patients with advanced PAD. We have not received designations pursuant to any of the FDA’s expedited programs for our other indications, although we may in the future seek such designations if such product candidates meet the criteria for that designation. In addition, even with one or more of these designations, we may not experience a faster development process, or faster review or approval, for our product candidates compared to product candidates that are not part of the expedited programs. Further, the FDA may withdraw a designation if it believes that the designation is no longer supported by data from our clinical development program. In addition, a product candidate may no longer demonstrate a potential to address unmet medical need if, for example, a new product is approved that addresses the same need, which could lead to loss of a designation. The loss of a designation under an expedited program, including a Fast Track designation, Breakthrough Therapy Designation, or RMAT designation, could significantly increase the costs of development and length of time required before we could seek marketing approval of such a product candidate.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in 2018, our ATEV product candidate was assigned a priority designation by the Secretary of Defense under Public Law 115-92. Similar to the designations described above that FDA may grant, a priority designation by the Department of Defense does not change the standards for approval but may expedite the development or approval process.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Healthcare reform measures could hinder or prevent commercial success of Symvess or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industry is highly regulated, and changes in or revisions to laws, regulations, or other policies that make gaining coverage of and adequate reimbursement for Symvess or our product candidates more difficult or subject to different criteria and standards may adversely impact our business, prospects, operating results and financial condition. In the United States, there have been and we expect there will continue to be a number of legislative, regulatory and other changes to the healthcare system to contain or reduce healthcare costs that may adversely affect our ability to set a price we believe is fair for Symvess or our product candidates, our ability to generate revenues and achieve or maintain profitability, and the availability of capital.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Federal and state lawmakers regularly propose and, at times, enact legislation that would result in significant changes to the healthcare system, some of which are intended to contain or reduce the costs of medical products and services. At the federal level, the Inflation Reduction Act of 2022, or IRA:</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Requires manufacturers to pay rebates for a Medicare Part B or Part D drug if the price increases for the drug exceed the rate of inflation.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Eliminates the “donut hole” under Medicare Part D beginning in 2025 by significantly lowering the beneficiary maximum out-of-pocket cost and requiring manufacturers to subsidize 10% of Part D enrollees’ prescription costs for brand drugs below the out-of-pocket maximum and 20% once the out-of-pocket maximum has been reached.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Delays the rebate rule that would require pass through of pharmacy benefit manager rebates to beneficiaries.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Directs the Centers for Medicare &amp; Medicaid Services, or CMS, to engage in price-capped negotiation for certain Medicare Part B and Part D drugs and biologics. Specifically, the IRA’s Price Negotiation Program applies to high-expenditure single-source drugs and biologics that have been approved for at least 7 or 11 years, respectively, among other negotiation selection criteria, beginning with ten high-cost Part D drugs starting in 2026, to be followed by 15 Part D drugs in 2027, 15 Part B or Part D drugs in 2028, and 20 Part B or Part D drugs in 2029 and beyond. The negotiated prices will be capped at a statutorily determined ceiling price. There are statutory exemptions from the IRA’s Price Negotiation Program, including for certain orphan products. The IRA’s Price Negotiation Program is currently the subject of legal challenges, but implementation and effectuation of the Program is ongoing.</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Manufacturers that fail to comply with the IRA may be subject to various penalties, including civil monetary penalties or a potential excise tax. The IRA permits the Secretary of Health and Human Services, or HHS Secretary, to implement many of the IRA’s provisions through guidance, as opposed to regulation, for the initial years. The IRA is having significant effects on the pharmaceutical industry and may reduce the prices pharmaceutical manufacturers can charge and the reimbursement pharmaceutical manufacturers can receive for approved products, among other effects.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Lowering prescription drug prices was a stated priority of the Biden administration and resulted in additional drug pricing policies. For example, on October 14, 2022, President Biden signed an executive order to lower prescription drug costs for Americans. In response to this directive, the Center for Medicare and Medicaid Innovation developed new models intended to lower drug costs under federal health care programs. These models included establishing a new approach for administering outcomes-based agreements for cell and gene therapies.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Additionally, the American Rescue Plan Act of 2021 eliminated the statutory Medicaid drug rebate cap, currently set at 100% of a drug’s average manufacturer price, for single source and innovator multiple source drugs, as of January 1, 2024. This came as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also released a final rule, which went into effect in 2020, providing guidance for states to build and submit plans for importation of drugs from Canada. FDA and states have moved forward with implementation efforts. For example, on January 5, 2024, the FDA authorized Florida to move forward with its importation program proposal, and other states have enacted state importation laws and submitted plans for approval to the FDA. Congressional action in this space has continued into the Trump Administration with the passage of the One Big Beautiful Bill Act, signed into law on July 4, 2025, which expanded the orphan exemption in the IRA and limited the availability of Medicaid and Medicare benefits, among other 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Trump Administration has also continued the prioritization of reducing drug prices and effectuating broader industry reform. Most prominently, the Trump Administration has taken various actions to facilitate most-favored-nation (“MFN”) pricing for pharmaceuticals; this concept entails pharmaceutical manufacturers selling prescription drug products at the lowest price made available for the same or equivalent product in certain comparable countries abroad. For example, on May 12, 2025, President Trump issued an Executive Order titled “Delivering Most-Favored-Nation Prescription Drug Pricing to American Patients,” which, among other things, ordered the Secretary of Health &amp; Human Services (“HHS”) to communicate MFN targets to pharmaceutical manufacturers, and advised of regulatory consequences if “significant progress towards most-favored-nation pricing” was not delivered. Since September 2025, the Administration has also announced its entrance into deals with pharmaceutical manufacturers to implement MFN pricing initiatives. Additionally, in November 2025, the Centers for Medicare &amp; Medicaid Services (“CMS”) announced the GENErating cost Reductions for U.S. Medicaid (“GENEROUS”) Model, a voluntary model set to begin in 2026 to implement MFN pricing in Medicaid through states and pharmaceutical manufacturers’ entrance into supplemental rebate agreements. Under GENEROUS, participating manufacturers would provide supplemental rebates to state Medicaid agencies to approximate MFN pricing. In December 2025, CMS announced two proposed rules setting forth mandatory drug pricing models, the Global Benchmark for Efficient Drug Pricing (“GLOBE”) Model and the Guarding U.S. Medicare Against Rising Drug Costs (“GUARD”) Model, which would require the implementation of MFN pricing in Medicare Part B and Part D, respectively, through the replacement of inflation rebates under the IRA. As proposed, GLOBE and GUARD would apply to randomly selected geographic areas amounting to 25% of Medicare Part B and D beneficiaries.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populations, pharmaceutical manufacturers would be responsible for rebates when the price at which a product is sold in the United States exceeds MFN, if the MFN rebate amount would be greater than the inflation rebate the pharmaceutical manufacturer would otherwise owe under the IRA.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cannot predict how further developments of or changes to these laws and regulations will affect our business. The ultimate content, timing, or effect of any healthcare regulation, legislation, executive order, or other policy or the impact that the resulting changes may have on us is uncertain, but we expect there will continue to be legislative and regulatory proposals at the federal and state levels directed at containing or lowering the cost of health care.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we fail to comply with healthcare regulations, we could face substantial penalties and our business, prospects, operating results and financial condition could be adversely affected.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Certain federal and state healthcare laws and regulations pertaining to fraud and abuse and patients’ rights are applicable to our business even though we do not and will not control referrals of healthcare services. We could also be subject to patient privacy regulation by both the U.S. Government and the states in which we conduct our business. Our employees, independent contractors, consultants, commercial partners and vendors may engage in misconduct or other improper activities, including non-compliance with regulatory standards and requirements. The regulations that may affect our ability to operate include, without limitation: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even if the person does not have actual knowledge of the statute or specific intent to violate it;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federal False Claims Act, which prohibits, among other things, individuals or entities from knowingly presenting, or causing to be presented, false claims, or knowingly using false statements, to obtain payment from the U.S. Government;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federal criminal laws that prohibit executing a scheme to defraud any healthcare benefit program or making false statements relating to healthcare matters;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governmental program;</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federal transparency requirements under the ACA, including the provision commonly referred to as the Physician Payments Sunshine Act and its implementing regulations, which require applicable manufacturers of drugs, devices, biologics and medical supplies for which payment is available under Medicare, Medicaid, or the State Children’s Health Insurance Program to report annually to CMS information related to payments or other transfers of value made to certain health care professionals and teaching hospitals;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federal government price reporting laws, which require us to calculate and report complex pricing metrics in an accurate and timely manner to government programs;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federal consumer protection and unfair competition laws, which broadly regulate marketplace activities and activities that potentially harm consumers;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HIPAA, which governs the conduct of certain electronic healthcare transactions and protects the security and privacy of protected health information;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our operations are found to be in violation of any of the laws described above or any other governmental regulations that apply to us, we may be subject to penalties, including civil and criminal penalties, damages, fines, exclusion from participating in federal health care programs and the curtailment or restructuring of our operations. Any penalties, damages, fines, curtailment, exclusion, or restructuring of our operations could adversely affect our ability to operate our business, prospects, operating results and financial condition.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and fraud and abuse laws may prove costly.</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sell Symvess using arrangements that sometimes involve the consignment of inventory, which results in additional risk and uncertainty as to the viability of consigned inventory, inventory accounting, and tax consequences.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sell Symvess through our own sales force. In some situations, we store consigned inventory on site in refrigerators at hospitals or clinic facilities. Inventory management, revenue recognition, and inventory and receivables accounting are complicated by consignment arrangements. From the revenue recognition perspective, no revenue is recognized upon the placement of inventory into consignment, as we retain title and maintain the inventory on our balance sheet. For these products, revenue is recognized when we receive appropriate notification that the product has been used in a surgical procedure. If the FDA or any other regulatory authority determines that we are unable for any reason to distribute consigned inventory, either on account of the viability of that inventory or because of the withdrawal of necessary approvals or other qualifications allowing for the distribution and sale of that inventory, the value of that inventory may have to be written off and our balance sheet adjusted accordingly. If we are unable to track and maintain proper controls related to consigned inventory, we could experience difficulty in accurately managing and accounting for these consignment arrangements and any related tax implications, which may increase our operating expenses.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internal computer systems (including our LUNA200 manufacturing system) and those of third parties on which we rely, including our CROs and other contractors and consultants, are vulnerable to damage from computer viruses, unauthorized access, natural disasters, terrorism, war and telecommunication and electrical failures. These risks may be compounded as our information technology hardware ages. If such an event were to occur and cause interruptions in our operations, it could have a material adverse effect on our business operations, including a material disruption of our development program.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commercialization of Symvess or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We have previously been, and expect to remain, the target of cyber-attacks. Our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and our management of multiple third party service providers increases our operational complexity. If we fail to adequately monitor our third party service providers’ and partners’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performance, including for compliance with our agreements and regulatory and legal requirements, we may have to incur additional costs to correct errors, our reputation could be harmed or we could be subject to litigation, claims, legal or regulatory proceedings, inquiries or investigations. These risks may also be present if our third party service providers and partners use separate information systems that are not integrated with our systems and suffer a cybersecurity incident. As a result, we are subject to the risk that the activities associated with our third party service providers and partners will adversely affect our business, even if the cyber incident does not directly impact our systems or information.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we become more dependent on information technologies to conduct our operations, cyber incidents, including deliberate attacks, such as ransomware attacks, and attempts to gain unauthorized access to computer systems (including our LUNA200 manufacturing system)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the effect of these incidents has not historically been material to our results of operations, financial condition or prospects, cyber threats are persistent and constantly evolving. Such threats have increased in frequency, scope and potential impact in recent years, which increase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Moreover, if our data management systems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and penalties or incur costs that could harm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In the event of contamination or injury resulting from our use or production of hazardous materials, we could be held liable for any resulting damages even if we contract with a third party for their disposal, and any liability could exceed our resources. We also could incur significant costs associated with civil or criminal fines and penalties resulting from contamination or injury from our use or production of hazardous materials. Although we maintain workers’ compensation insurance to cover us for costs and expenses we may incur due to injuries to our employees resulting from the use or production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materials.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we may be required to incur substantial costs to comply with future environmental, health and safety laws and regulations. Compliance with such laws and regulations may divert resources away from our research, development and manufacturing efforts. Failure to comply with these laws and regulations also may result in substantial fines, penalties or other sanctions.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Failure to comply with health and data protection laws and regulations could lead to government enforcement actions (which could include civil or criminal penalties), private litigation and adverse publicity and could negatively affect our operating results and business.</w:t>
      </w:r>
    </w:p>
    <w:p>
      <w:pPr>
        <w:pStyle w:val="TextBody"/>
        <w:bidi w:val="0"/>
        <w:spacing w:before="200" w:after="283"/>
        <w:jc w:val="left"/>
        <w:rPr>
          <w:rFonts w:ascii="Times New Roman" w:hAnsi="Times New Roman"/>
          <w:sz w:val="20"/>
        </w:rPr>
      </w:pPr>
      <w:r>
        <w:rPr>
          <w:rFonts w:ascii="Times New Roman" w:hAnsi="Times New Roman"/>
          <w:color w:val="231F20"/>
          <w:sz w:val="20"/>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w:t>
      </w:r>
      <w:r>
        <w:rPr>
          <w:rFonts w:ascii="Times New Roman" w:hAnsi="Times New Roman"/>
          <w:i/>
          <w:color w:val="231F20"/>
          <w:sz w:val="20"/>
        </w:rPr>
        <w:t>e.g.</w:t>
      </w:r>
      <w:r>
        <w:rPr>
          <w:rFonts w:ascii="Times New Roman" w:hAnsi="Times New Roman"/>
          <w:color w:val="231F20"/>
          <w:sz w:val="20"/>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including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International data protection laws, including Regulation 2016/679, known as the General Data Protection Regulation (“GDPR”), may also apply to health-related and other personal information obtained outside of the United States. The GDPR increased our responsibility and liability in relation to personal data that we process, and we may be required to put in place additional mechanisms to ensure compliance with the EU data protection rules (which also apply in the European Economic Area, or “EEA”) data protection rules. Likewise, after the United Kingdom’s (“UK”) separation from the EU, the UK retained the GDPR in UK law, which sits alongside the amended version of the Data Protection Act 2018, both of which have been recently modified by the Data (Use and Access) Act 2025. The EU adopted an adequacy decision so personal data can be transferred from the EU to the UK, which remains in force. Similarly, the UK deems transfers of personal data to the EU to be adequately protected. However, going forward, the EU and UK’s data protection rules could diverge, and data transfers may not be possible and/or new arrangements may need to be put in place. In particular, it is unclear when and to what extent the UK regime will begin diverging from the GDPR and how data transfers to and from the UK will be regulated in the future.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California enacted the California Consumer Privacy Act (“CCPA”), which creates individual privacy rights for California consumers (as defined in the law) and places increased privacy and security obligations on entities handling personal data of consumers or households, and the CCPA was supplemented by the California Consumer Rights Act (“CPRA”). There are a number of other states that have considered similar privacy proposals, with states like Virginia and Colorado, among others, enacting their own privacy laws. Some states are also considering consumer health data privacy laws, with states like Washington and Nevada enacting such laws. In addition, the use of pixels and other website technologies increasingly are attracting attention from privacy regulators and private litigants, including under theories involving federal and state wiretap laws. These privacy laws may impact our business activities and exemplify the vulnerability of our business to the evolving regulatory environment related to personal data.</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Further, the U.S. Department of Justice final rule implementing Executive Order 14117 (“Preventing Access to American’s Bulk Sensitive Personal Data and United States Government-Related Data by Countries of Concern”) has taken effect, and it prohibits or restricts certain transactions involving access by “countries of concern” or “covered persons” to “government-related data” or “bulk U.S. sensitive personal data.” The final rule imposes certain diligence, security, and audit record-keeping obligations, among other requirements which could impact our business activities.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or the third parties upon which we depend may be adversely affected by natural disasters, and our business continuity and disaster recovery plans may not adequately protect us from a serious disaster.</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Natural disasters such as hurricanes could severely disrupt our operations and have a material adverse effect on our business, prospects, operating results and financial condition. In addition, flooding, lightning strikes, meteor strikes, and polar vortices could affect our building operations. If a natural disaster, power outage or other unforeseen event occurred that prevented us from using all or a significant portion of our headquarters, that damaged our critical infrastructure, such as our in-house manufacturing facility, or that otherwise significantly disrupted our operations, it may be difficult or, in certain cases, impossible for us to continue our business for a substantial period of time. The disaster recovery and business continuity plans we have in place currently may prove inadequate in the event of a natural disaster or similar event. We may incur substantial expenses as a result of any natural disaster, which could have a material adverse effect on our business.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are subject to anti-corruption and a variety of other laws governing our international operations. If we fail to comply with these laws, we could be subject to, among other things, civil or criminal penalties, other sanctions and remedial measures, and reputational damage, which could adversely affect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operations are subject to anti-corruption laws, including the U.S. Foreign Corrupt Practices Act (“FCPA”), the U.K. Bribery Act and other anti-corruption laws. Anti-corruption laws are interpreted broadly and prohibit companies and their employees, agents, contractors, and partners from authorizing, promising, offering, or providing, directly or indirectly, improper payments or anything else of value to recipients in the public or private sector. We are conducting certain of our trials at a number of trial sites around the world. Certain of these jurisdictions pose a risk of potential FCPA violations, and we have relationships with third parties, including government-affiliated hospitals and universities, whose actions could potentially subject us to liability under the FCPA or local anti-corruption laws.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also subject to other laws and regulations governing our international operations, including regulations administered by the U.S. Department of Commerce’s Bureau of Industry and Security, the U.S. Department of the Treasury’s Office of Foreign Assets Control, and various non-U.S. government entities, including applicable economic sanctions on countries and persons, customs requirements, currency exchange regulations and transfer pricing regulations.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we fail to comply with applicable anti-corruption laws and other legal requirements, we may become subject to criminal and civil penalties, disgorgement and other sanctions and remedial measures, including the loss of export or import privileges and debarment, and face substantial legal expenses. Likewise, even an investigation by U.S. or foreign authorities of potential violations of such laws could damage our reputation. In either case, our business, prospects, operating results and financial condition could be adversely affected. Under certain circumstances, we could also be held liable for the activities of our employees, contractors, and partners that violate anti-corruption laws, even if we do not explicitly authorize or have actual knowledge of such activities. Even allegations of such violations could potentially damage our reputation and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ability to successfully commercialize Symvess or our product candidates, if approved, may be impaired if we are unable to obtain and maintain effective intellectual property rights for our proprietary scientific technology platform, Symvess and our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success depends in large part on our and our licensors’ ability to obtain and maintain patent and other intellectual property protection in the United States and in other countries with respect to our proprietary scientific technology platform and products. We have sought to protect our proprietary position by filing patent applications in the United States and abroad related to our novel technologies and product candidates that we and/or our licensors view as important to our business. This process is expensive and time-consuming, and we and our licensors may not be able to file and prosecute all necessary or desirable patent applications at a reasonable cost or in a timely manner. It is also possible that we and/or our licensors will fail to identify patentable aspects of our research and development output before it is too late to obtain patent protection. In some circumstances, we may not have the right to control the preparation, filing and prosecution of patent applications, or to maintain the patents or enforce the patents, covering technology or products that we license from third parties. Our existing patents and any future patents and the existing and any future licenses to third-party patents we obtain may not be sufficiently broad to prevent others from using our technologies or from developing competing products and technologies.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patent position of biotechnology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our and our licensors’ patent rights are highly uncertain. Additionally, changes in either the patent laws or interpretation of the patent laws in the United States and other countries may diminish the value of our owned or licensed patents or narrow the scope of our patent protection. The laws of foreign countries may not protect our rights to the same extent as the laws of the United States.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Even if our owned and licensed patent applications issue as patents, they may not issue in a form that will provide us with any meaningful protection, prevent competitors from competing with us or otherwise provide us with any competitive advantage.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Our competitors may be able to circumvent our owned or licensed patents by developing similar or alternative technologies or products in a non-infringing manner. The issuance of a patent is not conclusive as to its scope, validity or enforceability, and our owned and licensed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future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 patent protection we obtain for Symvess or our product candidates may not be sufficient enough to provide us with any competitive advantage or our owned or licensed patents may be challenged.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some instances, agreements through which we license patent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Moreover, some of our in-licensed patents and patent applications are, and our future owned and licensed patents may be, co-owned with third parties. If we are unable to obtain an exclusive license to any such third-party co-owners’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interest in any future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or extensions.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Pending patent applications cannot be enforced against third parties practicing the technology claimed in such applications unless and until a patent issues from such applications. For applications filed on or after March 16, 2013 in the United States, the first to file a patent application is generally entitled to the patent, assuming the other requirements for patentability are met.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Prior to March 16, 2013, however,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owned or licensed patents or applications that were filed on or before March 15, 2013, an interference proceeding in the United States can be initiated by such third parties to determine who was the first to invent any of the subject matter covered by the patent claims of such owned or licensed patent applications. If third parties have filed such prior applications after March 15, 2013, a derivation proceeding in the United States can be initiated by such third parties to determine whether our owned or licensed invention was derived from theirs.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owned or licensed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(“USPTO”), or to other patent offices around the world. Alternately or additionally, we may become involved in post-grant review procedures, oppositions, derivation proceedings, </w:t>
      </w:r>
      <w:r>
        <w:rPr>
          <w:rFonts w:ascii="Times New Roman" w:hAnsi="Times New Roman"/>
          <w:i/>
          <w:color w:val="231F20"/>
          <w:sz w:val="20"/>
        </w:rPr>
        <w:t xml:space="preserve">ex parte </w:t>
      </w:r>
      <w:r>
        <w:rPr>
          <w:rFonts w:ascii="Times New Roman" w:hAnsi="Times New Roman"/>
          <w:color w:val="231F20"/>
          <w:sz w:val="20"/>
        </w:rPr>
        <w:t xml:space="preserve">reexaminations, </w:t>
      </w:r>
      <w:r>
        <w:rPr>
          <w:rFonts w:ascii="Times New Roman" w:hAnsi="Times New Roman"/>
          <w:i/>
          <w:color w:val="231F20"/>
          <w:sz w:val="20"/>
        </w:rPr>
        <w:t xml:space="preserve">inter partes </w:t>
      </w:r>
      <w:r>
        <w:rPr>
          <w:rFonts w:ascii="Times New Roman" w:hAnsi="Times New Roman"/>
          <w:color w:val="231F20"/>
          <w:sz w:val="20"/>
        </w:rPr>
        <w:t>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Pending and future patent applications may not result in patents being issued that protect our business, in whole or in part, or which effectively prevent others from commercializing competitive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Competitors may also be able to design around our owned or licensed patents. Changes in either the patent laws or interpretation of the patent laws in the United States and other countries may diminish the value of our owned or licensed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Any such developments could have a material adverse effect on our ability to generate revenue.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Issued patents that we have or may obtain or license may not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Our competitors may also seek approval to market their own products similar to or otherwise competitive with our products. In these circumstances, we may need to defend or assert our owned or licensed patents, or both, including by filing lawsuits alleging patent infringement. In any of these types of proceedings, a court or other agency with jurisdiction may find our owned or licensed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become involved in lawsuits to protect or enforce our patents, which could be expensive, time-consuming and unsuccessful.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Competitors may infringe, misappropriate or violate our owned or licensed patents or other intellectual property. To counter infringement or unauthorized use, we may be required to file infringement claims, which can be expensive and time-consuming. In addition, in an infringement proceeding, a court may decide that a patent of ours is invalid or unenforceable, in whole or in part. There is also a risk that, even if the validity of such patents is upheld, the court will construe the patent’s claims narrowly and refuse to stop the other party from using the technology at issue on the grounds that our owned or licensed patents do not cover such technology. The standards that courts use to interpret patents are not always applied predictably or uniformly and can change, particularly as new technologies develop. As a result, we do not know how much protection, if any, will be given to our owned or licensed patents if we attempt to enforce them and they are challenged in court. An adverse result in any litigation proceeding could put one or more of our owned or licensed patents at risk of being invalidated or interpreted narrowly.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Inequitable conduct is frequently raised as a defense during intellectual property litigation. It is believed that all parties involved in the prosecution of our patent applications have complied with their duties of disclosure in the course of prosecuting our patent applications; however, it is possible that legal claims to the contrary could be asserted if we were engaged in intellectual property litigation, and the results of any such legal claims are uncertain due to the inherent uncertainty of litigation. If a court determines that any party involved in the prosecution of our owned or licensed patents failed to comply with its duty of candor, the subject patent could be held to be unenforceable.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other legal proceedings may cause us to incur significant expenses and may also absorb significant management time. Uncertainties resulting from our participation in patent litigation or other proceedings could have a material adverse effect on our business.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Third parties may initiate legal proceedings alleging that we are infringing, misappropriating or otherwise violating their intellectual property rights, the outcome of which would be uncertain and could harm our business, prospects,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Third parties may assert infringement, misappropriation or other claims against us, or other parties we have agreed to indemnify, based on existing third-party patents or patents that may be granted in the future as well as other intellectual property rights. There may be existing third-party patents or patent applications covering aspects of our technology. Furthermore, because patent applications are published sometime after filing, and because applications can take several years to issue, there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Because of the inevitable uncertainty in intellectual property litigation, we could lose a patent infringement or other action asserted against us regardless of our perception of the merits of the case. If we are found to infringe upon, misappropriate or otherwise violate a third party’s intellectual property rights, we could be required to obtain a license from such third party to continue developing and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implicated technology or product. In addition, in any such proceeding or litigation, we could be found liable for monetary damages, which could be significant, including treble damages and attorneys’ fees, if we are found to have willfully infringed a patent. A finding of infringement, misappropriation or that we otherwise violated intellectual property rights could prevent us from commercializing Symvess or our product candidates or force us to cease some or all of our business operations.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we fail to comply with our obligations in our intellectual property licenses with third parties, we could lose license rights that are important to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a party to intellectual property license agreements with third parties. For example, we have licenses with each of Duke University and Yale University for patents associated with our proprietary technology, among others, and may enter into additional license agreements in the future. 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platform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Further, the agreements under which we currently license intellectual property or technology from third parties are complex, and certain provisions in such agreements may be susceptible to multiple interpretations. Accordingly, disputes may arise between us and our licensor, our licensor and its licensors, regarding intellectual property subject to a license agreement, including those relating to:</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scope of rights, if any, granted under the license agreement and other interpretation-related issues;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whether and the extent to which our technology and processes infringe on intellectual property of the licensor that is not subject to the license agreement;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whether our licensor or its licensor had the right to grant the license agreement;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whether third parties are entitled to compensation or equitable relief, such as an injunction, for our use of the intellectual property without their authorization;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right to sublicense patent and other rights to third parties under collaborative development relationships;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whether we are complying with our obligations with respect to the use of the licensed technology in relation to our development and commercialization of Symvess and our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involvement in the prosecution of the licensed patents and our licensors’ overall patent enforcement strategy;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allocation of ownership of inventions and know-how resulting from the joint creation or use of intellectual property by our licensors and by us and our partners;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amounts of royalties, milestones or other payments due under the license agreement.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Symvess or the other affected product candidates. If we or any such licensors fail to adequately protect this intellectual property, our ability to commercialize Symvess or our product candidates, if approved, could suffer. Any disputes with our licensors or any termination of the licenses on which we depend could have a material adverse effect on our business, financial condition, results of operations and prospects.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be successful in obtaining necessary intellectual property rights to product candidates for our development pipeline through acquisitions and in-licenses.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Although we intend to develop product candidates through our own internal research, we may need to obtain additional licenses from others to advance our research or allow commercialization of our product candidates. However, we may be unable to acquire or in-license intellectual property rights relating to, or necessary for, any such product candidates from third parties on commercially reasonable terms or at all. In that event, we may be unable to develop or commercialize such product candidates. We may also be unable to identify additional, future product candidates that we believe are an appropriate strategic fit for our company and intellectual property relating to, or necessary for, such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be unable to protect the confidentiality of our trade secrets, particularly in light of our reliance on third parties, which increases the possibility that such trade secrets will be disclosed or misappropriated, thus harming our business and competitive position.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addition to our patented technology and products, we rely upon trade secrets, including unpatented know-how, technology and other proprietary information to develop and maintain our competitive position, particularly with respect to our manufacturing process. We seek to protect our trade secrets, in part, through confidentiality agreements with our employees, collaborators and consultants. We seek to have agreements with our employees and selected consultants that obligate them to assign any inventions created during their tenure with us. However, we may not obtain these agreements in all circumstances and the assignment of intellectual property under such agreements may not be self-executing. If the employees, collaborators or consultants that are parties to these agreements breach or violate their respective terms, we may not have adequate remedies for any such breach or violation. Our trade secrets could also be misappropriated by our competitors. Enforcing a claim that a party illegally disclosed or misappropriated a trade secret is difficult, expensive, time-consuming and potentially distracting,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such a party from using that technology or information to compete with us. If our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secrets are disclosed to or misappropriated or independently developed by a third party, it would harm our ability to protect our rights and could materially harm our business and competitive position.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Third parties may assert that our employees or consultants have wrongfully used or disclosed confidential information or misappropriated trade secrets.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employ individuals or engage consultants that previously worked with other organizations, including our competitors or potential competitors. Although we seek to ensure that such persons do not use the proprietary information or know-how of others in their work for us, we may be subject to claims that we or they, or both,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we may lose valuable intellectual property rights or personnel in addition to paying monetary damages or a settlement. Even if we are successful in defending against such claims, litigation could result in substantial costs and be a distraction to management and other employees.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Symvess or our product candidates for an adequate amount of time.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ATEVs, including Symvess, are obtained, once the patent life has expired, we may face competition, including from other competing technologies. As a result, our owned and licensed patent portfolio may not provide us with sufficient rights to exclude others from commercializing products similar or identical to ours.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Filing, prosecuting, maintaining, defending and enforcing patents on Symvess or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countries outside the United States, or from selling or importing products made using our inventions in and into or other jurisdictions. Competitors may use our technologies in jurisdictions where we have not obtained patent protection to develop their own products and may also export infringing products to territories where we have patent protection, but enforcement rights are not as strong as those in the United States. These products may compete with our products, to the extent approved, and our owned or licensed patents or other intellectual property rights may not be effective or sufficient to prevent them from doing so.</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licensed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owned or licensed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patents laws, geopolitical dynamics, including Russia’s incursion into Ukraine, may impact our ability to obtain and enforce patents in particular jurisdictions. If we are unable to obtain and enforce patents as needed in particular markets, our ability to exclude competitors in those markets may be reduced.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Some of our internal intellectual property and most of our in-licensed intellectual property has been generated under U.S. Government grants and contracts that trigger certain obligations and U.S. Government rights and thus is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Some of our internal intellectual property and most of our in-licensed intellectual property has been generated under U.S. Government grants and contracts that trigger certain obligations and U.S. Government rights under federal statutes and regulations, including the Bayh-Dole Act of 1980 and the Federal Technology Transfer Act of 1986. For example, the U.S. Government has a non-exclusive, non-transferable, irrevocable worldwide license to inventions conceived or first actually reduced to practice in the performance of a U.S. Government agreement. In addition, the U.S. Government has certain “march-in” rights to require us to grant exclusive, partially exclusive, or non-exclusive licenses to such inventions for the benefit of a third party if the U.S. Government determines that: (i) action is necessary to alleviate health or safety needs not reasonably met by us, our assignees, our licensees, or, in some cases, our licensors, (ii) action is necessary due to noncompliance with a U.S.-based manufacturing requirement applicable to exclusive licenses, (iii) action is necessary to meet requirements for public use specified by federal regulations and such requirements are not reasonably satisfied by us, our assignees, our licensees, and, in some cases, our licensors, and (iv) with respect to inventions made under funding agreements, adequate steps have not been taken to achieve practical application of the invention. The U.S. Government also has the right to take title to these inventions if we, or the applicable licensor, fails to disclose, elect title to, file or prosecute a patent application for, or defend or obtain a patent covering such inventions within time limits specified in particular funding agreements. The U.S. Government also has varying rights to use and disclose information, including copyrighted works, generated or delivered under a U.S. Government agreement depending on the terms of the agreement and the nature of the information. Intellectual property generated under a U.S. Government agreement is also subject to certain reporting requirements, compliance with which may require us or the applicable licensor to expend substantial resources. In addition, when inventions that are conceived or first actually reduced to practice under a U.S. Government funding agreement are exclusively licensed, products embodying or produced through the use of such inventions must be manufactured substantially in the United States. This U.S.-based manufacturing requirement may limit our ability to contract with non-U.S. companies to produce a covered product, although this requirement can be waived in certain circumstances. To the extent that any of our licensors’ current or future intellectual property is generated in the performance of U.S. Government grants or contracts, these requirements may apply to such intellectual property.</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marks of interest and our business may be adversely affected.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Intellectual property rights do not necessarily address all potential threats.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others may be able to make products that are similar to Symvess or any of our product candidates we may develop or utilize similar technology but that are not covered by the claims of the patents that we own or license or may own or license in the future;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or our current or future licensors might not have been the first to make the inventions covered by the issued patent or pending patent application that we own or license or may own or license in the future;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or our current or future licensors might not have been the first to file patent applications covering certain of our or their inventions;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others may independently develop similar or alternative technologies or duplicate any of our technologies without infringing our owned or licensed intellectual property rights;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it is possible that our and our licensors’ pending owned or licensed patent applications or those that we may own or license in the future will not lead to issued patents;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issued patents that we hold rights to may be held invalid or unenforceable, including as a result of legal challenges by our competitors;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not develop additional proprietary technologies that are patentable;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patents of others may harm our business;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choose not to file a patent in order to maintain certain trade secrets or know-how, and a third party may subsequently file a patent covering such intellectual property.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Should any of these events occur, they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Business Matters and Our Ability to Manage Growth</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future success depends on our ability to retain our key employees, consultants and advisors and to attract, retain and motivate qualified personnel.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highly dependent on the research and development, clinical, regulatory, financial, commercial, and manufacturing expertise of the principal members of our management, scientific and clinical teams. The loss of the services of our executive officers or other key employees could impede the achievement of our research, development and commercialization objectives and seriously harm our ability to successfully implement our business strategy. Furthermore, losing or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our product candidates. Competition to hire from this limited pool is intense. We also experience competition for the hiring of scientific and clinical personnel from public and private universities and research institutions. In addition, we rely on consultants and advisors, including scientific, commercial and clinical advisors, to assist us in formulating our research and development and commercialization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expect to increase the size of our workforce in the future, and we may encounter difficulties in managing this growth, which could harm our operations.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we had 184 employees. As we move forward in our efforts to commercialize Symvess and our product candidates, if approved, we expect to continue to experience significant growth in the number of our employees and the scope of our operations, particularly in the areas of development, regulatory affairs, manufacturing, sales and marketing and quality and compliance and support functions. Due to our limited financial resources, we may not be able to effectively manage the expansion of our operations, maintain competitive compensation packages, or recruit and train additional qualified personnel. The expansion of our operations may lead to significant costs and may divert our management and business development resources. Any inability to manage this growth effectively could delay the execution of our business plans or harm our operations.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Risks Related to Ownership of Our Securities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 price of our common stock may be volatile.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price of our common stock may fluctuate due to a variety of factors, including:</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actual or anticipated fluctuations in our quarterly and annual results and those of other public companies in our industry;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mergers and strategic alliances in the industry in which we operate;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market prices and conditions in the industry in which we operate;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publication of negative news articles or other media releases which could affect public opinion about our products or result in increased regulatory scrutiny of our product and product candidates;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changes in government regulation;</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potential or actual military conflicts or acts of terrorism;</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announcements concerning the Company or our competitors;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general state of the securities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These market and industry factors may materially reduce the market price of our common stock, regardless of our operating performance.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Reports published by analysts, including projections in those reports that differ from our actual results, could adversely affect the price and trading volume of our common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Securities research analysts establish and publish their own periodic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the Company downgrades our stock or publishes inaccurate or unfavorable research about our business, our stock price could decline. If one or more of these analysts ceases coverage of the Company or fails to publish reports on the Company regularly, our stock price or trading volume could decline.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issue additional shares of common stock or other equity securities without stockholder approval, which would dilute your ownership interests and may depress the market price of our common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we had warrants outstanding to purchase up to an aggregate of 42,569,928 shares of our common stock and options outstanding to purchase up to an aggregate of 19,990,071 shares of our common stock. Under the Humacyte, Inc. 2021 Long-Term Incentive Plan (the “2021 Plan”) and the Humacyte, Inc. 2021 Employee Stock Purchase Plan (the “ESPP”), as of December 31, 2025 we also have the ability to issue 4,581,530 shares and 0 shares, respectively. In addition, the aggregate number of shares under the 2021 Plan and the ESPP will automatically increase on January 1 of each year, in an amount equal to 5% and 1%, respectively, of the number of shares of our capital stock outstanding on December 31 of the preceding year, unless our board of directors (the “Board”) acts prior to January 1 of a given year to provide that the increase for such year will be a lesser number. We may also issue additional shares of common stock or other equity securities of equal or senior rank in the future in connection with, among other things, future acquisitions or repayment of outstanding indebtedness, without stockholder approval, in a number of circumstances.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issuance of additional shares of common stock or other equity securities of equal or senior rank would have the following effects: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existing stockholders’ proportionate ownership interest in the Company will decrease;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amount of cash available per share, including for payment of dividends in the future, may decrease;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relative voting strength of each previously outstanding share of common stock may be diminished;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market price of shares of our common stock may decline.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Because we do not anticipate paying any cash dividends on our common stock in the foreseeable future, capital appreciation, if any, will be your sole source of gains and you may never receive a return on your investment.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intend to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is limited by our Loan Agreement and may be limited in the future by covenants on any existing and future outstanding indebtedness we or our subsidiaries incur. As a result, you may not receive any return on an investment in our securities unless you sell your securities for a price greater than that which you paid for 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 Public Warrants may not be in the money in the future, and they may expire worthless, and the terms of the Public Warrants may be amended in a manner adverse to a holder if holders of at least 50% of the then outstanding Public Warrants approve of such amendment.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“Warrants”). The Warrants were issued in registered form under a warrant agreement between Continental Stock Transfer &amp; Trust Company, as warrant agent, and our predecessor AHAC.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holders of at least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redeem your unexpired Public Warrants prior to their exercise at a time that is disadvantageous to you, thereby making your Public Warrants worth less than they would be if you held and exercised them at a later time.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the ability to redeem outstanding Public Warrants prior to their expiration, at a price of $0.01 per Warrant, provided that the last reported sales price of our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holders thereof.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value received upon exercise of the Public Warrants (i) may be less than the value the holders would have received if they had exercised their Public Warrants at a later time where the underlying share price is higher and (ii) may not compensate the holders for the value of the Public Warrants.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Private Placement Warrants are not subject to the same risk of redemption as the Public Warrants as the Private Placement Warrants are not redeemable so long as they are held by the Sponsor, the underwriters of AHAC’s initial public offering or their permitted transferees. If the Private Placement Warrants are held by holders other than the Sponsor, the underwriters or their permitted transferees, the Private Placement Warrants will be redeemable by us.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have derivative securities that are accounted for as assets and liabilities and the changes in value of such derivative securities could have a material effect on our financial results.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Included on the Company’s consolidated balance sheets as of December 31, 2025 are derivative liabilities related to the Contingent Consideration, the Private Placement Warrants, warrants issued in our October 2024, November 2024, and October 2025 registered direct offerings (the “Registered Direct Offerings”), a warrant issued to Avenue on December 15, 2025 in connection with the Loan Agreement, a derivative liability related to the conversion feature of the Loan Agreement, and a derivative asset related to our common stock purchase agreement, dated September 24, 2024, with Lincoln Park Capital Fund, LLC (“Lincoln Park”) for an equity line financing (the “Common Stock Purchase Agreement”). Accounting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Codification 815, Derivatives and Hedging (“ASC 815”), provides for the remeasurement of the fair value of such derivatives at each balance sheet date, with a resulting non-cash gain or loss related to the change in the fair value being recognized in earnings in the consolidated statements of operations and comprehensive loss.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Contingent Consideration, the Private Placement Warrants and the warrants issued in our Registered Direct Offerings each reporting period and that the amount of such gains or losses could be material.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business could be adversely impacted by inflation.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Increases in inflation may have an adverse effect on our business. Current and future inflationary effects may be driven by, among other things, supply chain disruptions and governmental stimulus or fiscal policies. Continuing increases in inflation could impact the overall demand for our products, our costs for labor, material and services, and the margins we are able to realize on our products, all of which could have an adverse impact on our business, financial position, results of operations and cash flows. Inflation may also result in higher interest rates, which in turn would result in higher interest expense related to our variable rate indebtedness and any borrowings we undertake to refinance existing fixed rate indebtedness.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and may continue to be subject to legal and other proceedings that could cause us to incur significant expenses, divert our management’s attention, and materially harm our business, financial condition, and operating results.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As disclosed in </w:t>
      </w:r>
      <w:r>
        <w:rPr>
          <w:rFonts w:ascii="Times New Roman" w:hAnsi="Times New Roman"/>
          <w:i/>
          <w:color w:val="231F20"/>
          <w:sz w:val="20"/>
        </w:rPr>
        <w:t>Legal Proceedings</w:t>
      </w:r>
      <w:r>
        <w:rPr>
          <w:rFonts w:ascii="Times New Roman" w:hAnsi="Times New Roman"/>
          <w:color w:val="231F20"/>
          <w:sz w:val="20"/>
        </w:rPr>
        <w:t>, we and our affiliates currently are subject to various lawsuits and demands. These proceedings, as well as any litigation, government inquiries or investigations, regulatory proceedings, as well as personal injury or class action claims and lawsuits, and securities, commercial and intellectual property infringement matters that we could face in the future, can be protracted and expensive, and have results that are difficult to predict. Determining reserves for pending litigation and other legal and regulatory matters requires significant judgment, and there can be no assurance that our expectations or estimates will prove correct. Adverse outcomes with respect to any of these legal proceedings may result in significant settlement costs or judgments, penalties and fines. Even if these proceedings are resolved in our favor, the time and resources necessary to resolve them, or public scrutiny related to them, could divert the resources of our management and require significant expenditures.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U.S. government policies under the Trump administration, including increased tariffs and reductions in federal research funding, could adversely affect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Ongoing policy actions by the Trump administration, including the imposition of new tariffs on imported materials and goods from many foreign countries, and the temporary freeze on federal grants and loans, may have an adverse impact on our business. Increased tariffs on critical raw materials, components, and finished goods could raise our production costs, disrupt our supply chain, and reduce our competitiveness in the marketplace. Additionally, the administration's halt on certain federal research grants may negatively impact our industry. Any prolonged reductions in such funding could slow innovation, delay collaborations, and limit the adoption of new technologies that contribute to our business growth. If these or similar policy changes continue or expand, we may face increased costs. Although we cannot predict the full extent of these impacts, any prolonged disruption could adversely affect our business, financial condition, and results of operations.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may be forced to write-down or write-off assets, restructure our operations, or incur impairment or other charges that could result in losses. Even though these charges may be non-cash items and may not have an immediate impact on our liquidity, the fact that we may report charges of this nature could contribute to negative market perceptions about our securities. In addition, charges of this nature may cause us to be unable to obtain future financing on favorable terms or at all. Accordingly, a stockholder could suffer a reduction in the value of their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The obligations associated with being a public company involve significant expenses and will require significant resources and management attention, which may divert from our business operations.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Our entire management team and many of its other employees devotes substantial time to compliance.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These rules and regulations result in our incurring substantial legal and financial compliance costs and will make some activities more time-consuming and costly. For example, these rules and regulations, and other factors, may make it more difficult and more expensive in the future for Humacyte to obtain director and officer liability insurance. As a result, it may be difficult for us to attract and retain qualified people to serve on the Board or committees of the Board or as executive officers.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are a “smaller reporting company” within the meaning of the rules adopted by the SEC, and if we take advantage of certain exemptions from disclosure requirements available to smaller reporting companies, this could make our securities less attractive to investors and may make it more difficult to compare our performance with other public companies.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are a “smaller reporting company” as defined under the Exchange Act. Smaller reporting companies may take advantage of certain reduced disclosure obligations,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 To the extent we take advantage of such reduced disclosure obligations, it may also make comparison of our financial statements with other public companies difficult or impossible.</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If we fail to maintain an effective system of internal control over financial reporting, we may not be able to accurately report our financial results. As a result, stockholders could lose confidence in our financial and other public reporting, which would harm our business and the trading price of our common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Effective internal control over financial reporting is necessary for us to provide reliable financial reports. Any failure to implement new or improved controls necessary to maintain effective internal control over financial reporting, or difficulties encountered in their implementation, could cause us to fail to meet our reporting obligations.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any testing by us conducted in connection with Section 404 of the Sarbanes-Oxley Act, or our independent registered public accounting firm, may identify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Our failure to remediate any material weaknesses or failure to identify and address any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long as we are a non-accelerated filer and a “smaller reporting company” as defined in Rule 12b-2 of the Exchange Act,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deficiencies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Anti-takeover provisions in our Second Amended and Restated Certificate of Incorporation and under Delaware law could make an acquisition of the Company, which may be beneficial to our stockholders, more difficult, and may prevent attempts by our stockholders to replace or remove our current management.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Second Amended and Restated Certificate of Incorporation (the “Charter”) contains provisions that may delay or prevent an acquisition of the company or change in our management. These provisions may make it more difficult for stockholders to replace or remove members of the Board. Because the Board is responsible for appointing the members of the management team, these provisions could in turn frustrate or prevent any attempt by our stockholders to replace or remove our current management. In addition, these provisions could limit the price that investors might be willing to pay in the future for shares of our common stock. Among other things, these provisions include: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limitation of the liability of, and the indemnification of, our directors and officers;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provisions that permit only (i) the chairperson of the Board, (ii) our chief executive officer or (iii) a majority of our Board to call special meetings of stockholders and therefore do not permit our stockholders to call stockholder meetings;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prohibition on actions by our stockholders by written consent;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ability of the Board to issue preferred stock without stockholder approval.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Moreover, because we are incorporated in Delaware, we are governed by the provisions of Section 203 of the Delaware General Corporation Law (the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our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Our Charter provides that, unless we consent in writing to the selection of an alternative forum,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Charter provides that the Court of Chancery of the State of Delaware will be the exclusive forum for the following types of actions or proceedings under Delaware statutory or common law:</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derivative action or proceeding brought on our behalf;</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action asserting a breach of fiduciary duty;</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action asserting a claim against us arising under the DGCL, our Charter or our amended and restated bylaws (the “Bylaws”);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action or proceeding asserting a claim as to which the DGCL confers jurisdiction upon the Court of Chancery of the State of Delaware;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any action asserting a claim against us that is governed by the internal affairs doctrine or otherwise related to our internal affairs.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This exclusive forum provision may limit a stockholder’s ability to bring a claim in a judicial forum that it finds favorable for disputes with us or any of our directors, officers, other employees or stockholders, which may discourage lawsuits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This exclusive forum provision will not apply to suits brought to enforce any liability or duty created by the Exchange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231F20"/>
          <w:sz w:val="20"/>
        </w:rPr>
      </w:pPr>
      <w:bookmarkStart w:id="8" w:name="unresolved_staff_comments"/>
      <w:bookmarkEnd w:id="8"/>
      <w:r>
        <w:rPr>
          <w:rFonts w:ascii="Times New Roman" w:hAnsi="Times New Roman"/>
          <w:b/>
          <w:color w:val="231F20"/>
          <w:sz w:val="20"/>
        </w:rPr>
        <w:t>Item 1B. Unresolved Staff Comments.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None.</w:t>
      </w:r>
    </w:p>
    <w:p>
      <w:pPr>
        <w:pStyle w:val="TextBody"/>
        <w:bidi w:val="0"/>
        <w:spacing w:before="200" w:after="283"/>
        <w:jc w:val="left"/>
        <w:rPr>
          <w:rFonts w:ascii="Times New Roman" w:hAnsi="Times New Roman"/>
          <w:b/>
          <w:color w:val="231F20"/>
          <w:sz w:val="20"/>
        </w:rPr>
      </w:pPr>
      <w:bookmarkStart w:id="9" w:name="cybersecurity"/>
      <w:bookmarkEnd w:id="9"/>
      <w:r>
        <w:rPr>
          <w:rFonts w:ascii="Times New Roman" w:hAnsi="Times New Roman"/>
          <w:b/>
          <w:color w:val="231F20"/>
          <w:sz w:val="20"/>
        </w:rPr>
        <w:t>Item 1C. Cybersecurity.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certain processes for assessing, identifying, and managing material risks from cybersecurity threats, which are integrated into our enterprise risk management processes. Specifically, we have processes for:</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b/>
          <w:color w:val="231F20"/>
          <w:sz w:val="20"/>
        </w:rPr>
        <w:t>Identifying and Managing Cybersecurity Risks</w:t>
      </w:r>
      <w:r>
        <w:rPr>
          <w:rFonts w:ascii="Times New Roman" w:hAnsi="Times New Roman"/>
          <w:color w:val="231F20"/>
          <w:sz w:val="20"/>
        </w:rPr>
        <w:t xml:space="preserve"> — We have implemented a cross-functional approach to assessing, identifying and managing material cybersecurity threats and incidents. We periodically review, assess, update and test our policies, standards, processes and practices in a manner intended to address cybersecurity threats and events. The results of such reviews, assessments and tests are evaluated by management and periodically reported to our Audit Committee of the Board of Directors, and our Board of Directors.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b/>
          <w:color w:val="231F20"/>
          <w:sz w:val="20"/>
        </w:rPr>
        <w:t>Technical Safeguards</w:t>
      </w:r>
      <w:r>
        <w:rPr>
          <w:rFonts w:ascii="Times New Roman" w:hAnsi="Times New Roman"/>
          <w:color w:val="231F20"/>
          <w:sz w:val="20"/>
        </w:rPr>
        <w:t xml:space="preserve"> — We have integrated cybersecurity into our overall information technology operations and designed our processes and systems to help protect our information assets and operations from internal and external cyber threats, protect employee and patient information from unauthorized access or attack as well as secure our networks and systems.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b/>
          <w:color w:val="231F20"/>
          <w:sz w:val="20"/>
        </w:rPr>
        <w:t>Incident Response and Recovery Planning</w:t>
      </w:r>
      <w:r>
        <w:rPr>
          <w:rFonts w:ascii="Times New Roman" w:hAnsi="Times New Roman"/>
          <w:color w:val="231F20"/>
          <w:sz w:val="20"/>
        </w:rPr>
        <w:t xml:space="preserve"> — To better facilitate our cybersecurity program, our cybersecurity team works collaboratively across our Company to implement programs designed to protect our information systems from cybersecurity threats and to promptly respond to any material cybersecurity incidents. We conduct regular tabletop exercises, including incident simulations to test these plans and ensure personnel are familiar with their roles and responsibilities in a response scenario.</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b/>
          <w:color w:val="231F20"/>
          <w:sz w:val="20"/>
        </w:rPr>
        <w:t>Third-Party Risk Management</w:t>
      </w:r>
      <w:r>
        <w:rPr>
          <w:rFonts w:ascii="Times New Roman" w:hAnsi="Times New Roman"/>
          <w:color w:val="231F20"/>
          <w:sz w:val="20"/>
        </w:rPr>
        <w:t xml:space="preserve"> — We maintain a risk-based approach to identifying and overseeing material cybersecurity threats presented by third parties and the systems of third parties that could adversely impact our business in the event of a material cybersecurity incident affecting those third-party systems.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b/>
          <w:color w:val="231F20"/>
          <w:sz w:val="20"/>
        </w:rPr>
        <w:t>Education and Awareness</w:t>
      </w:r>
      <w:r>
        <w:rPr>
          <w:rFonts w:ascii="Times New Roman" w:hAnsi="Times New Roman"/>
          <w:color w:val="231F20"/>
          <w:sz w:val="20"/>
        </w:rPr>
        <w:t xml:space="preserve"> — We provide training regarding cybersecurity threats as a means to equip our employees, directors and consultants with tools to make employees, directors and consultants aware of and to address cybersecurity threats, and to communicate our evolving information security policies, standards, processes and practices. We also use technology-based tools to mitigate cybersecurity risks and to bolster our employee-based cybersecurity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adjust our cybersecurity policies, standards, processes, and practices as necessary based on the information provided by our assessments, audits and reviews. Such processes include (i) procedural and technical safeguards, (ii) response plans, (iii) annual tests on our systems, (iv) incident simulations and (v) routine review of our cybersecurity policies and procedures to identify risks and improve our practices. We engage certain external cybersecurity firms to enhance our cybersecurity oversight. We include confidentiality provisions in all contracts with third-party service providers, and data protection provisions in certain contracts with third-party service providers where applicable, to help protect us and our employees and patients from any related vulnerabilities.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Board of Directors is responsible for exercising oversight of management’s identification and management of, and planning for, risks from cybersecurity threats. While the full Board of Directors has overall responsibility for risk oversight, the Board of Directors has delegated oversight responsibility related to risks from cybersecurity threats to the Audit Committee. The Audit Committee reports to the Board of Directors at least annually, and notifies the Board of Directors as necessary regarding significant new cybersecurity threats or incidents. The Audit Committee of our Board of Directors meets not less than annually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discuss our approach to overseeing cybersecurity threats with management, including with members of our internal cybersecurity team. Any material cybersecurity incidents are promptly reported by management to our Audit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use an internal management committee to run our information and technology function, comprised of information technology, finance, and legal employees, and led by our Vice President – Information Technology and Automation, and Chief Financial Officer, each of whom have experience managing the information and technology functions, and cybersecurity safeguards, at multiple prior companies. Through ongoing communications with this management committee, senior management is informed about and monitors the prevention, detection, mitigation and remediation of cybersecurity threats and incidents in real-time and reports such threats and incidents to the Audit Committee, when appropriate. Management updates the Audit Committee annually with an overview of our cybersecurity threat risk management and strategy processes. Members of the Audit Committee are also encouraged to regularly engage in ad hoc conversations with management on cybersecurity-related topics and discuss any updates to our cybersecurity risk management and strategy programs. The Audit Committee is notified between such updates regarding material new cybersecurity threats or incidents that meet pre-established reporting thresholds and any ongoing updates regarding any risk, as needed.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not identified any risks from cybersecurity threats, including as a result of any previous cybersecurity incidents, that have materially affected or are reasonably likely to materially affect our company, including our business strategy, results of operations or financial condition. However, as discussed under “Risk Factors” in Part I, Item 1A of this Annual Report on Form 10-K, cybersecurity threats could pose multiple risks to us. As cybersecurity threats become more frequent, sophisticated, and coordinated, it is reasonably likely that we will be required to expend greater resources to continue to modify and enhance our protective measures.</w:t>
      </w:r>
    </w:p>
    <w:p>
      <w:pPr>
        <w:pStyle w:val="TextBody"/>
        <w:bidi w:val="0"/>
        <w:spacing w:before="200" w:after="283"/>
        <w:jc w:val="left"/>
        <w:rPr>
          <w:rFonts w:ascii="Times New Roman" w:hAnsi="Times New Roman"/>
          <w:b/>
          <w:color w:val="231F20"/>
          <w:sz w:val="20"/>
        </w:rPr>
      </w:pPr>
      <w:bookmarkStart w:id="10" w:name="properties"/>
      <w:bookmarkEnd w:id="10"/>
      <w:r>
        <w:rPr>
          <w:rFonts w:ascii="Times New Roman" w:hAnsi="Times New Roman"/>
          <w:b/>
          <w:color w:val="231F20"/>
          <w:sz w:val="20"/>
        </w:rPr>
        <w:t>Item 2. Properties.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pStyle w:val="TextBody"/>
        <w:bidi w:val="0"/>
        <w:spacing w:before="200" w:after="283"/>
        <w:jc w:val="left"/>
        <w:rPr>
          <w:rFonts w:ascii="Times New Roman" w:hAnsi="Times New Roman"/>
          <w:b/>
          <w:color w:val="231F20"/>
          <w:sz w:val="20"/>
        </w:rPr>
      </w:pPr>
      <w:bookmarkStart w:id="11" w:name="legal_proceedings"/>
      <w:bookmarkEnd w:id="11"/>
      <w:r>
        <w:rPr>
          <w:rFonts w:ascii="Times New Roman" w:hAnsi="Times New Roman"/>
          <w:b/>
          <w:color w:val="231F20"/>
          <w:sz w:val="20"/>
        </w:rPr>
        <w:t>Item 3. Legal Proceedings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November 18, 2024, James A. Cutshall filed a putative class action lawsuit, captioned </w:t>
      </w:r>
      <w:r>
        <w:rPr>
          <w:rFonts w:ascii="Times New Roman" w:hAnsi="Times New Roman"/>
          <w:i/>
          <w:color w:val="000000"/>
          <w:sz w:val="20"/>
        </w:rPr>
        <w:t>Cutshall v. Humacyte, Inc., et al</w:t>
      </w:r>
      <w:r>
        <w:rPr>
          <w:rFonts w:ascii="Times New Roman" w:hAnsi="Times New Roman"/>
          <w:color w:val="000000"/>
          <w:sz w:val="20"/>
        </w:rPr>
        <w:t xml:space="preserve">., No. 1:24-cv-00954 (the “Securities Litigation”), against the Company and certain of the Company’s officers in the United States District Court for the Middle District of North Carolina. The complaint in the Securities Litigation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Complaint seeks a variety of relief, including unspecified compensatory damages, attorneys fees and costs. On January 31, 2025, the court appointed co-lead plaintiffs. On May 22, 2025, the co-lead plaintiffs filed the amended complaint in the Securities Litigation. The 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The court has yet to rule on the motion, which remains pending.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January 7 and 10, 2025, putative stockholders of the Company filed two verified stockholder derivative actions in the United States District Court for the Middle District of North Carolina, captioned </w:t>
      </w:r>
      <w:r>
        <w:rPr>
          <w:rFonts w:ascii="Times New Roman" w:hAnsi="Times New Roman"/>
          <w:i/>
          <w:color w:val="000000"/>
          <w:sz w:val="20"/>
        </w:rPr>
        <w:t>Silva v. Sebelius, et al</w:t>
      </w:r>
      <w:r>
        <w:rPr>
          <w:rFonts w:ascii="Times New Roman" w:hAnsi="Times New Roman"/>
          <w:color w:val="000000"/>
          <w:sz w:val="20"/>
        </w:rPr>
        <w:t>., No. 1:25-cv-00005 (the “</w:t>
      </w:r>
      <w:r>
        <w:rPr>
          <w:rFonts w:ascii="Times New Roman" w:hAnsi="Times New Roman"/>
          <w:i/>
          <w:color w:val="000000"/>
          <w:sz w:val="20"/>
        </w:rPr>
        <w:t>Silva</w:t>
      </w:r>
      <w:r>
        <w:rPr>
          <w:rFonts w:ascii="Times New Roman" w:hAnsi="Times New Roman"/>
          <w:color w:val="000000"/>
          <w:sz w:val="20"/>
        </w:rPr>
        <w:t xml:space="preserve"> Action”) and </w:t>
      </w:r>
      <w:r>
        <w:rPr>
          <w:rFonts w:ascii="Times New Roman" w:hAnsi="Times New Roman"/>
          <w:i/>
          <w:color w:val="000000"/>
          <w:sz w:val="20"/>
        </w:rPr>
        <w:t>Misko v. Niklason, et al</w:t>
      </w:r>
      <w:r>
        <w:rPr>
          <w:rFonts w:ascii="Times New Roman" w:hAnsi="Times New Roman"/>
          <w:color w:val="000000"/>
          <w:sz w:val="20"/>
        </w:rPr>
        <w:t>., No. 1:25-cv-00028 (the “</w:t>
      </w:r>
      <w:r>
        <w:rPr>
          <w:rFonts w:ascii="Times New Roman" w:hAnsi="Times New Roman"/>
          <w:i/>
          <w:color w:val="000000"/>
          <w:sz w:val="20"/>
        </w:rPr>
        <w:t>Misko</w:t>
      </w:r>
      <w:r>
        <w:rPr>
          <w:rFonts w:ascii="Times New Roman" w:hAnsi="Times New Roman"/>
          <w:color w:val="000000"/>
          <w:sz w:val="20"/>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claims that the defendants are responsible for any damages sustained by the Company as a result of the Securities Litigation. The </w:t>
      </w:r>
      <w:r>
        <w:rPr>
          <w:rFonts w:ascii="Times New Roman" w:hAnsi="Times New Roman"/>
          <w:i/>
          <w:color w:val="000000"/>
          <w:sz w:val="20"/>
        </w:rPr>
        <w:t>Misko</w:t>
      </w:r>
      <w:r>
        <w:rPr>
          <w:rFonts w:ascii="Times New Roman" w:hAnsi="Times New Roman"/>
          <w:color w:val="000000"/>
          <w:sz w:val="20"/>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hAnsi="Times New Roman"/>
          <w:i/>
          <w:color w:val="000000"/>
          <w:sz w:val="20"/>
        </w:rPr>
        <w:t>Silva</w:t>
      </w:r>
      <w:r>
        <w:rPr>
          <w:rFonts w:ascii="Times New Roman" w:hAnsi="Times New Roman"/>
          <w:color w:val="000000"/>
          <w:sz w:val="20"/>
        </w:rPr>
        <w:t xml:space="preserve"> Action and the </w:t>
      </w:r>
      <w:r>
        <w:rPr>
          <w:rFonts w:ascii="Times New Roman" w:hAnsi="Times New Roman"/>
          <w:i/>
          <w:color w:val="000000"/>
          <w:sz w:val="20"/>
        </w:rPr>
        <w:t>Misko</w:t>
      </w:r>
      <w:r>
        <w:rPr>
          <w:rFonts w:ascii="Times New Roman" w:hAnsi="Times New Roman"/>
          <w:color w:val="000000"/>
          <w:sz w:val="20"/>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which the court granted.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December 19, 2024, the Company received a demand letter (the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Demand Letter and report back to the full Board. On February 19, 2025, the purported stockholder who sent the Demand Letter filed a stockholder derivative action in the United States District Court for the Middle District of North Carolina, captioned </w:t>
      </w:r>
      <w:r>
        <w:rPr>
          <w:rFonts w:ascii="Times New Roman" w:hAnsi="Times New Roman"/>
          <w:i/>
          <w:color w:val="000000"/>
          <w:sz w:val="20"/>
        </w:rPr>
        <w:t>Olson v. Niklason, et al.</w:t>
      </w:r>
      <w:r>
        <w:rPr>
          <w:rFonts w:ascii="Times New Roman" w:hAnsi="Times New Roman"/>
          <w:color w:val="000000"/>
          <w:sz w:val="20"/>
        </w:rPr>
        <w:t>, No. 1:25-cv-00123 (the “</w:t>
      </w:r>
      <w:r>
        <w:rPr>
          <w:rFonts w:ascii="Times New Roman" w:hAnsi="Times New Roman"/>
          <w:i/>
          <w:color w:val="000000"/>
          <w:sz w:val="20"/>
        </w:rPr>
        <w:t>Olson</w:t>
      </w:r>
      <w:r>
        <w:rPr>
          <w:rFonts w:ascii="Times New Roman" w:hAnsi="Times New Roman"/>
          <w:color w:val="000000"/>
          <w:sz w:val="20"/>
        </w:rPr>
        <w:t xml:space="preserve"> Action”), alleging that the Company had refused his demand. The complaint in the </w:t>
      </w:r>
      <w:r>
        <w:rPr>
          <w:rFonts w:ascii="Times New Roman" w:hAnsi="Times New Roman"/>
          <w:i/>
          <w:color w:val="000000"/>
          <w:sz w:val="20"/>
        </w:rPr>
        <w:t xml:space="preserve">Olson </w:t>
      </w:r>
      <w:r>
        <w:rPr>
          <w:rFonts w:ascii="Times New Roman" w:hAnsi="Times New Roman"/>
          <w:color w:val="000000"/>
          <w:sz w:val="20"/>
        </w:rPr>
        <w:t>Action asserts substantive claims and allegations that are substantially similar to those asserted in the Consolidated Derivative Action. On April 22, 2025, the parties filed a joint motion to stay the Olson Action pending final resolution of the Securities Litigation, which the court granted.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 and the demand evaluation committee recommended that the board of directors of the Company defer action on the demand until after the resolution of the pending motion to dismiss in the securities class action. The board of directors accepted the demand evaluation committee’s recommendation, and counsel for the demand evaluation committee informed the shareholder of the board of director’s determination to defer action on the demand by letter dated September 24, 2025.</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June 9, 2025, a putative stockholder of the Company filed a verified stockholder derivative action in the United States District Court for the District of Delaware, captioned </w:t>
      </w:r>
      <w:r>
        <w:rPr>
          <w:rFonts w:ascii="Times New Roman" w:hAnsi="Times New Roman"/>
          <w:i/>
          <w:color w:val="000000"/>
          <w:sz w:val="20"/>
        </w:rPr>
        <w:t>Dusci v. Bamforth, et al</w:t>
      </w:r>
      <w:r>
        <w:rPr>
          <w:rFonts w:ascii="Times New Roman" w:hAnsi="Times New Roman"/>
          <w:color w:val="000000"/>
          <w:sz w:val="20"/>
        </w:rPr>
        <w:t>., No. 1:25-cv-00722 (the “</w:t>
      </w:r>
      <w:r>
        <w:rPr>
          <w:rFonts w:ascii="Times New Roman" w:hAnsi="Times New Roman"/>
          <w:i/>
          <w:color w:val="000000"/>
          <w:sz w:val="20"/>
        </w:rPr>
        <w:t xml:space="preserve">Dusci </w:t>
      </w:r>
      <w:r>
        <w:rPr>
          <w:rFonts w:ascii="Times New Roman" w:hAnsi="Times New Roman"/>
          <w:color w:val="000000"/>
          <w:sz w:val="20"/>
        </w:rPr>
        <w:t xml:space="preserve">Action”). The complaint in the </w:t>
      </w:r>
      <w:r>
        <w:rPr>
          <w:rFonts w:ascii="Times New Roman" w:hAnsi="Times New Roman"/>
          <w:i/>
          <w:color w:val="000000"/>
          <w:sz w:val="20"/>
        </w:rPr>
        <w:t>Dusci</w:t>
      </w:r>
      <w:r>
        <w:rPr>
          <w:rFonts w:ascii="Times New Roman" w:hAnsi="Times New Roman"/>
          <w:color w:val="000000"/>
          <w:sz w:val="20"/>
        </w:rPr>
        <w:t xml:space="preserve"> Action asserts substantive claims and allegations that are substantively similar to those asserted in the Consolidated Derivative Action and </w:t>
      </w:r>
      <w:r>
        <w:rPr>
          <w:rFonts w:ascii="Times New Roman" w:hAnsi="Times New Roman"/>
          <w:i/>
          <w:color w:val="000000"/>
          <w:sz w:val="20"/>
        </w:rPr>
        <w:t>Olson</w:t>
      </w:r>
      <w:r>
        <w:rPr>
          <w:rFonts w:ascii="Times New Roman" w:hAnsi="Times New Roman"/>
          <w:color w:val="000000"/>
          <w:sz w:val="20"/>
        </w:rPr>
        <w:t xml:space="preserve"> Action. On September 8, 2025, the parties field a joint stipulation to stay the </w:t>
      </w:r>
      <w:r>
        <w:rPr>
          <w:rFonts w:ascii="Times New Roman" w:hAnsi="Times New Roman"/>
          <w:i/>
          <w:color w:val="000000"/>
          <w:sz w:val="20"/>
        </w:rPr>
        <w:t xml:space="preserve">Dusci </w:t>
      </w:r>
      <w:r>
        <w:rPr>
          <w:rFonts w:ascii="Times New Roman" w:hAnsi="Times New Roman"/>
          <w:color w:val="000000"/>
          <w:sz w:val="20"/>
        </w:rPr>
        <w:t>Action, pending final resolution of the Securities Litigation, which the court granted.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disputes all claims asserted against it in the Securities Litigation and disputes that the plaintiffs in the Consolidated Derivative Action, the </w:t>
      </w:r>
      <w:r>
        <w:rPr>
          <w:rFonts w:ascii="Times New Roman" w:hAnsi="Times New Roman"/>
          <w:i/>
          <w:color w:val="000000"/>
          <w:sz w:val="20"/>
        </w:rPr>
        <w:t xml:space="preserve">Dusci </w:t>
      </w:r>
      <w:r>
        <w:rPr>
          <w:rFonts w:ascii="Times New Roman" w:hAnsi="Times New Roman"/>
          <w:color w:val="000000"/>
          <w:sz w:val="20"/>
        </w:rPr>
        <w:t xml:space="preserve">Action and </w:t>
      </w:r>
      <w:r>
        <w:rPr>
          <w:rFonts w:ascii="Times New Roman" w:hAnsi="Times New Roman"/>
          <w:i/>
          <w:color w:val="000000"/>
          <w:sz w:val="20"/>
        </w:rPr>
        <w:t>Olson</w:t>
      </w:r>
      <w:r>
        <w:rPr>
          <w:rFonts w:ascii="Times New Roman" w:hAnsi="Times New Roman"/>
          <w:color w:val="000000"/>
          <w:sz w:val="20"/>
        </w:rPr>
        <w:t xml:space="preserve"> Action have standing to assert claims derivatively on its behalf. The Company is currently unable to estimate the potential loss or range of loss, if any, associated with these lawsuits, which could be material.</w:t>
      </w:r>
    </w:p>
    <w:p>
      <w:pPr>
        <w:pStyle w:val="TextBody"/>
        <w:bidi w:val="0"/>
        <w:spacing w:before="200" w:after="283"/>
        <w:jc w:val="left"/>
        <w:rPr>
          <w:rFonts w:ascii="Times New Roman" w:hAnsi="Times New Roman"/>
          <w:sz w:val="20"/>
        </w:rPr>
      </w:pPr>
      <w:r>
        <w:rPr>
          <w:rFonts w:ascii="Times New Roman" w:hAnsi="Times New Roman"/>
          <w:color w:val="000000"/>
          <w:sz w:val="20"/>
        </w:rPr>
        <w:t>See the sec</w:t>
      </w:r>
      <w:r>
        <w:rPr>
          <w:rFonts w:ascii="Times New Roman" w:hAnsi="Times New Roman"/>
          <w:color w:val="231F20"/>
          <w:sz w:val="20"/>
        </w:rPr>
        <w:t xml:space="preserve">tion “Legal Matters” contained in </w:t>
      </w:r>
      <w:r>
        <w:rPr>
          <w:rFonts w:ascii="Times New Roman" w:hAnsi="Times New Roman"/>
          <w:color w:val="000000"/>
          <w:sz w:val="20"/>
        </w:rPr>
        <w:t>Note 14, Commitments and Contingencies</w:t>
      </w:r>
      <w:r>
        <w:rPr>
          <w:rFonts w:ascii="Times New Roman" w:hAnsi="Times New Roman"/>
          <w:color w:val="231F20"/>
          <w:sz w:val="20"/>
        </w:rPr>
        <w:t xml:space="preserve"> in the notes to our accompanying consolidated financial statements contained in Part II, Item 8 of this Annual Report on Form 10-K for additional information.</w:t>
      </w:r>
    </w:p>
    <w:p>
      <w:pPr>
        <w:pStyle w:val="TextBody"/>
        <w:bidi w:val="0"/>
        <w:spacing w:before="200" w:after="283"/>
        <w:jc w:val="left"/>
        <w:rPr>
          <w:rFonts w:ascii="Times New Roman" w:hAnsi="Times New Roman"/>
          <w:b/>
          <w:color w:val="231F20"/>
          <w:sz w:val="20"/>
        </w:rPr>
      </w:pPr>
      <w:bookmarkStart w:id="12" w:name="mine_safety_disclosures"/>
      <w:bookmarkEnd w:id="12"/>
      <w:r>
        <w:rPr>
          <w:rFonts w:ascii="Times New Roman" w:hAnsi="Times New Roman"/>
          <w:b/>
          <w:color w:val="231F20"/>
          <w:sz w:val="20"/>
        </w:rPr>
        <w:t>Item 4. Mine Safety Disclosures.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
      <w:bookmarkEnd w:id="13"/>
      <w:r>
        <w:rPr>
          <w:rFonts w:ascii="Times New Roman" w:hAnsi="Times New Roman"/>
          <w:b/>
          <w:color w:val="000000"/>
          <w:sz w:val="20"/>
        </w:rPr>
        <w:t>Part II</w:t>
      </w:r>
    </w:p>
    <w:p>
      <w:pPr>
        <w:pStyle w:val="TextBody"/>
        <w:bidi w:val="0"/>
        <w:spacing w:before="200" w:after="283"/>
        <w:jc w:val="left"/>
        <w:rPr>
          <w:rFonts w:ascii="Times New Roman" w:hAnsi="Times New Roman"/>
          <w:b/>
          <w:color w:val="231F20"/>
          <w:sz w:val="20"/>
        </w:rPr>
      </w:pPr>
      <w:bookmarkStart w:id="14" w:name="market_for_registrants_com"/>
      <w:bookmarkEnd w:id="14"/>
      <w:r>
        <w:rPr>
          <w:rFonts w:ascii="Times New Roman" w:hAnsi="Times New Roman"/>
          <w:b/>
          <w:color w:val="231F20"/>
          <w:sz w:val="20"/>
        </w:rPr>
        <w:t>Item 5. Market for Registrant’s Common Equity, Related Stockholder Matters and Issuer Purchases of Equity Securities.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Market Information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common stock is currently listed on The Nasdaq Global Select Market under the symbol “HUMA.” As of March 24, 2026, there were 180 holders of record of our common stock.</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Dividend Policy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will depend on, among other things, our results of operations, cash requirements, financial condition, contractual restrictions and other factors that our board of directors may deem relevant.</w:t>
      </w:r>
    </w:p>
    <w:p>
      <w:pPr>
        <w:pStyle w:val="TextBody"/>
        <w:bidi w:val="0"/>
        <w:spacing w:before="200" w:after="283"/>
        <w:jc w:val="left"/>
        <w:rPr>
          <w:rFonts w:ascii="Times New Roman" w:hAnsi="Times New Roman"/>
          <w:b/>
          <w:color w:val="000000"/>
          <w:sz w:val="20"/>
        </w:rPr>
      </w:pPr>
      <w:bookmarkStart w:id="15" w:name="reserved"/>
      <w:bookmarkEnd w:id="15"/>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6" w:name="mda"/>
      <w:bookmarkEnd w:id="16"/>
      <w:r>
        <w:rPr>
          <w:rFonts w:ascii="Times New Roman" w:hAnsi="Times New Roman"/>
          <w:b/>
          <w:color w:val="000000"/>
          <w:sz w:val="20"/>
        </w:rPr>
        <w:t>Item 7.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accompanying consolidated financial statements and related notes contained in Part II, Item 8 of this Annual Report on Form 10-K. Unless the context indicates otherwise, references in this Annual Report on Form 10-K to the “Company,” “Humacyte,” “we,” “us,” “our” and similar terms refer to Humacyte, Inc. (formerly known as Alpha Healthcare Acquisition Corp.) and its consolidated subsidiaries following the Merger (defined below); references to “Legacy Humacyte” refer to Humacyte, Inc. prior to the Merger; and references to “AHAC” refer to Alpha Healthcare Acquisition Corp. prior to the Merger.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historical information, some of the information contained in this discussion and analysis or set forth elsewhere in this Annual Report on Form 10-K, including information with respect to our plans and strategy for our business, future financial performance, expense levels and liquidity sources, includes forward-looking statements that involve risks and uncertainties. You should read the sections of this Annual Report on Form 10-K 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200" w:after="283"/>
        <w:jc w:val="left"/>
        <w:rPr>
          <w:rFonts w:ascii="Times New Roman" w:hAnsi="Times New Roman"/>
          <w:b/>
          <w:color w:val="000000"/>
          <w:sz w:val="20"/>
        </w:rPr>
      </w:pPr>
      <w:bookmarkStart w:id="17" w:name="section16"/>
      <w:bookmarkEnd w:id="17"/>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pStyle w:val="TextBody"/>
        <w:bidi w:val="0"/>
        <w:spacing w:before="200" w:after="283"/>
        <w:jc w:val="left"/>
        <w:rPr>
          <w:rFonts w:ascii="Times New Roman" w:hAnsi="Times New Roman"/>
          <w:sz w:val="20"/>
        </w:rPr>
      </w:pPr>
      <w:r>
        <w:rPr>
          <w:rFonts w:ascii="Times New Roman" w:hAnsi="Times New Roman"/>
          <w:color w:val="000000"/>
          <w:sz w:val="20"/>
        </w:rPr>
        <w:t>We are initially using our proprietary, scientific technology platform to engineer and manufacture ATEVs. On December 19, 2024, the FDA granted full approval for the ATEV under the brand name Symvess</w:t>
      </w:r>
      <w:r>
        <w:rPr>
          <w:rFonts w:ascii="Times New Roman" w:hAnsi="Times New Roman"/>
          <w:color w:val="000000"/>
          <w:sz w:val="13"/>
        </w:rPr>
        <w:t xml:space="preserve">® </w:t>
      </w:r>
      <w:r>
        <w:rPr>
          <w:rFonts w:ascii="Times New Roman" w:hAnsi="Times New Roman"/>
          <w:color w:val="000000"/>
          <w:sz w:val="20"/>
        </w:rPr>
        <w:t>for use in adults as a vascular conduit for extremity arterial injury when urgent revascularization is needed to avoid imminent limb loss, and when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a smaller diameter blood vessel, the CTEV for CABG and pediatric heart surgery. Over the longer term, we are developing our ATEV for the delivery of cellular therapies, including pancreatic islet cell transplantation to treat Type 1 diabetes (our BVP). We will continue to explore the application of our technology across a broad range of markets and indications, including the development of urinary conduit, trachea, esophagus and other novel cell delivery systems.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that can lead to prolonged hospitalization and limb loss. Given the competitive advantages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ATEVs are designed to have over existing vascular substitutes, we believe that ATEVs have the potential to become the standard of care and lead to improved patient outcomes and lower healthcare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2025, our ATEVs have been implanted in approximately 636 patients in clinical studies as well as additional patients following the U.S. commercial launch of Symvess in the vascular trauma indication. In addition to extremity vascular trauma, we are currently conducting a Phase 3 trial of our 6 millimeter ATEV in AV access for hemodialysis, and previously completed Phase 2 trials in PAD. We were granted Fast Track designation by the FDA for our 6 millimeter ATEV for use in AV access for hemodialysis in 2014. We also received the first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19, 2024, the FDA granted full approval for Symvess (acellular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has authorized us to commence commercial shipments. We commenced commercial sales of Symvess in the vascular trauma indication in the first quarter of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2023, we announced completion of enrollment of our V007 Phase 3 trial of the ATEV for use in AV access for hemodialysis. In July 2024, we announced positive topline results from our V007 Phase 3 trial, where the ATEV met the primary endpoints in the study. Dependent upon interim results from our ongoing V012 Phase 3 trial in women, we plan to submit a supplemental BLA for the ATEV to the FDA for an indication in AV access for hemodialysis in the second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its inception in 2004, we have incurred operating losses and negative cash flows from operations in each year. As of December 31, 2025 and 2024, we had an accumulated deficit of $726.8 million and $686.0 million, respectively, and working capital of $49.4 million and $27.9 million, respectively. Our operating losses were approximately $108.1 million and $114.4 million for the years ended December 31, 2025 and 2024, respectively. Net cash flows used in operating activities were $105.0 million and $98.1 million during the years ended December 31, 2025 and 2024, respectively. Substantially all of our operating losses resulted from costs incurred in connection with our research and development programs and from general and administrative costs associated with our operations. We expect to continue incurring substantial operating losses and to experience negative cash flows from operations for the foreseeable future as we scale the commercialization of Symvess and advance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2025, we had cash and cash equivalents of $50.5 million and restricted cash of $0.4 million. The Company will not have sufficient liquidity to fund its operations beyond one year from the date of this Annual Report on Form 10-K if the Company is unable to generate sufficient cash flows from commercial sales on a timely basis and/or obtain additional capital. See Note 1, Organization and Description of Business, in the notes to our accompanying consolidated financial statements contained in Part II, Item 8 of this Annual Report on Form 10-K for additional information regarding this assessment.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need for additional capital will depend in part on the scope and costs of our development and commercial manufacturing activities and on the results of our ongoing commercial sales efforts. Since receiving FDA approval to commercialize Symvess in the vascular trauma indication, we have generated $1.4 million in product revenue for the year ended December 31, 2025. Our ability to generate sufficient product revenue to finance our operations will depend on the successful commercialization of Symvess and the advancement of our product candidates. Until such time, if ever, we expect to finance our operations primarily through the use of existing cash and cash equivalents, private or public equity financings, debt financings, debt refinancings or restructurings, collaborations, strategic alliances, and marketing, distribution or licensing arrangements. Adequate capital may not be available to us when needed or on acceptable terms. If we are unable to raise capital, we plan to implement a program to delay, reduce, suspend or cease our planned capital expenditures, research and development programs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future commercialization efforts, which would have a negative impact on our business, prospects, operating results and financial condition. See “Risk Factors” for additional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continue to incur significant expenses and to increase operating losses for at least the next several years. We anticipate that our expenses will increase substantially as we seek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to generate revenue from sales of Symvess in the United States for the indication in vascular trauma and, if approved, via U.S. market launch for the indication in AV access for hemodialysis;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obtain marketing approval for our 6 millimeter ATEV in additional indications involving vascular repair, reconstruction and replacement, including in AV access for hemodialysis;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scale out our manufacturing facility to the extent required to satisfy potential market demand for Symvess in the United States and our product candidates, following receipt of any regulatory approval;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our preclinical and clinical development efforts;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to support, among other things, our product development and commercialization efforts and operations;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The Nasdaq Stock Market LLC (“Nasdaq”).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4, 2026, we received a minimum purchase commitment of approximately $1.48 million of the Symvess ATEV to enable the education of surgeons, and the evaluation of Symvess by hospitals, in the Kingdom of Saudi Arabia (the “KSA”). The evaluation of Symvess is planned to be conducted in parallel with ongoing negotiations with a KSA-based entity for establishment of a joint venture and license to commercialize Symvess within the country. We have agreed to not engage in negotiation of commercialization rights within the KSA with any other party through July 2, 2026. Although the purchase commitment described above is binding, the establishment of a joint venture and license and the finalization of definitive terms are subject to further negotiation between the parties as well as the execution of definitive agreements between the KSA-based entity and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16, 2026, we filed a Marketing Authorization Application (“MAA”) with the Ministry of Health of the State of Israel for approval of Symvess for the vascular trauma indication. In response to requests from surgeons, we are also pursuing methods of making Symvess available on a hospital-by-hospital basis in advance of any future MAA approval in Israel.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2026, we delivered written notice to TD Securities (USA) LLC, as agent (“TD Cowen”), that we were suspending and terminating the prospectus, dated December 16, 2025 (the “ATM Prospectus”), relating to the sale of up to $60 million of Common Stock, that may be issued and sold pursuant to the Sales Agreement, dated as of December 16, 2025, by and between us and TD Cowen (the “Sales Agreement”). We will not make any further sales of Common Stock pursuant to the Sales Agreement unless and until a new prospectus, prospectus supplement or registration statement is filed. Other than the suspension and termination of the ATM Prospectus, the Sales Agreement remains in full force and effect.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Also on March 19, 2026, we entered into certain securities purchase agreements, pursuant to which we agreed to issue and sell to certain investors in a registered direct offering 25,000,000 shares of Common Stock at a price of $0.80 per share. The net proceeds to us were approximately $18.4 million, after deducting the placement agent’s fees and estimated offering expenses payable by us. The offering closed on March 20,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bookmarkStart w:id="18" w:name="section17"/>
      <w:bookmarkEnd w:id="18"/>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fiscal year of 2025, we have generated $1.4 million in product revenue from the sale of Symvess. The remainder of our revenue has been derived from contracts. From inception through December 31, 2025, we have been awarded grants, including grants from the California Institute of Regenerative Medicine (“CIRM”),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goods sold consists of manufacturing costs associated with the production of Symvess, including materials, direct labor and manufacturing-related overhead. Cost of goods sold also includes royalty expense related to product sales, overhead associated with unused production capacity, and inventory reserves recorded to adjust inventory to its estimated net realizable value. Prior to FDA approval of Symvess for the vascular trauma indication in December 2024, manufacturing and material costs incurred in connection with product development were expensed as research and development costs as incurred, as commercialization and future economic benefit were not yet considered probable. Beginning in 2025, following commercialization of Symvess, certain manufacturing-related payroll and overhead costs previously included within research and development expenses were capitalized to inventory and recognized in cost of goods sold as product is sold. During 2025, we recorded an inventory reserve to adjust certain inventory balances to the estimated net realizable value, which is reflected within cost of goods sold in the consolidated statements of operations and comprehensive loss.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our recent shift in focus to the sale of Symvess for the vascular trauma indication, we have historically focused, and continue to focus a substantial portion of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salaries and related overhead expenses for personnel in research and development functions, including stock-based compensation and benefits;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allocation of facility lease and maintenance costs;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of leasehold improvements, laboratory equipment and computers;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related to purchasing raw materials and producing our product candidates for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related to our manufacturing development and expanded-capabilities initiatives;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license fees related to in-licensed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majority of our research and development resources are currently focused on our Phase 2 and 3 clinical trials for our 6 millimeter ATEV and other work needed to obtain marketing approval for our 6 millimeter ATEV for use for in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Direct expenses for our vascular trauma, AV access for hemodialysis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rate of progress, expense and results of our preclinical development activities, our ongoing clinical trials and any additional clinical trials that we may conduct, and other research and development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successful patient enrollment in and the initiation and completion of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receipt and terms of any marketing approvals from applicable regulatory authorities including the FDA and non-U.S. regulators;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development and refinement of clinical and commercial manufacturing capabilities or making arrangements with third-party manufacturers in order to ensure that it or its third-party manufacturers are able to successfully manufacture our product;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and changing government regulations;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launching commercial sales of Symvess and our product candidates, if approved, whether alone or in collaboration with others;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degree of market acceptance of Symvess and any product candidates that obtain marketing approval;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 continued acceptable safety profile following approval of Symvess in the vascular trauma indication and in any other indications for which approval may be granted, or for any of our product candidates, if approved.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Term Loan Facility, finance leases, and our former Purchase Agreement during the periods each were outstanding, (iv) the change in fair value of our derivative liabilities and assets, including the private placement Common Stock warrant liabilities related to the Private Placement Warrants, which we assumed in connection with the Merger; Common Stock warrant liabilities related to our Registered Direct Offerings; the warrant liability related to the Loan Agreement; the former contingent derivative liability related to the terminated Purchase Agreement; a former liability related to a freestanding option agreement related to the terminated Purchase Agreement; a derivative liability related to our agreement with JDRF; a derivative liability related to the Loan Agreement; and a derivative asset related to our Common Stock Purchase Agreement, all of which are subject to remeasurement to fair value at each balance sheet date each liability is outstanding, resulting in a non-cash gain or loss, and (v) a loss on debt extinguishment related to the termination of the Purchase Agreement in December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9" w:name="section18"/>
      <w:bookmarkEnd w:id="19"/>
      <w:r>
        <w:rPr>
          <w:rFonts w:ascii="Times New Roman" w:hAnsi="Times New Roman"/>
          <w:b/>
          <w:color w:val="000000"/>
          <w:sz w:val="20"/>
        </w:rPr>
        <w:t>Results of Operations</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Comparison of the Years Ended December 31, 2025 and 2024</w:t>
      </w:r>
    </w:p>
    <w:tbl>
      <w:tblPr>
        <w:tblW w:w="9992" w:type="dxa"/>
        <w:jc w:val="left"/>
        <w:tblInd w:w="0" w:type="dxa"/>
        <w:tblLayout w:type="fixed"/>
        <w:tblCellMar>
          <w:top w:w="28" w:type="dxa"/>
          <w:left w:w="28" w:type="dxa"/>
          <w:bottom w:w="28" w:type="dxa"/>
          <w:right w:w="28" w:type="dxa"/>
        </w:tblCellMar>
      </w:tblPr>
      <w:tblGrid>
        <w:gridCol w:w="4611"/>
        <w:gridCol w:w="146"/>
        <w:gridCol w:w="211"/>
        <w:gridCol w:w="841"/>
        <w:gridCol w:w="166"/>
        <w:gridCol w:w="146"/>
        <w:gridCol w:w="211"/>
        <w:gridCol w:w="841"/>
        <w:gridCol w:w="166"/>
        <w:gridCol w:w="146"/>
        <w:gridCol w:w="211"/>
        <w:gridCol w:w="781"/>
        <w:gridCol w:w="166"/>
        <w:gridCol w:w="146"/>
        <w:gridCol w:w="146"/>
        <w:gridCol w:w="481"/>
        <w:gridCol w:w="57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Costs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goods sold was $9.7 million for the year ended December 31, 2025, compared to $0 for the year ended December 31, 2024. The increase was primarily driven by an $8.9 million inventory reserve recorded during 2025 to reduce certain inventory balances to their estimated net realizable value in connection with the initial commercialization of Symvess. The remaining $0.8 million of cost of goods sold was attributable to the commencement of commercial sales of Symvess in the first quarter of 2025. Prior to commercialization, manufacturing costs incurred in connection with product development were expensed as research and development. As a result, cost of goods sold in 2025 reflects inventory costs capitalized subsequent to commercialization, manufacturing-related overhead associated with unused production capacity, royalty expense related to product sales, and the aforementioned reserve. There was no cost of goods sold recognized during 2024, as Symvess had not yet been commercialized and manufacturing costs incurred prior to approval were expensed as research and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discloses the breakdown of research and development expenses for the periods indicated:</w:t>
      </w:r>
    </w:p>
    <w:tbl>
      <w:tblPr>
        <w:tblW w:w="8877" w:type="dxa"/>
        <w:jc w:val="left"/>
        <w:tblInd w:w="0" w:type="dxa"/>
        <w:tblLayout w:type="fixed"/>
        <w:tblCellMar>
          <w:top w:w="28" w:type="dxa"/>
          <w:left w:w="28" w:type="dxa"/>
          <w:bottom w:w="28" w:type="dxa"/>
          <w:right w:w="28" w:type="dxa"/>
        </w:tblCellMar>
      </w:tblPr>
      <w:tblGrid>
        <w:gridCol w:w="3711"/>
        <w:gridCol w:w="146"/>
        <w:gridCol w:w="211"/>
        <w:gridCol w:w="676"/>
        <w:gridCol w:w="146"/>
        <w:gridCol w:w="146"/>
        <w:gridCol w:w="211"/>
        <w:gridCol w:w="676"/>
        <w:gridCol w:w="146"/>
        <w:gridCol w:w="146"/>
        <w:gridCol w:w="211"/>
        <w:gridCol w:w="736"/>
        <w:gridCol w:w="166"/>
        <w:gridCol w:w="146"/>
        <w:gridCol w:w="146"/>
        <w:gridCol w:w="481"/>
        <w:gridCol w:w="776"/>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$69.3 million for the year ended December 31, 2025, representing a decrease of $19.3 million, or 22%, from $88.6 million for the year ended December 31, 2024. The decrease primarily reflects our transition from late-stage development activities to commercial operations following FDA approval of Symvess in December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Beginning in 2025, following the commercialization of Symvess, certain unallocated manufacturing-related payroll and overhead costs that had been included within research and development expenses were capitalized to inventory. These capitalized costs, which will be recognized in cost of goods sold as product is sold, resulted in reductions across laboratory materials and supplies, payroll and personnel, and other research and development expenses. In addition, our direct expenses related to clinical studies decreased by $2.1 million, primarily due to reduced spending on vascular trauma trials as this clinical program was completed.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were $31.2 million and $25.8 million for the years ended December 31, 2025 and 2024, respectively. The increase in general and administrative expenses during the year ended December 31, 2025 of $5.4 million, or 21%, compared to the year ended December 31, 2024 was primarily driven by the commercial launch of Symvess. Major changes in expenses included a $5.3 million increase in salaries and benefits due to the recruitment and hiring of a sales force for Symvess and other expansion of the commercial team, and a $0.8 million increase in professional fees, partially offset by a $1.4 million decrease in external services and consulting expenses.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Total 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Total other income, net was $67.3 million for the year ended December 31, 2025, compared to net expense of $34.3 million for the year ended December 31, 2024. The increase in net income of $101.6 million primarily resulted from a $127.4 million increase in non-cash gains consisting of a $92.5 million fair value remeasurement of the Contingent Earnout Liability and $34.9 million fair value remeasurement of derivative liabilities, partially offset by $22.3 million loss on extinguishment of debt related to the Purchase Agreement termination. </w:t>
      </w:r>
    </w:p>
    <w:p>
      <w:pPr>
        <w:pStyle w:val="TextBody"/>
        <w:bidi w:val="0"/>
        <w:spacing w:before="200" w:after="283"/>
        <w:jc w:val="left"/>
        <w:rPr>
          <w:rFonts w:ascii="Times New Roman" w:hAnsi="Times New Roman"/>
          <w:sz w:val="20"/>
        </w:rPr>
      </w:pPr>
      <w:bookmarkStart w:id="20" w:name="section19"/>
      <w:bookmarkEnd w:id="20"/>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Although we are a commercial-stage biotechnology platform company, we have a single product approved for commercial sale and have generated $1.4 million in product revenue for the period ended December 31, 2025. We have historically financed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our operations primarily through the sale of equity securities and convertible debt, borrowings under loan facilities, including the Term Loan Facility, the Purchase Agreement, and, to a lesser extent, through grants from governmental and other agencies. Since our inception, we have incurred significant operating losses and negative cash flows. As of December 31, 2025 and 2024, we had an accumulated deficit of $726.8 million and $686.0 million, respectively.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As of December 31, 2025 and 2024, we had working capital of $49.4 million and $27.9 million, respectively. Subsequent to December 31, 2025, on March 20, 2026, we issued and sold to certain investors in a registered direct offering 25,000,000 shares of Common Stock at a price of $0.80 per share (the “March 2026 Registered Direct Offering”). Net proceeds to the Company from the March 2026 Registered Direct Offering were approximately $18,400,000, after deducting the placement agent’s fees and estimated expenses payable by the Company. Also, from January 1, 2026 until March 17, 2026, we sold an aggregate of 4,018,497 shares of Common Stock under the TD Cowen ATM Facility (defined below) at an average price of $1.16 per share for net proceeds of approximately $4.6 million. On March 19, 2026, we suspended and terminated the ATM Prospectus (defined below), pursuant to which shares had been sold under the TD Cowen ATM Facility.</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December 31, 2025 and 2024, we had cash and cash equivalents of $50.5 million and $44.9 million, respectively, and restricted cash of $0.4 million and $50.4 million, respectively. We funded the restricted cash account on August 14, 2024, in accordance with the second amendment to the Purchase Agreement (the “Purchase Agreement Amendment”), of which $50.0 million was not subject to our unilateral control. On September 17, 2025, in connection with the Purchase Agreement Amendment, we made a $50.0 million repayment under the Purchase Agreement (the “Purchase Agreement Amendment Payment”), funded from the restricted cash previously maintained for the benefit of the Agent. As a result of the Purchase Agreement Amendment Payment, we were no longer obligated to maintain $50.0 million of restricted cash in an account for the benefit of the Agent.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will not have sufficient liquidity to fund its operations beyond one year from the issuance of these financial statements if the Company is unable to generate sufficient cash flows from commercial sales on a timely basis and/or obtain additional capital. These factors raise substantial doubt about the Company’s ability to continue as a going concern. The future viability of the Company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additional capital may not be available to the Company when needed or on acceptable terms. 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The accompanying consolidated financial statements contained in Part II, Item 8 of this Annual Report on Form 10-K have been prepared assuming that the Company will continue as a going concern and contemplate the realization of assets and the satisfaction of liabilities in the normal course of business. The accompanying financial statements do not include any adjustments related to the recoverability and classification of assets or the amounts and classification of liabilities or any other adjustments that might be necessary should the Company be unable to continue as a going concern. See Note 1, Organization and Description of Business to our accompanying consolidated financial statements contained in Part II, Item 8 of this Annual Report on Form 10-K for additional information regarding our assessment.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On December 15, 2025, we entered into the Loan Agreement with Avenue Venture Opportunities Fund II, L.P., as administrative agent and collateral agent for the lenders, which provides for the Term Loan Facility of up to $77.5 million in the aggregate that matures on December 1, 2029. The Loan Agreement consists of (i) an initial term loan of $40.0 million, which was fully funded on December 15, 2025, (ii) a $12.5 million delayed draw term loan which will be made available between October 1, 2026 and March 31, 2027, subject to the satisfaction of certain revenue, regulatory approval and liquidity conditions, and (iii) a $25.0 million delayed draw term loan which will be made available at the discretion of the lenders between July 1, 2027 and June 30, 2028, subject to the satisfaction of certain revenue, regulatory approval and liquidity conditions. The proceeds from the initial term loan were used primarily to repay the remaining obligations under the Purchase Agreement, as discussed below.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On May 12, 2023, we entered into the Purchase Agreement with the Purchasers and another affiliate of Oberland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LLC, as the Agent. Pursuant to the Purchase Agreement, and subject to customary closing conditions, the Purchasers purchased certain revenue interests from us in exchange for an aggregate investment amount of up to $150.0 million. Under the terms of the Purchase Agreement, $40.0 million of the investment amount, less certain transaction expenses, was funded on May 12, 2023, and was used to repay in full and retire our indebtedness under our loan agreement with Silicon Valley Bank, with the remaining proceeds funded to the Company. On March 11, 2024, an additional $20.0 million was funded to the Company under the Purchase Agreement. On May 8, 2024, we agreed with the Purchasers to amend the Purchase Agreement to remove requirements related to the leasehold mortgage, and, in connection therewith, on August 14, 2024, we funded an account in the amount of $54.0 million, over which the Agent had certain consent and other rights to $50.0 million of the funds. On September 17, 2025, we entered into an amendment to the Purchase Agreement pursuant to which we made a $50.0 million repayment under the Purchase Agreement, funded from restricted cash maintained for the benefit of the Agent. On December 19, 2024, the FDA granted full approval of our BLA for the vascular trauma indication, and we elected not to draw the additional $40.0 million that became available under the Purchase Agreement. As of and subsequent to December 31, 2024, we were not entitled to draw any further installments under the Purchase Agreement. On December 15, 2025, we entered into a payoff letter with the Purchasers and the Purchasers’ agent pursuant to which the Purchase Agreement and the related Option Agreement were terminated in their entirety. As consideration for the termination of these agreements and the satisfaction of all obligations thereunder, we paid $38.0 million in cash and issued 5,725,190 shares of our Common Stock to the Purchasers.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29, 2024, we entered into an underwriting agreement with TD Cowen and Company, LLC and Cantor &amp; Fitzgerald &amp; Co., as representatives of the several underwriters named therein, relating to the issuance and sale in an underwritten offering (the “Offering”) of 15,410,000 shares of our Common Stock at a price to the public of $3.00 per share. The net proceeds to us from the Offering were approximately $43.0 million, after deducting underwriting discounts and commissions and Offering expenses. The Offering closed on March 5,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December 31, 2025, we had completed sales of shares under the Common Stock Purchase Agreement that provided $2.5 million in gross proceeds. As of December 31, 2025, we had $47.5 million in remaining availability for sales of our Common Stock under our Common Stock Purchase Agreement with Lincoln Park.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4, 2024, we entered into a securities purchase agreement with an institutional investor pursuant to which the investor purchased approximately $30.0 million worth of Common Stock and warrants in the October 2024 Registered Direct Offering (as defined in Note 10). The net proceeds to us from the October 2024 Registered Direct Offering were approximately $28.0 million, after deducting placement agent’s fees and offering expenses of approximately $2.0 million. The October 2024 Registered Direct Offering closed on October 7,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13, 2024, we entered into a securities purchase agreement with an institutional investor pursuant to which the investor purchased approximately $15.0 million worth of Common Stock and warrants in the November 2024 Registered Direct Offering (as defined in Note 10). The net proceeds to us from the November 2024 Registered Direct Offering were approximately $14.9 million after deducting offering expenses of approximately $0.1 million. The November 2024 Registered Direct Offering closed on November 15,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25, 2025, we entered into an underwriting agreement with TD Securities (USA) LLC, Barclays Capital Inc. and BTIG, LLC, as representatives of the several underwriters named therein, relating to the issuance and sale in the public offering of 25,000,000 shares of Common Stock, at a price to the public of $2.00 per share. We also granted the underwriters a 30-day option to purchase up to an additional 3,750,000 shares of Common Stock at the same price per share, which was not exercised by the underwriters. The net proceeds to us from the public offering were approximately $46.7 million after deducting underwriting discounts and commissions and estimated public offering expenses. The public offering closed on March 27,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6, 2025, we entered into a securities purchase agreement with institutional investors pursuant to which the investors purchased approximately $60.0 million worth of Common Stock and October 2025 RDO Warrants in the October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Registered Direct Offering. The net proceeds to us from the October 2025 Registered Direct Offering were approximately $56.5 million, after deducting placement agent’s fees and offering expenses of approximately $3.5 million. The October 2025 Registered Direct Offering closed on October 8,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2026, we entered into certain securities purchase agreements, pursuant to which we agreed to issue and sell to certain investors in a registered direct offering 25,000,000 shares of Common Stock at a price of $0.80 per share. The net proceeds to us were approximately $18.4 million, after deducting the placement agent’s fees and estimated offering expenses payable by us. The offering closed on March 20, 2026.</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ATM Facilities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September 1, 2022, we entered into a sales agreement with Jefferies LLC, acting as sales agent (the “Jefferies ATM Sales Agreement”) for the sale from time to time of up to $80.0 million of shares of Common Stock (the “Jefferies ATM Facility”). In December 2024, we sold an aggregate of 1,333,596 shares of Common Stock under the Jefferies ATM Facility at an average price of $5.26 per share for net proceeds of approximately $6.8 million. In the year ended December 31, 2025, the Company completed sales of shares under the Jefferies ATM Facility that provided net proceeds of approximately $10.0 million. On November 21, 2025, the Company delivered a notice to Jefferies LLC terminating the Jefferies ATM Sales Agreement, which termination became effective 10 days thereafter. As of December 31, 2025, no shares remained available for issuance under the Jefferies ATM Facility.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December 16, 2025, we entered into a sales agreement with TD Securities (USA) LLC (“TD Cowen”), acting as sales agent (the “TD Cowen ATM Facility”), pursuant to which we may sell shares of Common Stock from time to time up to an aggregate offering price of $60.0 million. As of December 31, 2025, no shares had been sold under the TD Cowen ATM Facility. From January 1, 2026 until March 17, 2026, we sold an aggregate of 4,018,497 shares of Common Stock under the TD Cowen ATM Facility at an average price of $1.16 per share for net proceeds of approximately $4.6 million. On March 19, 2026, we suspended and terminated the ATM Prospectus pursuant to which shares had been sold under the TD Cowen ATM Facility.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Material Cash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known material cash requirements include: (1) the purchase of supplies and services that are primarily for research and development; (2) manufacturing and commercialization expenditures; (3) employee wages, benefits, and incentives; (4) financing and operating lease payments (for additional information see below and Note 9, Leases to our accompanying consolidated financial statements in Part II, Item 8 of this Annual Report on Form 10-K); (5) debt service obligations under our senior secured Term Loan Facility (for additional information see below and Note 8, Debt to our accompanying consolidated financial statements in Part II, Item 8 of this Annual Report on Form 10-K); and (6) payments under our JDRF Agreement (for additional information see Note 14, Commitments and Contingencies to our accompanying consolidated financial statements in Part II, Item 8 of this Annual Report on Form 10-K).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On December 15, 2025, we entered into a payoff letter with the Purchasers and the Agent, pursuant to which the Purchase Agreement and the related Option Agreement were terminated in their entirety. As consideration for the termination of these agreements and the satisfaction of all obligations thereunder, we paid $38.0 million in cash and issued 5,725,190 shares of our Common Stock measured at fair value of $7.5 million at time of issuance to the Purchasers. The cash payment was funded with proceeds from the Term Loan Facility (see Note 8 to our accompanying consolidated financial statements in Part II, Item 8 of this Annual Report on Form 10-K). The termination of the Purchase Agreement released all liens and security interests previously granted to the Purchasers and their agent and relieved the Company of any further obligations to the Purchasers. See Note 7, Revenue Interest Purchase Agreement to our accompanying consolidated financial statements in Part II, Item 8 of this Annual Report on Form 10-K.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Under the senior secured Term Loan Facility, we are required to make monthly interest payments beginning in January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at a variable rate equal to the greater of 11.50% or the Wall Street Journal Prime Rate plus 4.50%. We are not required to make scheduled principal payments until December 1, 2027, or December 1, 2028 if the second tranche is funded, after which principal will be repaid in equal monthly installments through maturity in December 2029. In addition, the facility includes a contractual final payment fee of $2.4 million due at maturity. Because the interest rate is variable, our future interest expense and related cash interest payments may increase or decrease based on changes in rates. The Loan Agreement contains customary affirmative and negative covenants, certain liquidity requirements and customary events of default, and is secured by substantially all of our assets. See Note 8 to our accompanying consolidated financial statements in Part II, Item 8 of this Annual Report on Form 10-K.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December 31, 2025, we had non-cancellable purchase commitments of $31.5 million for supplies and services that are primarily for research and 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December 31, 2025. For additional information regarding our agreements with Duke University, Yale University, and Fresenius Medical Care, and the nature of payments that could become due thereunder, see the sections in this Annual Report on Form 10-K titled “Business — Distribution” and “Business — Intellectual Property.” For additional information about our JDRF Agreement, see Note 14 to our accompanying consolidated financial statements in Part II, Item 8 of this Annual Report on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finance lease relates to our headquarters facility containing our manufacturing, research and development and general and administrative functions, which was substantially completed in June 2018. </w:t>
      </w:r>
      <w:r>
        <w:rPr>
          <w:rFonts w:ascii="Times New Roman" w:hAnsi="Times New Roman"/>
          <w:color w:val="231F20"/>
          <w:sz w:val="20"/>
        </w:rPr>
        <w:t xml:space="preserve">On September 29, 2025, we executed a Sixth Amendment to our lease agreements that extended the lease term and modified key financial terms. </w:t>
      </w:r>
      <w:r>
        <w:rPr>
          <w:rFonts w:ascii="Times New Roman" w:hAnsi="Times New Roman"/>
          <w:color w:val="000000"/>
          <w:sz w:val="20"/>
        </w:rPr>
        <w:t xml:space="preserve">See Note 9 to our accompanying consolidated financial statements contained in Part II, Item 8 of this Annual Report on Form 10-K for further information regarding our leases.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contractual obligations under our lease agreement as of December 31, 2025 are as follows:</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571"/>
        <w:gridCol w:w="146"/>
        <w:gridCol w:w="146"/>
        <w:gridCol w:w="243"/>
        <w:gridCol w:w="657"/>
        <w:gridCol w:w="146"/>
        <w:gridCol w:w="146"/>
        <w:gridCol w:w="243"/>
        <w:gridCol w:w="657"/>
        <w:gridCol w:w="146"/>
        <w:gridCol w:w="146"/>
        <w:gridCol w:w="211"/>
        <w:gridCol w:w="676"/>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incur significant expenses in connection with our ongoing activities as we seek to (i) continue to sell Symvess for the vascular trauma indication and seek marketing approval for Symvess in additional indications and for our product candidates in the United States and to obtain marketing approval for our 6 millimeter ATEV outside of the United States, (ii) continue clinical development of our 6 millimeter ATEV for use in hemodialysis AV access and submit a BLA for FDA approval of an indication in hemodialysis AV access,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funding requirements, both short-term and long-term, will depend on many factors,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and timing of our ongoing sales and future commercialization activities, including product manufacturing, marketing and distribution for Symvess in the United States, and any other product candidate for which we receive marketing approval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amount and timing of revenues, which we receive from commercial sales of Symvess and any product candidates for which we receive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progress and results of our clinical trials and interpretation of those results by the FDA and other regulatory authorities;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timing and outcome of regulatory review of our product candidates, particularly for marketing approval of Symvess outside of the United States and of our product candidates in the United States;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for our additional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Until such time, if ever, as we are able to successfully commercialize Symvess and to develop and commercialize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 See “Risk Factors” for additional risks associated with our substantial capital requirements.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shows a summary of our cash flows for each of the periods shown below:</w:t>
      </w:r>
    </w:p>
    <w:p>
      <w:pPr>
        <w:pStyle w:val="TextBody"/>
        <w:bidi w:val="0"/>
        <w:jc w:val="left"/>
        <w:rPr/>
      </w:pPr>
      <w:r>
        <w:rPr/>
        <w:t> </w:t>
      </w:r>
    </w:p>
    <w:tbl>
      <w:tblPr>
        <w:tblW w:w="9919" w:type="dxa"/>
        <w:jc w:val="left"/>
        <w:tblInd w:w="0" w:type="dxa"/>
        <w:tblLayout w:type="fixed"/>
        <w:tblCellMar>
          <w:top w:w="28" w:type="dxa"/>
          <w:left w:w="28" w:type="dxa"/>
          <w:bottom w:w="28" w:type="dxa"/>
          <w:right w:w="28" w:type="dxa"/>
        </w:tblCellMar>
      </w:tblPr>
      <w:tblGrid>
        <w:gridCol w:w="6946"/>
        <w:gridCol w:w="146"/>
        <w:gridCol w:w="211"/>
        <w:gridCol w:w="841"/>
        <w:gridCol w:w="166"/>
        <w:gridCol w:w="146"/>
        <w:gridCol w:w="211"/>
        <w:gridCol w:w="841"/>
        <w:gridCol w:w="411"/>
      </w:tblGrid>
      <w:tr>
        <w:trPr/>
        <w:tc>
          <w:tcPr>
            <w:tcW w:w="6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Non-cash adjustments to reconcile net loss to net cash used in operating activities</w:t>
            </w:r>
            <w:r>
              <w:rPr>
                <w:rFonts w:ascii="Times New Roman" w:hAnsi="Times New Roman"/>
                <w:color w:val="000000"/>
                <w:sz w:val="13"/>
              </w:rPr>
              <w:t>(a)</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Primarily includes depreciation; amortization related to our leases; stock-based compensation expense; non-cash interest expense related to our revenue interest liability, our JDRF Award liability (defined below), and our Term Loan Facility; the changes in fair value of our Contingent Earnout Liability and our derivative liabilities and asset; and an immaterial amount of loss on disposal of property and equipment. In 2025, this also includes a loss on extinguishment of debt and inventory write-down to net realizable value.</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 from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net cash used in operating activities from 2024 to 2025 primarily reflects higher spending on preclinical and commercial activities, increased payroll and personnel costs, continued expansion of clinical development of the ATEV for use in AV access, and activities associated with the commercial launch of Symvess. Operating cash flows for the year ended December 31, 2025 were further impacted by the capitalization of $22.5 million of inventory following the commencement of commercialization of Symvess. These cash outflows were partially offset by non-cash charges, including a $22.3 million loss on extinguishment of the Purchase Agreement and an $8.9 million inventory reserve, which reduced net income but did not affect operating cash flows.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 from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years ended December 31, 2025 and 2024 consisted of purchases of property and equipment.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 from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2025 consisted primarily of $56.5 million of net proceeds from our Registered Direct Offering we completed in October 2025, $46.7 million of net proceeds from our Public Offering we completed in March 2025, $39.0 million of net proceeds from the Term Loan Facility we entered into in December 2025, and $10.0 million of net proceeds from issuance of shares of Common Stock under the Jefferies ATM Facility, which was partially offset by a $88.0 million repayment of the Purchase Agreement. Net cash provided by financing activities for the year ended December 31, 2024 consisted primarily of $43.1 million of net proceeds from our Registered Direct Offerings we completed in October and November 2024, $43.0 million of net proceeds from our Public Offering we completed in March 2024 and $19.5 million of net proceeds from our Purchase Agreement.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in SEC rules and regulations.</w:t>
      </w:r>
    </w:p>
    <w:p>
      <w:pPr>
        <w:pStyle w:val="TextBody"/>
        <w:bidi w:val="0"/>
        <w:spacing w:before="200" w:after="283"/>
        <w:jc w:val="left"/>
        <w:rPr>
          <w:rFonts w:ascii="Times New Roman" w:hAnsi="Times New Roman"/>
          <w:b/>
          <w:i/>
          <w:color w:val="000000"/>
          <w:sz w:val="20"/>
        </w:rPr>
      </w:pPr>
      <w:bookmarkStart w:id="21" w:name="section20"/>
      <w:bookmarkEnd w:id="21"/>
      <w:r>
        <w:rPr>
          <w:rFonts w:ascii="Times New Roman" w:hAnsi="Times New Roman"/>
          <w:b/>
          <w:i/>
          <w:color w:val="000000"/>
          <w:sz w:val="20"/>
        </w:rPr>
        <w:t>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our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Our critical accounting policies are summarized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Contingent Earnout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Reverse Recapitalization, Legacy Humacyte equity holders are entitled to receive as additional merger consideration of up to 15,000,000 shares of our common stock in the aggregate, in two equal tranches of 7,500,000 shares of common stock per tranche, for no consideration upon the occurrence of certain triggering events, including a change of control event, that is not solely indexed to the common stock. In accordance with ASC 815-40, as the Contingent Earnout Shares were not indexed to the common stock, they were accounted for as a liability at the Reverse Recapitalization date and subsequently remeasured at each reporting date with changes in fair value recorded as a component of other income (expense), net in the consolidated statements of operations and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estimated fair value of the Contingent Earnout Shares was determined using a Monte Carlo simulation valuation model using a distribution of potential outcomes on a monthly basis over a 10-year period prioritizing the most reliable information available. The assumptions utilized in the calculation were based on the achievement of certain stock price milestones, including the expected volatility and expected term, as well as certain data inputs, including the Company’s common stock price, risk-free interest rate, and expected dividend yield. See Note 10 to our accompanying consolidated financial statements contained in Part II, Item 8 of this Annual Report on Form 10-K for further information regarding the assumptions used in the valuations at December 31, 2025 and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Contingent Earnout Shares are categorized as a Level 3 fair value measurement (see “Fair Value of Financial Instruments” accounting policy described in Note 2, Summary of Significant Accounting Policies to our accompanying consolidated financial statements contained in Part II, Item 8 of this Annual Report on Form 10-K) because we estimated projections over a ten-year period utilizing unobservable inputs. Contingent earnout payments involve certain assumptions requiring significant judgment and actual results can differ from assumed and estimated amounts.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 Interest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12, 2023, we entered into the Purchase Agreement to obtain financing in respect to the further development and commercialization of our ATEV, to repay our credit facility with SVB, and for other general corporate purposes. We recorded a revenue interest liability related to the Purchase Agreement on our consolidated balance sheet on the date we entered into the Purchase Agreement, which is presented net of issuance costs and a debt discount. We imputed interest expense associated with this liability using the interest method.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December 31, 2024, the revenue interest liability was calculated using our current estimate of forecasted global net sales of our products, and impacted by a debt discount comprising the estimated fair value of a bifurcated derivative liability related to the Purchasers’ put option under the Purchase Agreement, the estimated fair value of a freestanding option agreement related to the Purchase Agreement, and issuance and transaction costs incurred.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the contingent derivative liability was valued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contingent derivative liability. The estimated probability and timing of underlying events triggering the exercisability of the contingent derivative liability bifurcated from within the Purchase Agreement, forecasted cash flows and the discount rate were significant unobservable inputs used to determine the estimated fair value of the entire instrument with the embedded derivative.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15, 2025, we entered into a payoff letter with the Purchasers and the Purchasers’ Agent pursuant to which the Purchase Agreement and the Option Agreement were terminated in their entirety. In connection with the termination of the Purchase Agreement, the embedded derivative was extinguished and derecognized. See Note 7 to our accompanying consolidated financial statements contained in Part II, Item 8 of this Annual Report on Form 10-K for further details.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Inventory valuation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Inventory is stated at the lower of cost or net realizable value. The Company records reserves for excess quantities,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obsolescence, and declines in net realizable value based on estimates of future demand, expected product shelf life, regulatory considerations, manufacturing performance, and other commercialization-related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estimation of net realizable value requires significant judgment, particularly as the Company commenced commercialization of Symvess in 2025 and has limited historical experience forecasting commercial demand for its products. Changes in demand forecasts, market acceptance, manufacturing scale, or product shelf life could result in material adjustments to inventory reserves in future periods.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Stock-based compensation expense represents a significant non-cash expense and is based on the grant-date fair value of equity awards. The Company grants stock options and restricted stock units under its equity incentive plans. The grant-date fair value of stock options is estimated using the Black-Scholes option-pricing model.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determination of the grant date fair value of stock options using an option pricing model is affected principally by our estimated fair value of shares of our common stock and requires management to make a number of other assumptions, including the expected term of the option, the volatility of the underlying shares, the risk-free interest rate and expected dividends. The assumptions used in our Black-Scholes option-pricing model represent management’s good faith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assumptions are estimated as follows: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Fair Value of Common Stock</w:t>
      </w:r>
      <w:r>
        <w:rPr>
          <w:rFonts w:ascii="Times New Roman" w:hAnsi="Times New Roman"/>
          <w:color w:val="000000"/>
          <w:sz w:val="20"/>
        </w:rPr>
        <w:t>. The fair value of our Common Stock has been determined based on the closing price of the shares on Nasdaq.</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Expected Term</w:t>
      </w:r>
      <w:r>
        <w:rPr>
          <w:rFonts w:ascii="Times New Roman" w:hAnsi="Times New Roman"/>
          <w:color w:val="000000"/>
          <w:sz w:val="20"/>
        </w:rPr>
        <w:t>. The expected term represents the period that stock options are expected to be outstanding. We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Expected Volatility</w:t>
      </w:r>
      <w:r>
        <w:rPr>
          <w:rFonts w:ascii="Times New Roman" w:hAnsi="Times New Roman"/>
          <w:color w:val="000000"/>
          <w:sz w:val="20"/>
        </w:rPr>
        <w:t>. The expected volatility was determined based on a blended approach using the historical share volatility of our Common Stock and that of several publicly traded peer companies over a period of time equal to the expected term of the options, as we have limited trading history. For purposes of identifying these peer companies, we considered the industry, stage of development, size and financial leverage of potential comparable companies.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Risk-Free Interest Rate</w:t>
      </w:r>
      <w:r>
        <w:rPr>
          <w:rFonts w:ascii="Times New Roman" w:hAnsi="Times New Roman"/>
          <w:color w:val="000000"/>
          <w:sz w:val="20"/>
        </w:rPr>
        <w:t>. The risk-free interest rate was based on the yields of U.S. Treasury zero-coupon securities with maturities similar in duration to the expected term of the options.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Expected Dividend Yield</w:t>
      </w:r>
      <w:r>
        <w:rPr>
          <w:rFonts w:ascii="Times New Roman" w:hAnsi="Times New Roman"/>
          <w:color w:val="000000"/>
          <w:sz w:val="20"/>
        </w:rPr>
        <w:t>. We have not paid dividends on our Common Stock nor do we expect to pay dividends in the foreseeable future. Accordingly, we have estimated the dividend yield to be zero.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Common Stock Warrants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Public and Private Placement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Merger, we assumed 5,000,000 publicly-traded warrants (“Public Warrants”) and 177,500 private placement warrants issued to AHAC in connection with AHAC’s initial public offering (“Private Placement Warrants” and, together with the Public Warrants, the “Common Stock Warrants”). We account for the Common Stock Warrants in accordance with the guidance contained in ASC Topic 480, “Distinguishing Liabilities from Equity” (“ASC 480”) and ASC Topic 815, “Derivatives and Hedging” (“ASC 815”).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accounted for the Private Placement Warrants in accordance with the guidance contained in ASC 815, under which the warrants did not meet the criteria for equity treatment and must be recorded as liabilities. As the Private Placement Warrants met the definition of a derivative under ASC 815, we recorded these warrants as liabilities on the consolidated balance sheet at fair value, with subsequent changes in their respective fair values recognized in the consolidated statements of operations and comprehensive loss at each reporting date. The fair value of the warrants was estimated using a Monte Carlo simulation value model utilizing assumptions including our current common stock price, expected volatility, risk-free rate, expected term and expected dividend yield. The fair value of the Private Placement Warrants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Private Placement Warrants involves certain assumptions requiring significant judgment and actual results can differ from assumed and estimated amounts.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considered to be “indexed to the Company’s own stock” and as we have a single class of common stock, a qualifying cash tender offer of more than 50% of Common Stock will always result in a change-in-control and would not preclude permanent equity classification of the Public Warrants. Based on this evaluation, we concluded that the Public Warrants met the criteria to be classified within stockholders’ equity.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Registered Direct Offering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accounted for the common stock warrants issued in the Registered Direct Offerings in accordance with the guidance contained in ASC 480 and ASC 815. The Registered Direct Offering Warrants (as defined in Note 2 to our accompanying consolidated financial statements contained in Part II, Item 8 of this Annual Report on Form 10-K) did not meet the criteria for equity treatment and must be recorded as liabilities. As the Registered Direct Offering Warrants meet the definition of a derivative under ASC 815, we recorded these warrants as liabilities on the consolidated balance sheet at fair value, with subsequent changes in their respective fair values recognized in the consolidated statements of operations and comprehensive loss at each reporting date. The fair value of the warrants was estimated using a Black-Scholes valuation model utilizing assumptions including our current common stock price, expected volatility, risk-free rate, expected term and expected dividend yield. The fair value of the Registered Direct Offering Warrants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Registered Direct Offering Warrants involves certain assumptions requiring significant judgment and actual results can differ from assumed and estimated amounts.</w:t>
      </w:r>
    </w:p>
    <w:p>
      <w:pPr>
        <w:pStyle w:val="TextBody"/>
        <w:bidi w:val="0"/>
        <w:spacing w:before="200" w:after="283"/>
        <w:jc w:val="left"/>
        <w:rPr>
          <w:rFonts w:ascii="Times New Roman" w:hAnsi="Times New Roman"/>
          <w:sz w:val="20"/>
        </w:rPr>
      </w:pPr>
      <w:r>
        <w:rPr>
          <w:rFonts w:ascii="Times New Roman" w:hAnsi="Times New Roman"/>
          <w:i/>
          <w:color w:val="000000"/>
          <w:sz w:val="20"/>
        </w:rPr>
        <w:t>Loan Agreement Warrants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accounted for the Loan Agreement Warrants issued in connection with the Loan Agreement in accordance with the guidance contained in ASC 480 and ASC 815. The Loan Agreement Warrants (as defined in Note 10 to our accompanying consolidated financial statements contained in Part II, Item 8 of this Annual Report on Form 10-K) did not meet the criteria for equity treatment and must be recorded as liabilities. As the Loan Agreement Warrants meet the definition of a derivative under ASC 815, we recorded these warrants as liabilities on the consolidated balance sheet at fair value, with subsequent changes in their fair value recognized in the consolidated statements of operations and comprehensive loss at each reporting date. The fair value of the Loan Agreement Warrants was estimated using a Black-Scholes valuation model utilizing assumptions including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current common stock price, expected volatility, risk-free rate, expected term and expected dividend yield. The fair value of the Loan Agreement Warrants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Loan Agreement Warrants involves certain assumptions requiring significant judgment and actual results can differ from assumed and estimated amounts.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Loan Agreement Conversion Derivative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accounted for the conversion feature embedded in the Loan Agreement in accordance with the guidance contained in ASC 815. The Loan Agreement conversion feature (as defined in Note 2 to our accompanying consolidated financial statements contained in Part II, Item 8 of this Annual Report on Form 10-K) required bifurcation from the host debt instrument and is recorded as a derivative liability. Accordingly, we recorded the Loan Agreement conversion derivative liability on the consolidated balance sheet at fair value, with subsequent changes in its fair value recognized in the consolidated statements of operations and comprehensive loss at each reporting date. The fair value of the Loan Agreement conversion derivative liability was estimated using a Black-Scholes valuation model utilizing assumptions including our current common stock price, expected volatility, risk-free rate, expected term and expected dividend yield. The fair value of the Loan Agreement conversion derivative liability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Loan Agreement conversion derivative liability involves certain assumptions requiring significant judgment and actual results can differ from assumed and estimated amounts.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Smaller Reporting Company Status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pStyle w:val="TextBody"/>
        <w:bidi w:val="0"/>
        <w:spacing w:before="200" w:after="283"/>
        <w:jc w:val="left"/>
        <w:rPr>
          <w:rFonts w:ascii="Times New Roman" w:hAnsi="Times New Roman"/>
          <w:b/>
          <w:color w:val="231F20"/>
          <w:sz w:val="20"/>
        </w:rPr>
      </w:pPr>
      <w:bookmarkStart w:id="22" w:name="quantitativ_and_qualitative_disclosures"/>
      <w:bookmarkEnd w:id="22"/>
      <w:r>
        <w:rPr>
          <w:rFonts w:ascii="Times New Roman" w:hAnsi="Times New Roman"/>
          <w:b/>
          <w:color w:val="231F20"/>
          <w:sz w:val="20"/>
        </w:rPr>
        <w:t>Item 7A. Quantitative and Qualitative Disclosures About Market Risk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qualify as a smaller reporting company, as defined by Item 10 of Regulation S-K and, thus,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231F20"/>
          <w:sz w:val="20"/>
        </w:rPr>
      </w:pPr>
      <w:bookmarkStart w:id="23" w:name="financial_statements_and_supplementary"/>
      <w:bookmarkEnd w:id="23"/>
      <w:r>
        <w:rPr>
          <w:rFonts w:ascii="Times New Roman" w:hAnsi="Times New Roman"/>
          <w:b/>
          <w:color w:val="231F20"/>
          <w:sz w:val="20"/>
        </w:rPr>
        <w:t>Item 8. Financial Statements and Supplementary Data.</w:t>
      </w:r>
    </w:p>
    <w:p>
      <w:pPr>
        <w:pStyle w:val="TextBody"/>
        <w:bidi w:val="0"/>
        <w:spacing w:before="200" w:after="283"/>
        <w:jc w:val="center"/>
        <w:rPr>
          <w:rFonts w:ascii="Times New Roman" w:hAnsi="Times New Roman"/>
          <w:b/>
          <w:color w:val="231F20"/>
          <w:sz w:val="20"/>
        </w:rPr>
      </w:pPr>
      <w:r>
        <w:rPr>
          <w:rFonts w:ascii="Times New Roman" w:hAnsi="Times New Roman"/>
          <w:b/>
          <w:color w:val="231F20"/>
          <w:sz w:val="20"/>
        </w:rPr>
        <w:t>INDEX TO CONSOLIDATED FINANCIAL STATEMENTS</w:t>
      </w:r>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59"/>
        <w:gridCol w:w="646"/>
      </w:tblGrid>
      <w:tr>
        <w:trPr/>
        <w:tc>
          <w:tcPr>
            <w:tcW w:w="955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55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Page</w:t>
            </w:r>
          </w:p>
        </w:tc>
      </w:tr>
      <w:tr>
        <w:trPr/>
        <w:tc>
          <w:tcPr>
            <w:tcW w:w="9559" w:type="dxa"/>
            <w:tcBorders/>
            <w:shd w:fill="CCEEFF" w:val="clear"/>
            <w:tcMar>
              <w:top w:w="0" w:type="dxa"/>
              <w:left w:w="0" w:type="dxa"/>
              <w:bottom w:w="0" w:type="dxa"/>
              <w:right w:w="0" w:type="dxa"/>
            </w:tcMar>
            <w:vAlign w:val="center"/>
          </w:tcPr>
          <w:p>
            <w:pPr>
              <w:pStyle w:val="TableContents"/>
              <w:bidi w:val="0"/>
              <w:spacing w:before="33" w:after="30"/>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238)</w:t>
            </w:r>
          </w:p>
        </w:tc>
        <w:tc>
          <w:tcPr>
            <w:tcW w:w="646" w:type="dxa"/>
            <w:tcBorders/>
            <w:shd w:fill="CCEEFF" w:val="clear"/>
            <w:tcMar>
              <w:top w:w="0" w:type="dxa"/>
              <w:left w:w="0" w:type="dxa"/>
              <w:bottom w:w="0" w:type="dxa"/>
              <w:right w:w="0" w:type="dxa"/>
            </w:tcMar>
            <w:vAlign w:val="center"/>
          </w:tcPr>
          <w:p>
            <w:pPr>
              <w:pStyle w:val="TableContents"/>
              <w:bidi w:val="0"/>
              <w:spacing w:before="33" w:after="30"/>
              <w:jc w:val="right"/>
              <w:rPr>
                <w:rFonts w:ascii="Times New Roman" w:hAnsi="Times New Roman"/>
                <w:color w:val="000000"/>
                <w:sz w:val="20"/>
              </w:rPr>
            </w:pPr>
            <w:r>
              <w:rPr>
                <w:rFonts w:ascii="Times New Roman" w:hAnsi="Times New Roman"/>
                <w:color w:val="000000"/>
                <w:sz w:val="20"/>
              </w:rPr>
              <w:t>127</w:t>
            </w:r>
          </w:p>
        </w:tc>
      </w:tr>
      <w:tr>
        <w:trPr/>
        <w:tc>
          <w:tcPr>
            <w:tcW w:w="9559" w:type="dxa"/>
            <w:tcBorders/>
            <w:shd w:fill="FFFFFF" w:val="clear"/>
            <w:tcMar>
              <w:top w:w="0" w:type="dxa"/>
              <w:left w:w="0" w:type="dxa"/>
              <w:bottom w:w="0" w:type="dxa"/>
              <w:right w:w="0" w:type="dxa"/>
            </w:tcMar>
            <w:vAlign w:val="center"/>
          </w:tcPr>
          <w:p>
            <w:pPr>
              <w:pStyle w:val="TableContents"/>
              <w:bidi w:val="0"/>
              <w:spacing w:before="53" w:after="30"/>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646" w:type="dxa"/>
            <w:tcBorders/>
            <w:shd w:fill="FFFF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00"/>
                <w:sz w:val="20"/>
              </w:rPr>
            </w:pPr>
            <w:r>
              <w:rPr>
                <w:rFonts w:ascii="Times New Roman" w:hAnsi="Times New Roman"/>
                <w:color w:val="000000"/>
                <w:sz w:val="20"/>
              </w:rPr>
              <w:t>129</w:t>
            </w:r>
          </w:p>
        </w:tc>
      </w:tr>
      <w:tr>
        <w:trPr/>
        <w:tc>
          <w:tcPr>
            <w:tcW w:w="9559"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pPr>
            <w:hyperlink w:anchor="consolidated_statements_of_operations">
              <w:r>
                <w:rPr>
                  <w:rStyle w:val="InternetLink"/>
                  <w:rFonts w:ascii="Times New Roman" w:hAnsi="Times New Roman"/>
                  <w:color w:val="0000FF"/>
                  <w:sz w:val="20"/>
                  <w:u w:val="single"/>
                </w:rPr>
                <w:t>Consolidated Statements of Operations and Comprehensive Loss for the Years ended December 31, 2025 and 2024</w:t>
              </w:r>
            </w:hyperlink>
          </w:p>
        </w:tc>
        <w:tc>
          <w:tcPr>
            <w:tcW w:w="646"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00"/>
                <w:sz w:val="20"/>
              </w:rPr>
            </w:pPr>
            <w:r>
              <w:rPr>
                <w:rFonts w:ascii="Times New Roman" w:hAnsi="Times New Roman"/>
                <w:color w:val="000000"/>
                <w:sz w:val="20"/>
              </w:rPr>
              <w:t>130</w:t>
            </w:r>
          </w:p>
        </w:tc>
      </w:tr>
      <w:tr>
        <w:trPr/>
        <w:tc>
          <w:tcPr>
            <w:tcW w:w="9559" w:type="dxa"/>
            <w:tcBorders/>
            <w:shd w:fill="FFFFFF" w:val="clear"/>
            <w:tcMar>
              <w:top w:w="0" w:type="dxa"/>
              <w:left w:w="0" w:type="dxa"/>
              <w:bottom w:w="0" w:type="dxa"/>
              <w:right w:w="0" w:type="dxa"/>
            </w:tcMar>
            <w:vAlign w:val="center"/>
          </w:tcPr>
          <w:p>
            <w:pPr>
              <w:pStyle w:val="TableContents"/>
              <w:bidi w:val="0"/>
              <w:spacing w:before="53" w:after="30"/>
              <w:ind w:left="0" w:right="0" w:firstLine="180"/>
              <w:jc w:val="left"/>
              <w:rPr/>
            </w:pPr>
            <w:hyperlink w:anchor="consolidated_statements_of_changes">
              <w:r>
                <w:rPr>
                  <w:rStyle w:val="InternetLink"/>
                  <w:rFonts w:ascii="Times New Roman" w:hAnsi="Times New Roman"/>
                  <w:color w:val="0000FF"/>
                  <w:sz w:val="20"/>
                  <w:u w:val="single"/>
                </w:rPr>
                <w:t>Consolidated Statements of Changes in Stockholders’ Equity (Deficit) for the Years ended December 31, 2025 and 2024</w:t>
              </w:r>
            </w:hyperlink>
            <w:hyperlink w:anchor="consolidated_statements_of_changes">
              <w:r>
                <w:rPr>
                  <w:rStyle w:val="InternetLink"/>
                  <w:rFonts w:ascii="Times New Roman" w:hAnsi="Times New Roman"/>
                  <w:color w:val="0000FF"/>
                  <w:sz w:val="20"/>
                </w:rPr>
                <w:t xml:space="preserve"> </w:t>
              </w:r>
            </w:hyperlink>
          </w:p>
        </w:tc>
        <w:tc>
          <w:tcPr>
            <w:tcW w:w="646" w:type="dxa"/>
            <w:tcBorders/>
            <w:shd w:fill="FFFF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131</w:t>
            </w:r>
          </w:p>
        </w:tc>
      </w:tr>
      <w:tr>
        <w:trPr/>
        <w:tc>
          <w:tcPr>
            <w:tcW w:w="9559" w:type="dxa"/>
            <w:tcBorders/>
            <w:shd w:fill="CCEEFF" w:val="clear"/>
            <w:tcMar>
              <w:top w:w="0" w:type="dxa"/>
              <w:left w:w="0" w:type="dxa"/>
              <w:bottom w:w="0" w:type="dxa"/>
              <w:right w:w="0" w:type="dxa"/>
            </w:tcMar>
            <w:vAlign w:val="center"/>
          </w:tcPr>
          <w:p>
            <w:pPr>
              <w:pStyle w:val="TableContents"/>
              <w:bidi w:val="0"/>
              <w:spacing w:before="53" w:after="30"/>
              <w:jc w:val="both"/>
              <w:rPr/>
            </w:pPr>
            <w:hyperlink w:anchor="consolidated_statements_of_cash_flows">
              <w:r>
                <w:rPr>
                  <w:rStyle w:val="InternetLink"/>
                  <w:rFonts w:ascii="Times New Roman" w:hAnsi="Times New Roman"/>
                  <w:color w:val="0000FF"/>
                  <w:sz w:val="20"/>
                  <w:u w:val="single"/>
                </w:rPr>
                <w:t>Consolidated Statements of Cash Flows for the Years ended December 31, 2025 and 2024</w:t>
              </w:r>
            </w:hyperlink>
          </w:p>
        </w:tc>
        <w:tc>
          <w:tcPr>
            <w:tcW w:w="646"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132</w:t>
            </w:r>
          </w:p>
        </w:tc>
      </w:tr>
      <w:tr>
        <w:trPr/>
        <w:tc>
          <w:tcPr>
            <w:tcW w:w="9559" w:type="dxa"/>
            <w:tcBorders/>
            <w:shd w:fill="FFFFFF" w:val="clear"/>
            <w:tcMar>
              <w:top w:w="0" w:type="dxa"/>
              <w:left w:w="0" w:type="dxa"/>
              <w:bottom w:w="0" w:type="dxa"/>
              <w:right w:w="0" w:type="dxa"/>
            </w:tcMar>
            <w:vAlign w:val="center"/>
          </w:tcPr>
          <w:p>
            <w:pPr>
              <w:pStyle w:val="TableContents"/>
              <w:bidi w:val="0"/>
              <w:spacing w:before="53" w:after="30"/>
              <w:jc w:val="both"/>
              <w:rPr/>
            </w:pPr>
            <w:hyperlink w:anchor="notes_to_conso_financial_statements">
              <w:r>
                <w:rPr>
                  <w:rStyle w:val="InternetLink"/>
                  <w:rFonts w:ascii="Times New Roman" w:hAnsi="Times New Roman"/>
                  <w:color w:val="0000FF"/>
                  <w:sz w:val="20"/>
                  <w:u w:val="single"/>
                </w:rPr>
                <w:t>Notes to Consolidated Financial Statements</w:t>
              </w:r>
            </w:hyperlink>
          </w:p>
        </w:tc>
        <w:tc>
          <w:tcPr>
            <w:tcW w:w="646" w:type="dxa"/>
            <w:tcBorders/>
            <w:shd w:fill="FFFF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bookmarkStart w:id="24" w:name="report_of_independent_registered"/>
      <w:bookmarkEnd w:id="24"/>
      <w:r>
        <w:rPr>
          <w:rFonts w:ascii="Times New Roman" w:hAnsi="Times New Roman"/>
          <w:b/>
          <w:color w:val="231F20"/>
          <w:sz w:val="20"/>
        </w:rPr>
        <w:t>Report of Independent Registered Public Accounting Firm</w:t>
      </w:r>
    </w:p>
    <w:p>
      <w:pPr>
        <w:pStyle w:val="TextBody"/>
        <w:bidi w:val="0"/>
        <w:spacing w:before="200" w:after="160"/>
        <w:jc w:val="left"/>
        <w:rPr>
          <w:rFonts w:ascii="Times New Roman" w:hAnsi="Times New Roman"/>
          <w:color w:val="231F20"/>
          <w:sz w:val="20"/>
        </w:rPr>
      </w:pPr>
      <w:r>
        <w:rPr>
          <w:rFonts w:ascii="Times New Roman" w:hAnsi="Times New Roman"/>
          <w:color w:val="231F20"/>
          <w:sz w:val="20"/>
        </w:rPr>
        <w:t>To the Board of Directors and Stockholders of Humacyte, Inc.</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have audited the accompanying consolidated balance sheets of Humacyte, Inc. and its subsidiaries (the “Company”) as of December 31, 2025 and 2024, and the related consolidated statements of operations and comprehensive loss,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40" w:after="160"/>
        <w:jc w:val="left"/>
        <w:rPr>
          <w:rFonts w:ascii="Times New Roman" w:hAnsi="Times New Roman"/>
          <w:i/>
          <w:color w:val="231F20"/>
          <w:sz w:val="20"/>
        </w:rPr>
      </w:pPr>
      <w:r>
        <w:rPr>
          <w:rFonts w:ascii="Times New Roman" w:hAnsi="Times New Roman"/>
          <w:i/>
          <w:color w:val="231F20"/>
          <w:sz w:val="20"/>
        </w:rPr>
        <w:t>Substantial Doubt about the Company’s Ability to Continue as a Going Concern</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left"/>
        <w:rPr>
          <w:rFonts w:ascii="Times New Roman" w:hAnsi="Times New Roman"/>
          <w:i/>
          <w:color w:val="000000"/>
          <w:sz w:val="20"/>
        </w:rPr>
      </w:pPr>
      <w:r>
        <w:rPr>
          <w:rFonts w:ascii="Times New Roman" w:hAnsi="Times New Roman"/>
          <w:i/>
          <w:color w:val="000000"/>
          <w:sz w:val="20"/>
        </w:rPr>
        <w:t>Contingent Earnout Liability</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As described in Notes 2 and 3 to the consolidated financial statements, the Company’s contingent earnout liability was $11.5 million as of December 31, 2025. Pursuant to the merger agreement, following the closing of the 2021 merger, Legacy Humacyte equity holders are entitled to receive additional merger consideration of up to 15,000,000 additional shares of common stock (the “contingent earnout shares”), comprised of two separate tranches of 7,500,000 shares per tranche, for no consideration upon the occurrence of certain triggering events. The contingent earnout shares were accounted for as a liability (the “contingent earnout liability”) and are remeasured at each reporting date. The estimated fair value of the contingent earnout liability was determined using a Monte Carlo simulation using a distribution of potential outcomes on a monthly basis over a 10-year period prioritizing the most reliable information available. Management’s assumptions utilized in the calculation were based on the achievement of certain stock price milestones, including the expected volatility and expected term, as well as certain data inputs, including the Company’s common stock price, risk-free interest rate, and expected dividend yield.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contingent earnout liability is a critical audit matter are (i) the significant judgment by management when developing the fair value estimate of the contingent earnout liability; (ii) a high degree of auditor judgement, subjectivity, and effort in performing procedures and evaluating management’s significant assumptions related to expected volatility and expected term; and (iii) the audit effort involved the use of professionals with specialized skill and knowledge.</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among others (i) testing the completeness and accuracy of underlying data provided by management and (ii) the involvement of professionals with specialized skill and knowledge to assist in evaluating the reasonableness of management’s estimate by (a) developing an independent range of estimated contingent earnout liability using independently developed assumptions related to expected volatility and expected term and (b) comparing the independent range of estimated contingent earnout liability to management’s estimate.</w:t>
      </w:r>
    </w:p>
    <w:p>
      <w:pPr>
        <w:pStyle w:val="TextBody"/>
        <w:bidi w:val="0"/>
        <w:spacing w:before="80" w:after="283"/>
        <w:jc w:val="left"/>
        <w:rPr>
          <w:rFonts w:ascii="Times New Roman" w:hAnsi="Times New Roman"/>
          <w:color w:val="231F20"/>
          <w:sz w:val="20"/>
        </w:rPr>
      </w:pPr>
      <w:r>
        <w:rPr>
          <w:rFonts w:ascii="Times New Roman" w:hAnsi="Times New Roman"/>
          <w:color w:val="231F20"/>
          <w:sz w:val="20"/>
        </w:rPr>
        <w:t>/s/ PricewaterhouseCoopers LLP</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Raleigh, North Carolina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March 27, 2026</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have served as the Company’s auditor since 2013.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bookmarkStart w:id="25" w:name="consolidated_balance_sheets"/>
      <w:bookmarkEnd w:id="25"/>
      <w:r>
        <w:rPr>
          <w:rFonts w:ascii="Times New Roman" w:hAnsi="Times New Roman"/>
          <w:b/>
          <w:color w:val="231F20"/>
          <w:sz w:val="20"/>
        </w:rPr>
        <w:t>CONSOLIDATED BALANCE SHEETS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62"/>
        <w:gridCol w:w="146"/>
        <w:gridCol w:w="196"/>
        <w:gridCol w:w="751"/>
        <w:gridCol w:w="166"/>
        <w:gridCol w:w="146"/>
        <w:gridCol w:w="196"/>
        <w:gridCol w:w="751"/>
        <w:gridCol w:w="391"/>
      </w:tblGrid>
      <w:tr>
        <w:trPr/>
        <w:tc>
          <w:tcPr>
            <w:tcW w:w="7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137,872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 interest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interest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obligation,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190,541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w:t>
            </w:r>
            <w:r>
              <w:rPr>
                <w:rFonts w:ascii="Times New Roman" w:hAnsi="Times New Roman"/>
                <w:color w:val="000000"/>
                <w:sz w:val="20"/>
              </w:rPr>
              <w:t> </w:t>
            </w:r>
            <w:r>
              <w:rPr>
                <w:rFonts w:ascii="Times New Roman" w:hAnsi="Times New Roman"/>
                <w:color w:val="000000"/>
                <w:sz w:val="18"/>
              </w:rPr>
              <w:t>shares designated as of</w:t>
              <w:br/>
              <w:t>   December 31, 2025 and 2024; 0</w:t>
            </w:r>
            <w:r>
              <w:rPr>
                <w:rFonts w:ascii="Times New Roman" w:hAnsi="Times New Roman"/>
                <w:color w:val="000000"/>
                <w:sz w:val="20"/>
              </w:rPr>
              <w:t> </w:t>
            </w:r>
            <w:r>
              <w:rPr>
                <w:rFonts w:ascii="Times New Roman" w:hAnsi="Times New Roman"/>
                <w:color w:val="000000"/>
                <w:sz w:val="18"/>
              </w:rPr>
              <w:t>shares issued and outstanding as of</w:t>
              <w:br/>
              <w: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350,000,000</w:t>
            </w:r>
            <w:r>
              <w:rPr>
                <w:rFonts w:ascii="Times New Roman" w:hAnsi="Times New Roman"/>
                <w:color w:val="000000"/>
                <w:sz w:val="20"/>
              </w:rPr>
              <w:t> </w:t>
            </w:r>
            <w:r>
              <w:rPr>
                <w:rFonts w:ascii="Times New Roman" w:hAnsi="Times New Roman"/>
                <w:color w:val="000000"/>
                <w:sz w:val="18"/>
              </w:rPr>
              <w:t>and 250,000,000</w:t>
            </w:r>
            <w:r>
              <w:rPr>
                <w:rFonts w:ascii="Times New Roman" w:hAnsi="Times New Roman"/>
                <w:color w:val="000000"/>
                <w:sz w:val="20"/>
              </w:rPr>
              <w:t> </w:t>
            </w:r>
            <w:r>
              <w:rPr>
                <w:rFonts w:ascii="Times New Roman" w:hAnsi="Times New Roman"/>
                <w:color w:val="000000"/>
                <w:sz w:val="18"/>
              </w:rPr>
              <w:t>shares authorized as of December 31, 2025 and 2024, respectively; 193,000,611</w:t>
            </w:r>
            <w:r>
              <w:rPr>
                <w:rFonts w:ascii="Times New Roman" w:hAnsi="Times New Roman"/>
                <w:color w:val="000000"/>
                <w:sz w:val="20"/>
              </w:rPr>
              <w:t> </w:t>
            </w:r>
            <w:r>
              <w:rPr>
                <w:rFonts w:ascii="Times New Roman" w:hAnsi="Times New Roman"/>
                <w:color w:val="000000"/>
                <w:sz w:val="18"/>
              </w:rPr>
              <w:t>and 130,027,509</w:t>
            </w:r>
            <w:r>
              <w:rPr>
                <w:rFonts w:ascii="Times New Roman" w:hAnsi="Times New Roman"/>
                <w:color w:val="000000"/>
                <w:sz w:val="20"/>
              </w:rPr>
              <w:t> </w:t>
            </w:r>
            <w:r>
              <w:rPr>
                <w:rFonts w:ascii="Times New Roman" w:hAnsi="Times New Roman"/>
                <w:color w:val="000000"/>
                <w:sz w:val="18"/>
              </w:rPr>
              <w:t>shares issued and outstanding as of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633,333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(686,015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(52,669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137,872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bookmarkStart w:id="26" w:name="consolidated_statements_of_operations"/>
      <w:bookmarkEnd w:id="26"/>
      <w:r>
        <w:rPr>
          <w:rFonts w:ascii="Times New Roman" w:hAnsi="Times New Roman"/>
          <w:b/>
          <w:color w:val="231F20"/>
          <w:sz w:val="20"/>
        </w:rPr>
        <w:t>CONSOLIDATED 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for share and per share amounts)</w:t>
      </w:r>
    </w:p>
    <w:p>
      <w:pPr>
        <w:pStyle w:val="TextBody"/>
        <w:bidi w:val="0"/>
        <w:jc w:val="left"/>
        <w:rPr/>
      </w:pPr>
      <w:r>
        <w:rPr/>
        <w:t> </w:t>
      </w:r>
    </w:p>
    <w:tbl>
      <w:tblPr>
        <w:tblW w:w="9724" w:type="dxa"/>
        <w:jc w:val="left"/>
        <w:tblInd w:w="0" w:type="dxa"/>
        <w:tblLayout w:type="fixed"/>
        <w:tblCellMar>
          <w:top w:w="28" w:type="dxa"/>
          <w:left w:w="28" w:type="dxa"/>
          <w:bottom w:w="28" w:type="dxa"/>
          <w:right w:w="28" w:type="dxa"/>
        </w:tblCellMar>
      </w:tblPr>
      <w:tblGrid>
        <w:gridCol w:w="6151"/>
        <w:gridCol w:w="146"/>
        <w:gridCol w:w="211"/>
        <w:gridCol w:w="1141"/>
        <w:gridCol w:w="166"/>
        <w:gridCol w:w="146"/>
        <w:gridCol w:w="211"/>
        <w:gridCol w:w="1141"/>
        <w:gridCol w:w="4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(114,398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(148,701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used in computing net loss per share</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158,160,468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118,479,097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bookmarkStart w:id="27" w:name="consolidated_statements_of_changes"/>
      <w:bookmarkEnd w:id="27"/>
      <w:r>
        <w:rPr>
          <w:rFonts w:ascii="Times New Roman" w:hAnsi="Times New Roman"/>
          <w:b/>
          <w:color w:val="231F20"/>
          <w:sz w:val="20"/>
        </w:rPr>
        <w:t>CONSOLIDATED STATEMENTS OF CHANGES IN STOCKHOLDERS’ EQUITY (DEFICIT)</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for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8"/>
        <w:gridCol w:w="146"/>
        <w:gridCol w:w="146"/>
        <w:gridCol w:w="1141"/>
        <w:gridCol w:w="146"/>
        <w:gridCol w:w="146"/>
        <w:gridCol w:w="261"/>
        <w:gridCol w:w="430"/>
        <w:gridCol w:w="146"/>
        <w:gridCol w:w="146"/>
        <w:gridCol w:w="211"/>
        <w:gridCol w:w="781"/>
        <w:gridCol w:w="146"/>
        <w:gridCol w:w="146"/>
        <w:gridCol w:w="211"/>
        <w:gridCol w:w="841"/>
        <w:gridCol w:w="166"/>
        <w:gridCol w:w="146"/>
        <w:gridCol w:w="226"/>
        <w:gridCol w:w="903"/>
        <w:gridCol w:w="212"/>
      </w:tblGrid>
      <w:tr>
        <w:trPr/>
        <w:tc>
          <w:tcPr>
            <w:tcW w:w="3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103,673,728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(537,314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in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in registered direct offerings,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under Jefferies ATM Facility,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commitment shares under the Common Stock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stock under the Common Stock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130,027,509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in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in registered direct offerings,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under Jefferies ATM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in settlement of the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193,000,611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bookmarkStart w:id="28" w:name="consolidated_statements_of_cash_flows"/>
      <w:bookmarkEnd w:id="28"/>
      <w:r>
        <w:rPr>
          <w:rFonts w:ascii="Times New Roman" w:hAnsi="Times New Roman"/>
          <w:b/>
          <w:color w:val="231F20"/>
          <w:sz w:val="20"/>
        </w:rPr>
        <w:t>CONSOLIDATED STATEMENTS OF CASH FLOWS</w:t>
      </w:r>
    </w:p>
    <w:p>
      <w:pPr>
        <w:pStyle w:val="TextBody"/>
        <w:bidi w:val="0"/>
        <w:jc w:val="center"/>
        <w:rPr>
          <w:rFonts w:ascii="Times New Roman" w:hAnsi="Times New Roman"/>
          <w:b/>
          <w:color w:val="231F20"/>
          <w:sz w:val="20"/>
        </w:rPr>
      </w:pPr>
      <w:r>
        <w:rPr>
          <w:rFonts w:ascii="Times New Roman" w:hAnsi="Times New Roman"/>
          <w:b/>
          <w:color w:val="231F2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2"/>
        <w:gridCol w:w="546"/>
        <w:gridCol w:w="196"/>
        <w:gridCol w:w="751"/>
        <w:gridCol w:w="166"/>
        <w:gridCol w:w="146"/>
        <w:gridCol w:w="196"/>
        <w:gridCol w:w="751"/>
        <w:gridCol w:w="611"/>
      </w:tblGrid>
      <w:tr>
        <w:trPr/>
        <w:tc>
          <w:tcPr>
            <w:tcW w:w="68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Earnout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reserve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obligation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Term Loan Facility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transaction costs related to the Loan Agreement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 in public offering, net of underwriting fees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costs related to public offering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 and warrants in registered direct offerings, net of placement agent fees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revenue interest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the Purchase Agreement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Purchase Agreement, net of issuance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transaction costs related to the Purchase Agreement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 under Jefferies ATM Facility, net of issuance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stock under the Common Stock Purchase Agreement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exercise of stock options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JDRF Agreement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principal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beginning of the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the end of the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95,290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transaction costs related to the Loan Agreement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right-of-use assets and lease liabilities resulting from lease remeasurement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Accrual of transaction costs associated with public offering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discount from embedded contingent derivative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commitment shares pursuant to the Common Stock Purchase Agreement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bookmarkStart w:id="29" w:name="notes_to_conso_financial_statements"/>
      <w:bookmarkEnd w:id="29"/>
      <w:r>
        <w:rPr>
          <w:rFonts w:ascii="Times New Roman" w:hAnsi="Times New Roman"/>
          <w:b/>
          <w:color w:val="231F20"/>
          <w:sz w:val="20"/>
        </w:rPr>
        <w:t>NOTES TO CONSOLIDATED FINANCIAL STATEMENTS</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 Organization and Description of Business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Organization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August 26, 2021 (the “Closing Date”), Alpha Healthcare Acquisition Corp. (“AHAC”) consummated a merger pursuant to a Business Combination Agreement, dated as of February 17, 2021 (the “Merger Agreement”), by and among Humacyte, Inc. (“Legacy Humacyte”), AHAC and Hunter Merger Sub, Inc. (“Merger Sub”), a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Liquidity and Going Concern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Since its inception in 2004, the Company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product revenue, governmental and other grants. At December 31, 2025 and December 31, 2024, the Company had an accumulated deficit of $726.8 million and $686.0 million, respectively. The Company’s operating losses were $108.1 million and $114.4 million for the years ended December 31, 2025 and 2024, respectively. Net cash flows used in operating activities were $105.0 million and $98.1 million during the years ended December 31, 2025 and 2024,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As of December 31, 2025, the Company had available cash and cash equivalents of $50.5 million. </w:t>
      </w:r>
      <w:r>
        <w:rPr>
          <w:rFonts w:ascii="Times New Roman" w:hAnsi="Times New Roman"/>
          <w:color w:val="000000"/>
          <w:sz w:val="20"/>
        </w:rPr>
        <w:t>Subsequent to December 31, 2025, on March 20, 2026, we issued and sold to certain investors in a registered direct offering 25,000,000 shares of Common Stock at a price of $0.80 per share (the “March 2026 Registered Direct Offering”). Net proceeds to the Company from the March 2026 Registered Direct Offering were approximately $18,400,000, after deducting the placement agent’s fees and estimated expenses payable by the Company. Also, from January 1, 2026 until March 17, 2026, we sold an aggregate of 4,018,497 shares of Common Stock under the TD Cowen ATM Facility (defined in Note 10) at an average price of $1.16 per share for net proceeds of approximately $4.6 million. On March 19, 2026, we suspended and terminated the ATM Prospectus (defined in Note 10), pursuant to which shares had been sold under the TD Cowen ATM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further disclosed in Note 7, Revenue Interest Purchase Agreement, on May 12, 2023, Humacyte, Inc. and Global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Company’s ATEV, to repay the Company’s then-existing credit facility with Silicon Valley Bank (“SVB”), and for other general corporate purposes.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Agreement contained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contained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to remove requirements related to the leasehold mortgage. In exchange for removing this requirement, the Company agreed to fund an account in the amount of $54.0 million over which the Agent had certain consent and other rights to $50.0 million of the funds. The Company funded an account with the required $54.0 million on August 14, 2024. On September 17, 2025, the Company and Humacyte Global, Inc. (“Humacyte Global”) entered into a second amendment to the Purchase Agreement (the “Purchase Agreement Amendment”) with the Purchasers and the Agent to amend the Purchase Agreement. In connection with the Purchase Agreement Amendment, the Company made a $50.0 million repayment under the Purchase Agreement (the “Purchase Agreement Amendment Payment”), funded from the restricted cash previously maintained for the benefit of the Agent. As a result of the Purchase Agreement Amendment Payment, the Company was no longer obligated to maintain $50.0 million of restricted cash in an account for the benefit of the Agent. As of December 31, 2025 and 2024, $0.0 million and $50.0 million, respectively, related to the Purchase Agreement was classified as restricted cash on the accompanying consolidated balance sheets.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December 15, 2025, the Company entered into a payoff letter with the Purchasers and the Purchasers’ Agent pursuant to which the Purchase Agreement and the Option Agreement were terminated in their entirety. As consideration for the termination of these agreements and the satisfaction of all obligations thereunder, the Company paid $38.0 million in cash and issued 5,725,190 shares of the Company’s common stock, par value $0.0001 per share (“Common Stock”), to the Purchasers. The cash payment was funded with proceeds from the Term Loan Facility (see Note 8, Debt). Pursuant to the Loan Agreement, the proceeds of the Term Loan Facility are required to be used to repay outstanding indebtedness under the Purchase Agreement and for other general corporate purposes. The funding of the first tranche of the Term Loan Facility was conditioned upon delivery of a payoff letter with respect to all indebtedness outstanding under the Purchase Agreement and evidence that the liens securing such indebtedness would be released. The extinguishment of the Purchase Agreement was accounted for as a debt extinguishment under ASC 470-50. The termination of the Purchase Agreement released all liens and security interests previously granted to the Purchasers and their agent and relieved the Company of any further obligations to the Purchasers. The shares issued to the Purchasers in connection with the payoff are discussed in more detail in Note 10, Stockholders’ Equity (Deficit) and Warrants. As of </w:t>
      </w:r>
      <w:r>
        <w:rPr>
          <w:rFonts w:ascii="Times New Roman" w:hAnsi="Times New Roman"/>
          <w:color w:val="231F20"/>
          <w:sz w:val="20"/>
        </w:rPr>
        <w:t>December 31, 2025 and 2024</w:t>
      </w:r>
      <w:r>
        <w:rPr>
          <w:rFonts w:ascii="Times New Roman" w:hAnsi="Times New Roman"/>
          <w:color w:val="000000"/>
          <w:sz w:val="20"/>
        </w:rPr>
        <w:t xml:space="preserve">, $0.0 million and </w:t>
      </w:r>
      <w:r>
        <w:rPr>
          <w:rFonts w:ascii="Times New Roman" w:hAnsi="Times New Roman"/>
          <w:color w:val="231F20"/>
          <w:sz w:val="20"/>
        </w:rPr>
        <w:t>$64.2 million, respectively,</w:t>
      </w:r>
      <w:r>
        <w:rPr>
          <w:rFonts w:ascii="Times New Roman" w:hAnsi="Times New Roman"/>
          <w:color w:val="000000"/>
          <w:sz w:val="20"/>
        </w:rPr>
        <w:t xml:space="preserve"> was recorded as a revenue interest liability on the accompanying consolidated balance sheets. See Note 7, Revenue Interest Purchases Agreement, for further discussion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Common Stock, having an aggregate value of up to </w:t>
      </w:r>
      <w:r>
        <w:rPr>
          <w:rFonts w:ascii="Times New Roman" w:hAnsi="Times New Roman"/>
          <w:color w:val="231F20"/>
          <w:sz w:val="20"/>
        </w:rPr>
        <w:t>$50.0 million</w:t>
      </w:r>
      <w:r>
        <w:rPr>
          <w:rFonts w:ascii="Times New Roman" w:hAnsi="Times New Roman"/>
          <w:color w:val="000000"/>
          <w:sz w:val="20"/>
        </w:rPr>
        <w:t xml:space="preserve"> (the “Purchase Shares”) over a 24-month period. The Company controls the timing and amount of any sales of Purchase Shares to Lincoln Park pursuant to the Common Stock Purchase Agreement in its sole discretion. As of </w:t>
      </w:r>
      <w:r>
        <w:rPr>
          <w:rFonts w:ascii="Times New Roman" w:hAnsi="Times New Roman"/>
          <w:color w:val="231F20"/>
          <w:sz w:val="20"/>
        </w:rPr>
        <w:t>December 31, 2025</w:t>
      </w:r>
      <w:r>
        <w:rPr>
          <w:rFonts w:ascii="Times New Roman" w:hAnsi="Times New Roman"/>
          <w:color w:val="000000"/>
          <w:sz w:val="20"/>
        </w:rPr>
        <w:t xml:space="preserve">, the Company had </w:t>
      </w:r>
      <w:r>
        <w:rPr>
          <w:rFonts w:ascii="Times New Roman" w:hAnsi="Times New Roman"/>
          <w:color w:val="231F20"/>
          <w:sz w:val="20"/>
        </w:rPr>
        <w:t>$47.5 million</w:t>
      </w:r>
      <w:r>
        <w:rPr>
          <w:rFonts w:ascii="Times New Roman" w:hAnsi="Times New Roman"/>
          <w:color w:val="000000"/>
          <w:sz w:val="20"/>
        </w:rPr>
        <w:t xml:space="preserve"> in remaining availability for sales of Common Stock under the Common Stock Purchase Agreement. There were no purchases under the Common Stock Purchase Agreement during the fiscal year ended December 31, 2025. As of </w:t>
      </w:r>
      <w:r>
        <w:rPr>
          <w:rFonts w:ascii="Times New Roman" w:hAnsi="Times New Roman"/>
          <w:color w:val="231F20"/>
          <w:sz w:val="20"/>
        </w:rPr>
        <w:t>December 31, 2024</w:t>
      </w:r>
      <w:r>
        <w:rPr>
          <w:rFonts w:ascii="Times New Roman" w:hAnsi="Times New Roman"/>
          <w:color w:val="000000"/>
          <w:sz w:val="20"/>
        </w:rPr>
        <w:t xml:space="preserve">, the Company had completed sales of shares under the Common Stock Purchase Agreement that provided </w:t>
      </w:r>
      <w:r>
        <w:rPr>
          <w:rFonts w:ascii="Times New Roman" w:hAnsi="Times New Roman"/>
          <w:color w:val="231F20"/>
          <w:sz w:val="20"/>
        </w:rPr>
        <w:t>$2.5 million</w:t>
      </w:r>
      <w:r>
        <w:rPr>
          <w:rFonts w:ascii="Times New Roman" w:hAnsi="Times New Roman"/>
          <w:color w:val="000000"/>
          <w:sz w:val="20"/>
        </w:rPr>
        <w:t xml:space="preserve"> in gross proceeds. See Note 10 for further discussion.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September 1, 2022, we entered into a sales agreement with Jefferies LLC, acting as sales agent (the “Jefferies ATM Sales Agreement”) for the sale from time to time of up to $80.0 million of shares of Common Stock (the “Jefferies ATM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Facility”). In December 2024, we sold an aggregate of 1,333,596 shares of Common Stock under the Jefferies ATM Facility at an average price of $5.26 per share for net proceeds of approximately $6.8 million. In the year ended December 31, 2025, the Company completed sales of shares under the Jefferies ATM Facility that provided net proceeds of approximately $10.0 million. On November 21, 2025, the Company delivered a notice to Jefferies LLC terminating the Jefferies ATM Sales Agreement, which termination became effective 10 days thereafter. As of December 31, 2025, no shares remained available for issuance under the Jefferies ATM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will not have sufficient liquidity to fund its operations beyond one year from the issuance of these financial statements if the Company is unable to generate sufficient cash flows from commercial sales on a timely basis and/or obtain additional capital. These factors raise substantial doubt about the Company’s ability to continue as a going concern. The future viability of the Company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additional capital may not be available to the Company when needed or on acceptable terms. 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The accompanying consolidated financial statements have been prepared assuming that the Company will continue as a going concern and contemplate the realization of assets and the satisfaction of liabilities in the normal course of business. The accompanying financial statements do not include any adjustments related to the recoverability and classification of assets or the amounts and classification of liabilities or any other adjustments that might be necessary should the Company be unable to continue as a going concern.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2. Summary of Significant Accounting Policies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Basis of Presentation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has prepared the accompanying financial statements in conformity with U.S. GAAP. The Company’s consolidated financial statements reflect the operations of the Company and its wholly owned subsidiaries. All intercompany accounts and transactions have been eliminated in consolidation.</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Use of Estimates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Reclassifications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Certain prior year amounts have been reclassified to conform to the current year presentation. In the accompanying consolidated balance sheets, amounts previously included within “Other current liabilities” as of December 31, 2024 have been reclassified to separately present the current portion of the “Revenue interest liability, current portion.” These reclassifications were made to enhance the clarity and comparability of the Company’s financial statement presentation and had no impact on previously reported total assets, total liabilities, stockholders’ deficit, or net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Segments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consolidated statements of operations and comprehensive loss. The measure of segment assets provided to and reviewed by the CODM is reported on the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one reportable and operating segment.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As a single reportable segment entity, the Company’s segment performance measure is </w:t>
      </w:r>
      <w:r>
        <w:rPr>
          <w:rFonts w:ascii="Times New Roman" w:hAnsi="Times New Roman"/>
          <w:color w:val="231F20"/>
          <w:sz w:val="20"/>
        </w:rPr>
        <w:t>consolidated net loss. Consolidated net loss is used to monitor the budget versus actual results and to help make key operating decisions such as the allocation of budget between research and development and general and administrative expenses. Significant segment expenses within net loss include cost of goods sold, research and development, and general and administrative expenses, which are each separately presented on the Company’s consolidated statements of operations and comprehensive loss. Other segment items within net loss include interest income, interest expense, the change in fair value of the Company’s Contingent Earnout Liability and the change in fair value of derivatives.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Additional disaggregated significant segment expenses that are not separately presented on the Company’s consolidated statements of operations and comprehensive loss are presented below.</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6514" w:type="dxa"/>
        <w:jc w:val="left"/>
        <w:tblInd w:w="0" w:type="dxa"/>
        <w:tblLayout w:type="fixed"/>
        <w:tblCellMar>
          <w:top w:w="28" w:type="dxa"/>
          <w:left w:w="28" w:type="dxa"/>
          <w:bottom w:w="28" w:type="dxa"/>
          <w:right w:w="28" w:type="dxa"/>
        </w:tblCellMar>
      </w:tblPr>
      <w:tblGrid>
        <w:gridCol w:w="3711"/>
        <w:gridCol w:w="146"/>
        <w:gridCol w:w="211"/>
        <w:gridCol w:w="676"/>
        <w:gridCol w:w="146"/>
        <w:gridCol w:w="146"/>
        <w:gridCol w:w="211"/>
        <w:gridCol w:w="676"/>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Direct expenses for the Company’s vascular trauma, AV access for hemodialysis and PAD indications include costs related to the Company’s clinical trials, including fees paid to CROs, consultants, clinical sites and investigators. Costs related to development activities which broadly support multiple programs using the Company’s technology platform, including personnel, materials and supplies,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development platform used across programs, process development, manufacturing analytics and preclinical research and development for prospective product candidates and new technologies.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Non-cash Operating Expenses</w:t>
      </w:r>
    </w:p>
    <w:tbl>
      <w:tblPr>
        <w:tblW w:w="5731" w:type="dxa"/>
        <w:jc w:val="left"/>
        <w:tblInd w:w="0" w:type="dxa"/>
        <w:tblLayout w:type="fixed"/>
        <w:tblCellMar>
          <w:top w:w="28" w:type="dxa"/>
          <w:left w:w="28" w:type="dxa"/>
          <w:bottom w:w="28" w:type="dxa"/>
          <w:right w:w="28" w:type="dxa"/>
        </w:tblCellMar>
      </w:tblPr>
      <w:tblGrid>
        <w:gridCol w:w="3201"/>
        <w:gridCol w:w="146"/>
        <w:gridCol w:w="214"/>
        <w:gridCol w:w="688"/>
        <w:gridCol w:w="148"/>
        <w:gridCol w:w="148"/>
        <w:gridCol w:w="214"/>
        <w:gridCol w:w="58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Inventory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capitalizes inventory when it concludes that commercialization and future economic benefit from the sale of products is probable. Prior to this conclusion, the Company expenses inventory as research and development expense in the condensed consolidated statements of operations and comprehensive loss in the period incurred. The determination to capitalize inventory costs is based on various factors, including the product’s historical shelf life, the product’s current status in the development and regulatory approval process, results from related clinical trials, results from meetings with relevant regulatory agencies, potential obstacles to the approval process and viability of commercialization and market trends.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early 2025, based on the Company’s assessment of the legal and regulatory process related to Symvess, the Company concluded that it met the criteria to capitalize expenditures as inventory. The Company capitalized $22.5 million of inventory as of December 31, 2025 and none as of December 31, 2024.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Inventory is stated at the lower of cost or net realizable value. The Company’s inventory is valued under the first in, first out method. Cost includes direct materials, direct labor and an allocation of manufacturing overhead. </w:t>
      </w:r>
      <w:r>
        <w:rPr>
          <w:rFonts w:ascii="Times New Roman" w:hAnsi="Times New Roman"/>
          <w:color w:val="000000"/>
          <w:sz w:val="20"/>
        </w:rPr>
        <w:t>Raw and intermediate materials that may be used for either research and development or commercial purposes are classified as inventory until the material is consumed or otherwise allocated for research and development. If the material is used for research and development, it is expensed as research and development once that determination is made.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evaluates inventory for excess, obsolete or slow-moving items based on historical and forecasted demand, product shelf life, regulatory considerations and other factors that may affect the recoverability of inventory. When necessary, the Company records a reserve to reduce inventory to its estimated net realizable value. The determination of any required inventory reserve involves significant judgment and is based on estimates of future sales volumes, expected market acceptance and demand for the Company’s products. As the Company commenced commercialization of Symvess in 2025 and has limited commercial sales history, actual future demand may differ from current estimates. Changes in demand forecasts, market conditions, manufacturing performance or other factors could result in additional inventory write-downs in future periods.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the year ended December 31, 2025, the Company recorded an inventory reserve of $8.9 million to adjust certain inventory to its estimated net realizable value. Provision for inventory reserves and write-downs is recorded within cost of goods sold in the consolidated statements of operations and comprehensive loss. Cost of goods sold was $9.7 million for the year ended December 31, 2025, which includes the $8.9 million inventory reserve, overhead related to unused production capacity, and royalty expense related to product sales. No cost of goods sold was recognized during the year ended December 31, 2024.</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Revenue Recognition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Revenue from Customers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Under Accounting Standards Codification 606, “Revenue from Contracts with Customers”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satisfies a performance obligation. ASC 606 also impacts certain other areas, such as the accounting for costs to obtain or fulfill a contract.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ASC 606 requires disclosure of the nature, amount, timing, and uncertainty of revenue and cash flows arising from contracts with customers.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Product Revenue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Company’s current source of product revenue has been from U.S. sales of Symvess. The Company recognizes product revenue upon delivery of Symvess to the customer. Revenue is recognized based on the price stated in the approved contract or purchase order. There are no contractual rights of returns and replacements for damaged products are provided free of charge. Accounts receivable related to product sales were approximately $0.4 million as of December 31, 2025. There were no accounts receivable related to product sales as of December 31, 2024.</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Contract Revenue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Contract revenue consists of revenue related to a single contract with a customer to recover contract expenses. The expenses incurred related to the contract are primarily classified as research and development expenses on the Company’s condensed consolidated statements of operations and comprehensive loss. The Company recognizes revenue associated with each performance obligation as the research and development services are provided using an input method, according to the actual costs incurred compared to the total costs expected to be incurred to satisfy the performance obligation. The transfer of control occurs as the program expenses are incurred and, in management’s judgment, is the best measure of progress towards satisfying each performance obligation. The transaction price is determined based on the milestones within the contract and there is no variable consideration. Accounts receivable related to the Company’s contract revenue were insignificant and $0.2 million as of December 31, 2025 and December 31, 2024, respectively.</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Cost of Goods Sold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Cost of goods sold consists of manufacturing costs, transportation and freight, depreciation, indirect overhead costs (including salary related and stock-based compensation expenses) associated with the commercial manufacturing and distribution of Symvess, and third-party royalties payable on our net product revenue. Cost of goods sold may also include period costs related to excess, dated or obsolete inventory adjustment charges, unabsorbed manufacturing and other overhead costs.</w:t>
      </w:r>
    </w:p>
    <w:p>
      <w:pPr>
        <w:pStyle w:val="TextBody"/>
        <w:bidi w:val="0"/>
        <w:spacing w:before="200" w:after="283"/>
        <w:jc w:val="left"/>
        <w:rPr>
          <w:rFonts w:ascii="Times New Roman" w:hAnsi="Times New Roman"/>
          <w:sz w:val="20"/>
        </w:rPr>
      </w:pPr>
      <w:r>
        <w:rPr>
          <w:rFonts w:ascii="Times New Roman" w:hAnsi="Times New Roman"/>
          <w:b/>
          <w:color w:val="231F20"/>
          <w:sz w:val="20"/>
        </w:rPr>
        <w:t>Interest Expense</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Interest expense is recognized using the effective interest method, which reflects a constant rate of interest over the estimated term of the related financing arrangement. Interest expense includes stated interest, as well as the amortization of original issue discounts, issuance costs, premiums, and other amounts that are economically part of the borrowing. Debt is initially recorded at the proceeds received, net of any discounts and issuance costs, and subsequently amortized and accreted to the contractual repayment amount over the estimated term of the arrangement. Changes in the timing or amount of expected cash flows, when applicable, are accounted for in accordance with U.S. GAAP and reflected prospectively through amortization and accretion into interest expense. Interest expense is recorded in interest expense in the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Comprehensive Loss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Comprehensive loss includes net loss as well as other changes in stockholders’ equity (deficit) that result from transactions and economic events other than those with stockholders. There was no difference between net loss and comprehensive loss for the years ended December 31, 2025 and 2024.</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Concentration of Credit Risk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Financial instruments which potentially subject the Company to concentrations of credit risk consist principally of cash and cash equivalents, including amounts classified as restricted cash. Total cash balances exceeded insured balances by the Federal Deposit Insurance Corporation as of December 31, 2025 and December 31, 2024.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believes that credit risks associated with its customers and contractual partners are not significant and has not recorded an allowance for credit loss as of December 31, 2025.</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Cash and Cash Equivalents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U.S. Cash deposits typically exceed federally insured limits. As of December 31, 2025 and 2024, cash and cash equivalents consisted of cash on deposit with banks denominated in U.S. dollars and investments in money market funds.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classifies as restricted cash all cash pledged as collateral to secure long-term obligations and all cash whose use is otherwise limited by contractual provisions. As of </w:t>
      </w:r>
      <w:r>
        <w:rPr>
          <w:rFonts w:ascii="Times New Roman" w:hAnsi="Times New Roman"/>
          <w:color w:val="231F20"/>
          <w:sz w:val="20"/>
        </w:rPr>
        <w:t>December 31, 2025 and 2024, the Company classified</w:t>
      </w:r>
      <w:r>
        <w:rPr>
          <w:rFonts w:ascii="Times New Roman" w:hAnsi="Times New Roman"/>
          <w:color w:val="000000"/>
          <w:sz w:val="20"/>
        </w:rPr>
        <w:t xml:space="preserve"> </w:t>
      </w:r>
      <w:r>
        <w:rPr>
          <w:rFonts w:ascii="Times New Roman" w:hAnsi="Times New Roman"/>
          <w:color w:val="231F20"/>
          <w:sz w:val="20"/>
        </w:rPr>
        <w:t>$0.2 million</w:t>
      </w:r>
      <w:r>
        <w:rPr>
          <w:rFonts w:ascii="Times New Roman" w:hAnsi="Times New Roman"/>
          <w:color w:val="000000"/>
          <w:sz w:val="20"/>
        </w:rPr>
        <w:t xml:space="preserve"> in funds maintained in a separate deposit account to secure a letter of credit for the benefit of the lessor of the Company’s headquarters lease, and </w:t>
      </w:r>
      <w:r>
        <w:rPr>
          <w:rFonts w:ascii="Times New Roman" w:hAnsi="Times New Roman"/>
          <w:color w:val="231F20"/>
          <w:sz w:val="20"/>
        </w:rPr>
        <w:t>$0.1 million</w:t>
      </w:r>
      <w:r>
        <w:rPr>
          <w:rFonts w:ascii="Times New Roman" w:hAnsi="Times New Roman"/>
          <w:color w:val="000000"/>
          <w:sz w:val="20"/>
        </w:rPr>
        <w:t xml:space="preserve"> in cash balances held as collateral for the Company’s employee credit card program as restricted cash. As of December 31, 2024, the Company classified $50.0 million as stipulated under the Purchase Agreement as restricted cash. The Purchase Agreement was terminated during the year ended December 31, 2025. See Note 7, Revenue Interest Purchase Agreement for further details.</w:t>
      </w:r>
    </w:p>
    <w:p>
      <w:pPr>
        <w:pStyle w:val="TextBody"/>
        <w:bidi w:val="0"/>
        <w:spacing w:before="200" w:after="200"/>
        <w:jc w:val="left"/>
        <w:rPr>
          <w:rFonts w:ascii="Times New Roman" w:hAnsi="Times New Roman"/>
          <w:sz w:val="20"/>
        </w:rPr>
      </w:pPr>
      <w:r>
        <w:rPr>
          <w:rFonts w:ascii="Times New Roman" w:hAnsi="Times New Roman"/>
          <w:color w:val="000000"/>
          <w:sz w:val="20"/>
        </w:rPr>
        <w:t xml:space="preserve">The following table provides a reconciliation of cash, cash equivalents and restricted cash reported within the consolidated balance sheets to the total of the amounts shown in the consolidated statements of cash flows as of </w:t>
      </w:r>
      <w:r>
        <w:rPr>
          <w:rFonts w:ascii="Times New Roman" w:hAnsi="Times New Roman"/>
          <w:color w:val="231F20"/>
          <w:sz w:val="20"/>
        </w:rPr>
        <w:t>December 31, 2025</w:t>
      </w:r>
      <w:r>
        <w:rPr>
          <w:rFonts w:ascii="Times New Roman" w:hAnsi="Times New Roman"/>
          <w:color w:val="000000"/>
          <w:sz w:val="20"/>
        </w:rPr>
        <w:t xml:space="preserve"> and </w:t>
      </w:r>
      <w:r>
        <w:rPr>
          <w:rFonts w:ascii="Times New Roman" w:hAnsi="Times New Roman"/>
          <w:color w:val="231F20"/>
          <w:sz w:val="20"/>
        </w:rPr>
        <w:t>2024</w:t>
      </w:r>
      <w:r>
        <w:rPr>
          <w:rFonts w:ascii="Times New Roman" w:hAnsi="Times New Roman"/>
          <w:color w:val="000000"/>
          <w:sz w:val="20"/>
        </w:rPr>
        <w:t>.</w:t>
      </w:r>
    </w:p>
    <w:tbl>
      <w:tblPr>
        <w:tblW w:w="8104" w:type="dxa"/>
        <w:jc w:val="left"/>
        <w:tblInd w:w="0" w:type="dxa"/>
        <w:tblLayout w:type="fixed"/>
        <w:tblCellMar>
          <w:top w:w="28" w:type="dxa"/>
          <w:left w:w="28" w:type="dxa"/>
          <w:bottom w:w="28" w:type="dxa"/>
          <w:right w:w="28" w:type="dxa"/>
        </w:tblCellMar>
      </w:tblPr>
      <w:tblGrid>
        <w:gridCol w:w="5701"/>
        <w:gridCol w:w="146"/>
        <w:gridCol w:w="211"/>
        <w:gridCol w:w="676"/>
        <w:gridCol w:w="146"/>
        <w:gridCol w:w="146"/>
        <w:gridCol w:w="211"/>
        <w:gridCol w:w="676"/>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Interest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12, 2023, Humacyte, Inc. and Global entered into the Purchase Agreement (as defined in Note 1) with the Purchasers and another affiliate of Oberland, as agent for the Purchasers. The revenue interest liability associated with the Purchase Agreement was presented net of a debt discount comprised of issuance costs, transaction costs, the fair value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freestanding option agreement related to the Purchase Agreement, and the fair value of embedded derivatives requiring bifurcation on the consolidated balance sheets. The Company imputed interest expense associated with this liability.</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On December 15, 2025, the Company entered into a payoff letter with the Purchasers and the Purchasers’ Agent pursuant to which the Purchase Agreement and the Option Agreement were terminated in their entirety. As consideration for the termination of these agreements and the satisfaction of all obligations thereunder, the Company paid $38.0 million in cash and issued 5,725,190 shares of Common Stock to the Purchasers. The shares were measured at their fair value of $7.5 million, based on the closing market price of the Company's common stock on the settlement date, which was included as a component of the loss on extinguishment of debt on the consolidated statements of operations and comprehensive loss. The shares issued to the Purchasers in connection with the payoff are discussed in more detail in Note 10. The cash payment was funded with proceeds from a senior secured term loan facility with Avenue Venture Opportunities Fund II, L.P. (see Note 8, Debt). Pursuant to the Loan Agreement, as defined in Note 8, the proceeds of the Term Loan Facility, as defined in Note 8, were required to be used to repay outstanding indebtedness under the Purchase Agreement and for other general corporate purposes. The funding of the first tranche of the Term Loan Facility was conditioned upon delivery of a payoff letter with respect to all indebtedness outstanding under the Purchase Agreement and evidence that the liens securing such indebtedness would be released. The extinguishment of the Purchase Agreement was accounted for as a debt extinguishment under ASC 470-50. The termination of the Purchase Agreement released all liens and security interests previously granted to the Purchasers and their agent and relieved the Company of any further obligations to the Purchasers. See Note 7 for further details.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Derivative Liabilities</w:t>
      </w:r>
    </w:p>
    <w:p>
      <w:pPr>
        <w:pStyle w:val="TextBody"/>
        <w:bidi w:val="0"/>
        <w:spacing w:before="200" w:after="180"/>
        <w:jc w:val="left"/>
        <w:rPr>
          <w:rFonts w:ascii="Times New Roman" w:hAnsi="Times New Roman"/>
          <w:sz w:val="20"/>
        </w:rPr>
      </w:pPr>
      <w:r>
        <w:rPr>
          <w:rFonts w:ascii="Times New Roman" w:hAnsi="Times New Roman"/>
          <w:color w:val="000000"/>
          <w:sz w:val="20"/>
        </w:rPr>
        <w:t>The Company evaluates debt instruments and other hybrid contracts for embedded features that may be required to be separated and accounted for as derivative instruments in accordance with</w:t>
      </w:r>
      <w:r>
        <w:rPr>
          <w:rFonts w:ascii="Times New Roman" w:hAnsi="Times New Roman"/>
          <w:color w:val="231F20"/>
          <w:sz w:val="20"/>
        </w:rPr>
        <w:t xml:space="preserve"> ASC Topic 815, “Derivatives and Hedging” (“ASC 815”),</w:t>
      </w:r>
      <w:r>
        <w:rPr>
          <w:rFonts w:ascii="Times New Roman" w:hAnsi="Times New Roman"/>
          <w:color w:val="000000"/>
          <w:sz w:val="20"/>
        </w:rPr>
        <w:t xml:space="preserve"> and, when applicable, </w:t>
      </w:r>
      <w:r>
        <w:rPr>
          <w:rFonts w:ascii="Times New Roman" w:hAnsi="Times New Roman"/>
          <w:color w:val="231F20"/>
          <w:sz w:val="20"/>
        </w:rPr>
        <w:t>ASC Topic 480, “Distinguishing Liabilities from Equity” (“ASC 480”)</w:t>
      </w:r>
      <w:r>
        <w:rPr>
          <w:rFonts w:ascii="Times New Roman" w:hAnsi="Times New Roman"/>
          <w:color w:val="000000"/>
          <w:sz w:val="20"/>
        </w:rPr>
        <w:t xml:space="preserve">. </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In evaluating whether an embedded equity-linked feature qualifies for a derivative scope exception, the Company considers the guidance in ASC 815-40, “Contracts on an Entity’s Own Equity” (“ASC 815-40”), including whether the feature is indexed to the Company’s own stock and meets the related equity classification conditions.</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When the Company concludes that an embedded conversion feature must be bifurcated, the Company records the bifurcated embedded feature as a derivative liability at fair value on the issuance date (or modification date, as applicable). The host debt instrument is accounted for under the applicable debt guidance, with the proceeds allocated between the host and the bifurcated derivative, which generally results in a debt discount that is amortized to interest expense over the term of the related debt using the effective interest method.</w:t>
      </w:r>
    </w:p>
    <w:p>
      <w:pPr>
        <w:pStyle w:val="TextBody"/>
        <w:bidi w:val="0"/>
        <w:spacing w:before="20" w:after="180"/>
        <w:jc w:val="left"/>
        <w:rPr>
          <w:rFonts w:ascii="Times New Roman" w:hAnsi="Times New Roman"/>
          <w:sz w:val="20"/>
        </w:rPr>
      </w:pPr>
      <w:r>
        <w:rPr>
          <w:rFonts w:ascii="Times New Roman" w:hAnsi="Times New Roman"/>
          <w:color w:val="000000"/>
          <w:sz w:val="20"/>
        </w:rPr>
        <w:t>The derivative liability is subsequently remeasured to fair value at each reporting date, with changes in fair value recognized in earnings within Change in fair value of derivatives in other income (expense), net. The Company estimates fair value using valuation techniques appropriate to the terms of the instrument, which may include option-pricing models,</w:t>
      </w:r>
      <w:r>
        <w:rPr>
          <w:rFonts w:ascii="Times New Roman" w:hAnsi="Times New Roman"/>
          <w:color w:val="231F20"/>
          <w:sz w:val="20"/>
        </w:rPr>
        <w:t xml:space="preserve"> such as </w:t>
      </w:r>
      <w:r>
        <w:rPr>
          <w:rFonts w:ascii="Times New Roman" w:hAnsi="Times New Roman"/>
          <w:color w:val="000000"/>
          <w:sz w:val="20"/>
        </w:rPr>
        <w:t xml:space="preserve">Black-Scholes option pricing model, that require highly volatile assumptions and data inputs, including the Company’s common stock price, expected volatility, expected term, risk-free interest rate, and expected dividend yield. </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Company performs its embedded derivative assessment at contract inception and upon modification and also evaluates, each reporting period, whether changes in facts and circumstances affect the accounting for, classification of, or required disclosures related to derivative liabilities.</w:t>
      </w:r>
    </w:p>
    <w:p>
      <w:pPr>
        <w:pStyle w:val="TextBody"/>
        <w:bidi w:val="0"/>
        <w:spacing w:before="60" w:after="283"/>
        <w:jc w:val="left"/>
        <w:rPr>
          <w:rFonts w:ascii="Times New Roman" w:hAnsi="Times New Roman"/>
          <w:b/>
          <w:i/>
          <w:color w:val="231F20"/>
          <w:sz w:val="20"/>
        </w:rPr>
      </w:pPr>
      <w:r>
        <w:rPr>
          <w:rFonts w:ascii="Times New Roman" w:hAnsi="Times New Roman"/>
          <w:b/>
          <w:i/>
          <w:color w:val="231F20"/>
          <w:sz w:val="20"/>
        </w:rPr>
        <w:t>Contingent Derivative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Put Option under the Purchase Agreement, as defined in Note 7, exercisable by the Purchasers upon certain contingent events, was determined to be an embedded derivative requiring bifurcation and separately accounted for as a single compound derivative instrument (the “Contingent derivative liability”). In connection with the termination of the Purchase Agreement in December 2025, the embedded derivative was extinguished and derecognized. See Note 7 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Loan Agreement Conversion Derivative Liability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On December 15, 2025, the Company entered into the Loan Agreement (as defined in Note 8), providing for the Term Loan Facility (as defined in Note 8) of up to $77.5 million in aggregate. Under the Loan Agreement the Lenders (as defined in Note 8), may convert up to $2.5 million of outstanding principal into shares of the Common Stock at a contractually specified price, subject to ownership limitations and customary conditions. The Company evaluated the conversion feature in accordance with ASC 815 and concluded that it does not qualify for the scope exception for contracts indexed to the Company’s own equity. Certain provisions, including those that affect the economics of settlement upon a change in control, result in outcomes that are not consistent with the settlement of a fixed-for-fixed equity instrument. Accordingly, the conversion feature is bifurcated from the host debt and accounted for as a derivative liability at fair value, with subsequent changes in fair value recognized in earnings. At issuance, the Company recognized the bifurcated conversion feature as a derivative liability (the “Loan Agreement conversion derivative liability”), with a corresponding debt discount recorded against the carrying amount of the related term loan. See Note 10 for additional information.</w:t>
      </w:r>
    </w:p>
    <w:p>
      <w:pPr>
        <w:pStyle w:val="TextBody"/>
        <w:bidi w:val="0"/>
        <w:spacing w:before="80" w:after="283"/>
        <w:jc w:val="left"/>
        <w:rPr>
          <w:rFonts w:ascii="Times New Roman" w:hAnsi="Times New Roman"/>
          <w:b/>
          <w:color w:val="231F20"/>
          <w:sz w:val="20"/>
        </w:rPr>
      </w:pPr>
      <w:r>
        <w:rPr>
          <w:rFonts w:ascii="Times New Roman" w:hAnsi="Times New Roman"/>
          <w:b/>
          <w:color w:val="231F20"/>
          <w:sz w:val="20"/>
        </w:rPr>
        <w:t>Net Loss per Share Attributable to Common Stockholders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Basic net loss per share attributable to common stockholders is computed by dividing net loss attributable to common stockholders by the weighted-average number of shares of Common Stock outstanding during the period without consideration of potentially dilutive shares of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years ended December 31, 2025 and 2024, basic and diluted net loss per share is the same for each period.</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potential shares of Common Stock were excluded from the computation of diluted net loss per share for each period because including them would have had an antidilutive effect:</w:t>
      </w:r>
    </w:p>
    <w:tbl>
      <w:tblPr>
        <w:tblW w:w="7509" w:type="dxa"/>
        <w:jc w:val="left"/>
        <w:tblInd w:w="0" w:type="dxa"/>
        <w:tblLayout w:type="fixed"/>
        <w:tblCellMar>
          <w:top w:w="28" w:type="dxa"/>
          <w:left w:w="28" w:type="dxa"/>
          <w:bottom w:w="28" w:type="dxa"/>
          <w:right w:w="28" w:type="dxa"/>
        </w:tblCellMar>
      </w:tblPr>
      <w:tblGrid>
        <w:gridCol w:w="4516"/>
        <w:gridCol w:w="146"/>
        <w:gridCol w:w="146"/>
        <w:gridCol w:w="1036"/>
        <w:gridCol w:w="146"/>
        <w:gridCol w:w="146"/>
        <w:gridCol w:w="146"/>
        <w:gridCol w:w="103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under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12,274,139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RSUs under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42,569,928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shares issuable under the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 by underwriters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15,000,000 Contingent Earnout Shares (defined below) are excluded from the anti-dilutive table for all periods presented, as such shares are contingently issuable until the share price of the Company exceeds specified thresholds that have not yet been achieved, or upon the occurrence of a change in control. </w:t>
      </w:r>
      <w:r>
        <w:rPr>
          <w:rFonts w:ascii="Times New Roman" w:hAnsi="Times New Roman"/>
          <w:color w:val="000000"/>
          <w:sz w:val="20"/>
        </w:rPr>
        <w:t xml:space="preserve">The Option Agreement, as defined in Note 7, was excluded from the anti-dilutive table for the year ended </w:t>
      </w:r>
      <w:r>
        <w:rPr>
          <w:rFonts w:ascii="Times New Roman" w:hAnsi="Times New Roman"/>
          <w:color w:val="231F20"/>
          <w:sz w:val="20"/>
        </w:rPr>
        <w:t xml:space="preserve">December 31, 2024, </w:t>
      </w:r>
      <w:r>
        <w:rPr>
          <w:rFonts w:ascii="Times New Roman" w:hAnsi="Times New Roman"/>
          <w:color w:val="000000"/>
          <w:sz w:val="20"/>
        </w:rPr>
        <w:t xml:space="preserve">based on the Company’s assumption that the Option Agreement would not be exercised unless the Company’s stock price exceeded $7.50 per share, the minimum purchase price under the Option Agreement. </w:t>
      </w:r>
      <w:r>
        <w:rPr>
          <w:rFonts w:ascii="Times New Roman" w:hAnsi="Times New Roman"/>
          <w:color w:val="231F20"/>
          <w:sz w:val="20"/>
        </w:rPr>
        <w:t>In connection with the termination of the Purchase Agreement in December 2025, the Option Agreement was terminated in its entirety, and as a result,</w:t>
      </w:r>
      <w:r>
        <w:rPr>
          <w:rFonts w:ascii="Times New Roman" w:hAnsi="Times New Roman"/>
          <w:color w:val="000000"/>
          <w:sz w:val="20"/>
        </w:rPr>
        <w:t xml:space="preserve"> was excluded from the anti-dilutive table for the year ended </w:t>
      </w:r>
      <w:r>
        <w:rPr>
          <w:rFonts w:ascii="Times New Roman" w:hAnsi="Times New Roman"/>
          <w:color w:val="231F20"/>
          <w:sz w:val="20"/>
        </w:rPr>
        <w:t>December 31, 2025. See Note 7 for further details.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Fair Value of Financial Instruments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hAnsi="Times New Roman"/>
          <w:i/>
          <w:color w:val="231F20"/>
          <w:sz w:val="20"/>
        </w:rPr>
        <w:t>Fair Value Measurement and Disclosures</w:t>
      </w:r>
      <w:r>
        <w:rPr>
          <w:rFonts w:ascii="Times New Roman" w:hAnsi="Times New Roman"/>
          <w:color w:val="231F20"/>
          <w:sz w:val="20"/>
        </w:rPr>
        <w:t>, establishes a hierarchy whereby inputs to valuation techniques used in measuring fair value are prioritized, or the fair value hierarchy. There are three levels to the fair value hierarchy based on reliability of inputs, as follows: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Level 1 — Observable inputs that reflect unadjusted quoted prices for identical assets or liabilities in active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Level 3 — Unobservable inputs in which little or no market data exists, therefore requiring the Company to develop its own assumptions.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Property and Equipment, Net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Property and equipment, net are recorded at cost less accumulated depreciation. Expenditures for major additions and improvements are capitalized and minor replacements, maintenance, and repairs are charged to expense as incurred. When property and equipment are retired or otherwise disposed of, the cost and accumulated depreciation are removed from the balance sheet accounts and any resulting gain or loss is included in the results of operations for the respective period. Depreciation is calculated using the straight-line method over the estimated useful lives of the related assets.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estimated useful lives for significant asset categories are as follows:</w:t>
      </w:r>
    </w:p>
    <w:tbl>
      <w:tblPr>
        <w:tblW w:w="5218" w:type="dxa"/>
        <w:jc w:val="left"/>
        <w:tblInd w:w="0" w:type="dxa"/>
        <w:tblLayout w:type="fixed"/>
        <w:tblCellMar>
          <w:top w:w="28" w:type="dxa"/>
          <w:left w:w="28" w:type="dxa"/>
          <w:bottom w:w="28" w:type="dxa"/>
          <w:right w:w="28" w:type="dxa"/>
        </w:tblCellMar>
      </w:tblPr>
      <w:tblGrid>
        <w:gridCol w:w="2161"/>
        <w:gridCol w:w="146"/>
        <w:gridCol w:w="29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br/>
              <w:t>Lives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Scientific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 7</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 7</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useful life or life of lease</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Impairment of Long-Lived Assets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during the years ended December 31, 2025 and 2024, respectively, the Company concluded there were no such events or changes in circumstances requiring review of the carrying amount of the Company’s long-lived assets and there was no impairment during the years ended December 31, 2025 and 2024.</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Income Taxes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Income taxes are computed using the asset and liability approach that requires the recognition of deferred tax assets and liabilities for the expected future tax consequences of events that have been recognized in the Company’s financial statements. A valuation allowance is recorded, if necessary, to reduce net deferred tax assets to their realizable values if management does not believe it is more likely than not that the net deferred tax assets will be realized. As of December 31, 2025 and 2024, the Company has recorded a full valuation allowance against its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applies the accounting guidance for uncertainties in income taxes, which prescribes a recognition threshold and measurement process for recording uncertain tax positions taken, or expected to be taken, in a tax return in the financial statements. Additionally, the guidance also prescribes the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recognizes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has analyzed its filing positions in all significant Federal and state jurisdictions where it is required to file income tax returns, as well as open tax years in these jurisdictions. As of December 31, 2025 and 2024, the Company has determined that no uncertain tax positions would have a material impact on the financials statements of the Company. The Company is no longer subject to Federal, state, and local tax examinations by tax authorities for years before </w:t>
      </w:r>
      <w:r>
        <w:rPr>
          <w:rFonts w:ascii="Times New Roman" w:hAnsi="Times New Roman"/>
          <w:color w:val="000000"/>
          <w:sz w:val="20"/>
        </w:rPr>
        <w:t>2021</w:t>
      </w:r>
      <w:r>
        <w:rPr>
          <w:rFonts w:ascii="Times New Roman" w:hAnsi="Times New Roman"/>
          <w:color w:val="231F20"/>
          <w:sz w:val="20"/>
        </w:rPr>
        <w:t xml:space="preserve"> although carry-forward attributes that were generated prior to </w:t>
      </w:r>
      <w:r>
        <w:rPr>
          <w:rFonts w:ascii="Times New Roman" w:hAnsi="Times New Roman"/>
          <w:color w:val="000000"/>
          <w:sz w:val="20"/>
        </w:rPr>
        <w:t>2021</w:t>
      </w:r>
      <w:r>
        <w:rPr>
          <w:rFonts w:ascii="Times New Roman" w:hAnsi="Times New Roman"/>
          <w:color w:val="231F20"/>
          <w:sz w:val="20"/>
        </w:rPr>
        <w:t xml:space="preserve"> may still be adjusted upon examination by the taxing authorities if they either have been or will be used in a future period. No income tax returns are currently under examination by taxing authorities.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and 2024, the Company had not recorded any amounts for unrecognized tax benefits. The Company’s policy is to recognize interest and penalties related to uncertain tax positions in the provision for income taxes. As of December 31, 2025 and 2024, the Company had no accrued interest or penalties related to uncertain tax positions, and no amounts had been recognized in the Company’s statements of operations and comprehensive loss.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Intellectual Property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seeks to protect its intellectual property by filing patent applications in the United States and abroad related to novel technologies and product candidates that it views as important to its business. The patent positions of biotechnology companies generally, including the Company’s patent positions, is highly uncertain and involves complex legal and factual questions for which legal principles remain unresolved. Patent costs have been expensed as incurred as general and administrative expense.</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Research and Development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expenses research and development costs as operating expenses as incurred. Research and development expenses consist primarily of:</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salaries and related overhead expenses for personnel in research and development functions, including stock-based compensation and benefits;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fees paid to CROs and consultants, including in connection with clinical trials, and other related clinical trial fees, such as for clinical site fees and investigator grants related to patient screening and treatment, conduct of clinical trials, laboratory work and statistical compilation and analysis;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allocation of facility lease and maintenance costs;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depreciation of leasehold improvements, laboratory equipment and computers;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costs related to purchasing raw materials for and producing product candidates for clinical trials;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costs related to compliance with regulatory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costs related to the manufacturing scale-out initiative;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license fees related to in-licensed technologies.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Accrued Research and Development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has entered into various agreements with CROs, which conduct preclinical studies and clinical trials.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balance sheet.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Stock-Based Compensation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accounts for stock-based awards to employees and non-employees in accordance with ASC 718, Compensation - Stock Compensation. Stock-based awards are measured at the grant date based on the award’s fair value and recognized as compensation expense over the requisite service period, which is generally the vesting period.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For awards with graded vesting schedules, the Company recognized compensation expense on a straight-line basis over the requisite period for each separately vesting tranche. For awards with performance-based vesting conditions, compensation expense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Stock Options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recognizes stock-based compensation expense of stock options based on the grant-date fair value of the awards estimated using the Black-Scholes option-pricing model.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Restricted Stock Units (“RSUs”)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fair value of RSUs is measured on the grant date based on the closing market price of Common Stock on the grant date. Compensation cost related to RSUs is recognized on a straight-line basis over the requisite service period and is adjusted for forfeitures as they occur.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Common Stock Warrants</w:t>
      </w:r>
    </w:p>
    <w:p>
      <w:pPr>
        <w:pStyle w:val="TextBody"/>
        <w:bidi w:val="0"/>
        <w:spacing w:before="200" w:after="180"/>
        <w:jc w:val="left"/>
        <w:rPr>
          <w:rFonts w:ascii="Times New Roman" w:hAnsi="Times New Roman"/>
          <w:color w:val="231F20"/>
          <w:sz w:val="20"/>
        </w:rPr>
      </w:pPr>
      <w:r>
        <w:rPr>
          <w:rFonts w:ascii="Times New Roman" w:hAnsi="Times New Roman"/>
          <w:color w:val="231F20"/>
          <w:sz w:val="20"/>
        </w:rPr>
        <w:t>The Company evaluates warrants and other freestanding equity-linked financial instruments to determine the appropriate classification as equity or liabilities in accordance with the guidance ASC 480 and ASC 815. In performing this assessment, the Company considers, among other factors, whether the warrant is a freestanding financial instrument, whether the warrant is required to be classified as a liability under ASC 480, and whether the warrant qualifies for the scope exception from derivative accounting for contracts on an entity’s own equity under ASC 815, including whether the warrant is indexed to the Company’s common stock and meets the related equity classification conditions. This assessment requires the use of judgment and is performed at the time of issuance, upon modification, and at the end of each reporting period while warrants remain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180"/>
        <w:jc w:val="left"/>
        <w:rPr>
          <w:rFonts w:ascii="Times New Roman" w:hAnsi="Times New Roman"/>
          <w:color w:val="231F20"/>
          <w:sz w:val="20"/>
        </w:rPr>
      </w:pPr>
      <w:r>
        <w:rPr>
          <w:rFonts w:ascii="Times New Roman" w:hAnsi="Times New Roman"/>
          <w:color w:val="231F20"/>
          <w:sz w:val="20"/>
        </w:rPr>
        <w:t>Equity-classified warrants are classified in stockholders’ equity and are initially recorded at fair value at the issuance date or at the modification date, as applicable. Equity-classified warrants are not subsequently remeasured, unless the warrants are modified and such modification results in reclassification or other accounting consequences.</w:t>
      </w:r>
    </w:p>
    <w:p>
      <w:pPr>
        <w:pStyle w:val="TextBody"/>
        <w:bidi w:val="0"/>
        <w:spacing w:before="20" w:after="180"/>
        <w:jc w:val="left"/>
        <w:rPr>
          <w:rFonts w:ascii="Times New Roman" w:hAnsi="Times New Roman"/>
          <w:color w:val="231F20"/>
          <w:sz w:val="20"/>
        </w:rPr>
      </w:pPr>
      <w:r>
        <w:rPr>
          <w:rFonts w:ascii="Times New Roman" w:hAnsi="Times New Roman"/>
          <w:color w:val="231F20"/>
          <w:sz w:val="20"/>
        </w:rPr>
        <w:t xml:space="preserve">Warrants that do not meet all criteria for equity classification are recorded as warrant liabilities on the consolidated balance sheets at fair value on the issuance date. Warrant liabilities are subsequently remeasured at fair value at each reporting date, with changes in fair value recognized in earnings in the consolidated statements of operations and comprehensive loss. </w:t>
      </w:r>
    </w:p>
    <w:p>
      <w:pPr>
        <w:pStyle w:val="TextBody"/>
        <w:bidi w:val="0"/>
        <w:spacing w:before="20" w:after="283"/>
        <w:jc w:val="left"/>
        <w:rPr>
          <w:rFonts w:ascii="Times New Roman" w:hAnsi="Times New Roman"/>
          <w:sz w:val="20"/>
        </w:rPr>
      </w:pPr>
      <w:r>
        <w:rPr>
          <w:rFonts w:ascii="Times New Roman" w:hAnsi="Times New Roman"/>
          <w:color w:val="231F20"/>
          <w:sz w:val="20"/>
        </w:rPr>
        <w:t xml:space="preserve">The fair value of warrant liabilities is estimated using valuation techniques that are appropriate to the terms of the instruments, which may include option-pricing models, such as </w:t>
      </w:r>
      <w:r>
        <w:rPr>
          <w:rFonts w:ascii="Times New Roman" w:hAnsi="Times New Roman"/>
          <w:color w:val="000000"/>
          <w:sz w:val="20"/>
        </w:rPr>
        <w:t xml:space="preserve">Black-Scholes option pricing model, that require highly volatile assumptions and data inputs, including the Company’s common stock price, expected volatility, expected term, risk-free interest rate, and expected dividend yield. </w:t>
      </w:r>
      <w:r>
        <w:rPr>
          <w:rFonts w:ascii="Times New Roman" w:hAnsi="Times New Roman"/>
          <w:color w:val="231F20"/>
          <w:sz w:val="20"/>
        </w:rPr>
        <w:t>Warrant liabilities are classified as Level 3 in the fair value hierarchy due to unobservable inputs. See Note 10, Stockholders’ Equity (Deficit) and Warrants for more details on the Company's outstanding warrants.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Earnout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Pursuant to the Merger Agreement, following the closing of the Merger (the “Closing”), Legacy Humacyte equity holders are entitled to receive additional merger consideration of up to 15,000,000 additional shares of Common Stock (the “Contingent Earnout Shares”), comprised of two separate tranches of 7,500,000 shares per tranche, for no consideration upon the occurrence of certain triggering events, including a change of control event that is not solely indexed to the Common Stock. In accordance with ASC 815-40, as the earnout shares were not indexed to the common stock, they were accounted for as a liability (“Contingent Earnout Liability”) at the Reverse Recapitalization date and subsequently remeasured at each reporting date with changes in fair value recorded as a component of other income (expense), net in the consolidated statements of operations and comprehensive loss.</w:t>
      </w:r>
    </w:p>
    <w:p>
      <w:pPr>
        <w:pStyle w:val="TextBody"/>
        <w:bidi w:val="0"/>
        <w:spacing w:before="200" w:after="283"/>
        <w:jc w:val="left"/>
        <w:rPr>
          <w:rFonts w:ascii="Times New Roman" w:hAnsi="Times New Roman"/>
          <w:sz w:val="20"/>
        </w:rPr>
      </w:pPr>
      <w:r>
        <w:rPr>
          <w:rFonts w:ascii="Times New Roman" w:hAnsi="Times New Roman"/>
          <w:color w:val="231F20"/>
          <w:sz w:val="20"/>
        </w:rPr>
        <w:t>The estimated fair value of the Contingent Earnout Liability was determined using a Monte Carlo simulation using a distribution of potential outcomes on a monthly basis over a 10-year period prioritizing the most reliable information available. T</w:t>
      </w:r>
      <w:r>
        <w:rPr>
          <w:rFonts w:ascii="Times New Roman" w:hAnsi="Times New Roman"/>
          <w:color w:val="000000"/>
          <w:sz w:val="20"/>
        </w:rPr>
        <w:t>he assumptions utilized in the calculation were based on the achievement of certain stock price milestones, including the expected volatility and expected term, as well as certain data inputs, including the Common Stock price, risk-free interest rate, and expected dividend yield.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Contingent Earnout Shares are categorized as a Level 3 fair value measurement (see “Fair Value of Financial Instruments” accounting policy described above) because the Company estimated projections over a 10-year period utilizing unobservable inputs. Contingent earnout payments involve certain assumptions requiring significant judgment and actual results can differ from assumed and estimated amounts.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Leases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accounts for its leases under ASC 842, </w:t>
      </w:r>
      <w:r>
        <w:rPr>
          <w:rFonts w:ascii="Times New Roman" w:hAnsi="Times New Roman"/>
          <w:i/>
          <w:color w:val="231F20"/>
          <w:sz w:val="20"/>
        </w:rPr>
        <w:t>Leases</w:t>
      </w:r>
      <w:r>
        <w:rPr>
          <w:rFonts w:ascii="Times New Roman" w:hAnsi="Times New Roman"/>
          <w:color w:val="231F20"/>
          <w:sz w:val="20"/>
        </w:rPr>
        <w:t>. The Company determines if an arrangement is or contains a lease and the classification of that lease at inception of a contract. The Company’s operating lease assets are included in “other long-term assets”, and the current and non-current portions of the operating lease liabilities are included in “other current liabilities”, and “other long-term liabilities”, respectively, on the consolidated balance sheets. The Company’s finance lease assets are included in “finance lease right-of-use assets, net”, and the current and non-current portions of the finance lease liabilities are included in “finance lease obligation, current portion”, and “finance lease obligation, net of current portion”, respectively, on the consolidated balance sheets.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Under this guidance, arrangements meeting the definition of a lease are classified as operating or finance leases, and are recorded on the consolidated balance sheet as both a right-of-use asset and lease liability, calculated by discounting fixed lease payments over the lease term at the rate implicit in the lease or the Company’s incremental borrowing rate. Lease right-of-use assets and lease obligations are recognized based on the present value of the future minimum lease payments over the lease term at commencement date. Operating lease right-of-use assets are adjusted for (i) payments made at or before the commencement date, (ii) initial direct costs incurred, and (iii) tenant incentives under the lease. As the implicit rate for the operating leases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not determinable, the Company used an incremental borrowing rate based on the information available at the respective lease commencement dates in determining the present value of future payments. The incremental borrowing rate represents the interest rate the Company would expect to incur at lease commencement to borrow an amount equal to the lease payments on a collateralized basis over the term of a lease. The Company determined the incremental borrowing rate by considering various factors, such as its credit rating, interest rates of similar debt instruments of entities with comparable credit ratings, the lease term and the currency in which the lease was denominated. The Company considers a lease term to be the noncancelable period that it has the right to use the underlying asset, including any periods where it is reasonably certain the Company will exercise any option to extend the contract.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Lease expenses for minimum lease payments for operating leases are recognized on a straight-line basis over the lease term. Amortization expense of the right-of-use asset for finance leases is recognized on a straight-line basis over the lease term and interest expense for finance leases is recognized based on the incremental borrowing rate. Lease liabilities are increased by interest and reduced by payments each period, and the right of use asset is amortized over the lease term.</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calculating the right-of-use assets and lease liabilities, the Company has elected to combine lease and non-lease components for all asset classes. The Company excludes short-term leases, if any, having initial terms of 12 months or less from the guidance under ASC 842 as an accounting policy election, and recognizes rent expense on a straight-line basis over the lease term.</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the third quarter of 2025, the Company executed an amendment to its lease agreements that extended the lease term and modified key financial terms, including rent and related provisions. The amendment also resulted in a remeasurement of the related lease liability and right-of-use asset as of September 30, 2025, using the Company’s incremental borrowing rate at that date. See Note 9, Leases for additional details regarding the amendment and its impact to the condensed consolidated financial statements.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Other Risks and Uncertainties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our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pStyle w:val="TextBody"/>
        <w:bidi w:val="0"/>
        <w:spacing w:before="200" w:after="283"/>
        <w:jc w:val="left"/>
        <w:rPr>
          <w:rFonts w:ascii="Times New Roman" w:hAnsi="Times New Roman"/>
          <w:sz w:val="20"/>
        </w:rPr>
      </w:pPr>
      <w:r>
        <w:rPr>
          <w:rFonts w:ascii="Times New Roman" w:hAnsi="Times New Roman"/>
          <w:b/>
          <w:color w:val="231F20"/>
          <w:sz w:val="20"/>
        </w:rPr>
        <w:t>Recently Adopted Accounting Pronouncements</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15, 2024, with early adoption permitted. Entities should apply the amendments prospectively, with retrospective application permitted. The Company adopted ASU 2023-09 in the fourth quarter of the fiscal year 2025 on a prospective basis. The adoption of this ASU had no impact on the Company’s financial position, results of operations, or cash flows. Refer to Note 12, Income Taxes for updated disclosures following the adoption.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Reporting Comprehensive Income - Expense Disaggregation Disclosures” (Subtopic 220-40), “Disaggregation of Income Statement Expenses” (“ASU 2024-03”). In January 2025, the FASB issued ASU No. 2025-01, “Income Statement: Reporting Comprehensive Income - 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the adoption of ASU 2024-03 may have on the Company’s consolidated financial statements and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No. 2025-10, ”Government Grants (Topic 832): Accounting for Government Grants Received by Business Entities” (“ASU 2025-10”), to provide guidance on how business entities should recognize, measure, and present government grants received. ASU 2025-10 is effective for fiscal years beginning after December 15, 2028, including interim periods within those fiscal years. Early adoption is permitted, and the amendments may be applied using a modified prospective, modified retrospective, or full retrospective adoption. The Company is currently evaluating the impact the adoption of ASU 2025-10 may have on the Company’s consolidated financial statements and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Narrow-Scope Improvements” (“ASU 2025-11”),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and the amendments may be applied prospectively or retrospectively to all periods presented in the financial statements. The Company is currently evaluating the impact the adoption of ASU 2025-11 may have on the Company’s consolidated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231F20"/>
          <w:sz w:val="20"/>
        </w:rPr>
      </w:pPr>
      <w:bookmarkStart w:id="30" w:name="section31"/>
      <w:bookmarkEnd w:id="30"/>
      <w:r>
        <w:rPr>
          <w:rFonts w:ascii="Times New Roman" w:hAnsi="Times New Roman"/>
          <w:b/>
          <w:color w:val="231F20"/>
          <w:sz w:val="20"/>
        </w:rPr>
        <w:t>3. Fair Value Measurements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Company’s assets and liabilities that were measured at fair value on a recurring basis were as follows:</w:t>
      </w:r>
    </w:p>
    <w:tbl>
      <w:tblPr>
        <w:tblW w:w="9287" w:type="dxa"/>
        <w:jc w:val="left"/>
        <w:tblInd w:w="0" w:type="dxa"/>
        <w:tblLayout w:type="fixed"/>
        <w:tblCellMar>
          <w:top w:w="28" w:type="dxa"/>
          <w:left w:w="28" w:type="dxa"/>
          <w:bottom w:w="28" w:type="dxa"/>
          <w:right w:w="28" w:type="dxa"/>
        </w:tblCellMar>
      </w:tblPr>
      <w:tblGrid>
        <w:gridCol w:w="4581"/>
        <w:gridCol w:w="146"/>
        <w:gridCol w:w="211"/>
        <w:gridCol w:w="676"/>
        <w:gridCol w:w="146"/>
        <w:gridCol w:w="146"/>
        <w:gridCol w:w="211"/>
        <w:gridCol w:w="421"/>
        <w:gridCol w:w="146"/>
        <w:gridCol w:w="146"/>
        <w:gridCol w:w="211"/>
        <w:gridCol w:w="676"/>
        <w:gridCol w:w="146"/>
        <w:gridCol w:w="146"/>
        <w:gridCol w:w="211"/>
        <w:gridCol w:w="676"/>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Purchase Agreement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2024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November 2024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2025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conversion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JDRF Agreement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4581"/>
        <w:gridCol w:w="146"/>
        <w:gridCol w:w="211"/>
        <w:gridCol w:w="676"/>
        <w:gridCol w:w="146"/>
        <w:gridCol w:w="146"/>
        <w:gridCol w:w="211"/>
        <w:gridCol w:w="421"/>
        <w:gridCol w:w="146"/>
        <w:gridCol w:w="146"/>
        <w:gridCol w:w="211"/>
        <w:gridCol w:w="676"/>
        <w:gridCol w:w="146"/>
        <w:gridCol w:w="146"/>
        <w:gridCol w:w="211"/>
        <w:gridCol w:w="676"/>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Purchase Agreement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2024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November 2024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 Agreement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JDRF Agreement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Company’s money market funds are classified within Level 1 of the fair value hierarchy because they are valued using quoted market prices. The carrying values of cash, prepaid expenses and other current assets, accounts payable, accrued expenses and other current liabilities as of December 31, 2025 and 2024 approximated their fair values due to the short-term nature of these items.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fair value of the Contingent Earnout Liability, Contingent derivative liability related to the Put Option (as defined in Note 7 and discussed below), Private Placement Warrants liability, liabilities associated with the Registered Direct Offering Warrants (as defined in Note 10), Option Agreement liability (as defined in Note 7), the derivative liability associated with the JDRF Agreement Disposition Payment, Loan Agreement Warrants liability (as defined in Note 10), and Loan Agreement conversion derivative liability are based on significant unobservable inputs, which represent Level 3 measurements within the fair value hierarchy. The fair values of the Private Placement Warrants liability, Loan Agreement Warrants liability, and the liabilities associated with the Registered Direct Offering Warrants are included in common stock warrant liabilities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balance sheets. The fair values of the Option Agreement liability, the Loan Agreement conversion derivative liability, and the derivative liability associated with the JDRF Agreement Disposition Payment are included in other long-term liabilities on the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Common Stock Purchase Agreement</w:t>
      </w:r>
    </w:p>
    <w:p>
      <w:pPr>
        <w:pStyle w:val="TextBody"/>
        <w:bidi w:val="0"/>
        <w:spacing w:before="200" w:after="283"/>
        <w:jc w:val="left"/>
        <w:rPr>
          <w:rFonts w:ascii="Times New Roman" w:hAnsi="Times New Roman"/>
          <w:sz w:val="20"/>
        </w:rPr>
      </w:pPr>
      <w:r>
        <w:rPr>
          <w:rFonts w:ascii="Times New Roman" w:hAnsi="Times New Roman"/>
          <w:color w:val="000000"/>
          <w:sz w:val="20"/>
        </w:rPr>
        <w:t>The Company evaluated the Common Stock Purchase Agreement and determined that the agreement should be accounted for in accordance with ASC 815-40, “Derivatives and Hedging — Contracts on an Entity’s Own Equity</w:t>
      </w:r>
      <w:r>
        <w:rPr>
          <w:rFonts w:ascii="Times New Roman" w:hAnsi="Times New Roman"/>
          <w:i/>
          <w:color w:val="000000"/>
          <w:sz w:val="20"/>
        </w:rPr>
        <w:t>.”</w:t>
      </w:r>
      <w:r>
        <w:rPr>
          <w:rFonts w:ascii="Times New Roman" w:hAnsi="Times New Roman"/>
          <w:color w:val="000000"/>
          <w:sz w:val="20"/>
        </w:rPr>
        <w:t xml:space="preserve">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t>
      </w:r>
      <w:r>
        <w:rPr>
          <w:rFonts w:ascii="Times New Roman" w:hAnsi="Times New Roman"/>
          <w:color w:val="231F20"/>
          <w:sz w:val="20"/>
        </w:rPr>
        <w:t>within Change in fair value of derivatives</w:t>
      </w:r>
      <w:r>
        <w:rPr>
          <w:rFonts w:ascii="Times New Roman" w:hAnsi="Times New Roman"/>
          <w:color w:val="000000"/>
          <w:sz w:val="20"/>
        </w:rPr>
        <w:t xml:space="preserve"> in the consolidated statements of operations and comprehensive loss. Changes in the fair value of the derivative asset during the period were not significant, and the fair value of the Commitment Shares was $0.7 million as of both December 31, 2025 and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Earnout Liability</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table presents a summary of the changes in the fair value of the Contingent Earnout Liability:</w:t>
      </w:r>
    </w:p>
    <w:tbl>
      <w:tblPr>
        <w:tblW w:w="8002" w:type="dxa"/>
        <w:jc w:val="left"/>
        <w:tblInd w:w="0" w:type="dxa"/>
        <w:tblLayout w:type="fixed"/>
        <w:tblCellMar>
          <w:top w:w="28" w:type="dxa"/>
          <w:left w:w="28" w:type="dxa"/>
          <w:bottom w:w="28" w:type="dxa"/>
          <w:right w:w="28" w:type="dxa"/>
        </w:tblCellMar>
      </w:tblPr>
      <w:tblGrid>
        <w:gridCol w:w="5226"/>
        <w:gridCol w:w="146"/>
        <w:gridCol w:w="212"/>
        <w:gridCol w:w="741"/>
        <w:gridCol w:w="167"/>
        <w:gridCol w:w="146"/>
        <w:gridCol w:w="212"/>
        <w:gridCol w:w="741"/>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Earnout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In determining the fair value of the Contingent Earnout Liability, the Company used the Monte Carlo simulation value model using a distribution of potential outcomes on a monthly basis over a 10-year period prioritizing the most reliable information available. </w:t>
      </w:r>
      <w:r>
        <w:rPr>
          <w:rFonts w:ascii="Times New Roman" w:hAnsi="Times New Roman"/>
          <w:color w:val="000000"/>
          <w:sz w:val="20"/>
        </w:rPr>
        <w:t>The assumptions utilized in the calculation were based on the achievement of certain stock price milestones, including the expected volatility and expected term, as well as certain data inputs, including the Company’s common stock price, risk-free interest rate, and expected dividend yield</w:t>
      </w:r>
      <w:r>
        <w:rPr>
          <w:rFonts w:ascii="Times New Roman" w:hAnsi="Times New Roman"/>
          <w:color w:val="231F20"/>
          <w:sz w:val="20"/>
        </w:rPr>
        <w:t xml:space="preserve"> (see </w:t>
      </w:r>
      <w:r>
        <w:rPr>
          <w:rFonts w:ascii="Times New Roman" w:hAnsi="Times New Roman"/>
          <w:color w:val="000000"/>
          <w:sz w:val="20"/>
        </w:rPr>
        <w:t>Note 10)</w:t>
      </w:r>
      <w:r>
        <w:rPr>
          <w:rFonts w:ascii="Times New Roman" w:hAnsi="Times New Roman"/>
          <w:color w:val="231F20"/>
          <w:sz w:val="20"/>
        </w:rPr>
        <w:t>. Contingent earnout payments involve certain assumptions requiring significant judgment and actual results can differ from assumed and estimated amounts.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Derivative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debt pursuant to the Purchase Agreement, as defined in Note 1, contained an embedded derivative related to the Put Option, as defined in Note 7,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December 2025, the Purchase Agreement, including the embedded Put Option, was terminated in connection with the extinguishment of the Purchase Agreement (as defined in Note 1), and the Contingent derivative liability was derecognized. Prior to termination, the Contingent derivative liability was measured at fair value, with changes in fair value recognized in other income (expense) in the consolidated statements of operations and comprehensive loss and classified within Change in fair value of derivatives.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discount rates used in the final fair value measurement prior to termination were 12.6% for the present value of the revenue forecast and 12.2% for the present value of the payoff of the Put Option. As of December 31, 2024, the discount rates used to calculate the value of the Contingent derivative liability were 14.2% to calculate the present value of the revenue forecast and 11.8% to calculate the present value of the payoff of the Put Option.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Contingent derivative liability:</w:t>
      </w:r>
    </w:p>
    <w:tbl>
      <w:tblPr>
        <w:tblW w:w="8167" w:type="dxa"/>
        <w:jc w:val="left"/>
        <w:tblInd w:w="0" w:type="dxa"/>
        <w:tblLayout w:type="fixed"/>
        <w:tblCellMar>
          <w:top w:w="28" w:type="dxa"/>
          <w:left w:w="28" w:type="dxa"/>
          <w:bottom w:w="28" w:type="dxa"/>
          <w:right w:w="28" w:type="dxa"/>
        </w:tblCellMar>
      </w:tblPr>
      <w:tblGrid>
        <w:gridCol w:w="5226"/>
        <w:gridCol w:w="146"/>
        <w:gridCol w:w="252"/>
        <w:gridCol w:w="754"/>
        <w:gridCol w:w="198"/>
        <w:gridCol w:w="174"/>
        <w:gridCol w:w="252"/>
        <w:gridCol w:w="754"/>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Derivative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embedded derivative upon issuance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Settlement of Contingent derivative liability</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sz w:val="20"/>
        </w:rPr>
      </w:pPr>
      <w:r>
        <w:rPr>
          <w:rFonts w:ascii="Times New Roman" w:hAnsi="Times New Roman"/>
          <w:color w:val="000000"/>
          <w:sz w:val="13"/>
        </w:rPr>
        <w:t>(a)</w:t>
      </w:r>
      <w:r>
        <w:rPr>
          <w:rFonts w:ascii="Times New Roman" w:hAnsi="Times New Roman"/>
          <w:color w:val="000000"/>
          <w:sz w:val="20"/>
        </w:rPr>
        <w:t xml:space="preserve"> </w:t>
      </w:r>
      <w:r>
        <w:rPr>
          <w:rFonts w:ascii="Times New Roman" w:hAnsi="Times New Roman"/>
          <w:color w:val="000000"/>
          <w:sz w:val="18"/>
        </w:rPr>
        <w:t>Contingent derivative liability was extinguished in connection with the termination of the Purchase Agreement in December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Registered Direct Offering Warrants Liabilities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determining the fair values of the Registered Direct Offering Warrants liabilities, the Company used the Black-Scholes valuation model to estimate fair value utilizing significant assumptions for expected volatility and expected term and data inputs including the current Common Stock price, risk-free rate, and expected dividend yield (see Note 10, Stockholders’ Equity (Deficit) and Warrants).</w:t>
      </w:r>
    </w:p>
    <w:p>
      <w:pPr>
        <w:pStyle w:val="TextBody"/>
        <w:bidi w:val="0"/>
        <w:spacing w:before="200" w:after="200"/>
        <w:jc w:val="left"/>
        <w:rPr>
          <w:rFonts w:ascii="Times New Roman" w:hAnsi="Times New Roman"/>
          <w:sz w:val="20"/>
        </w:rPr>
      </w:pPr>
      <w:r>
        <w:rPr>
          <w:rFonts w:ascii="Times New Roman" w:hAnsi="Times New Roman"/>
          <w:color w:val="231F20"/>
          <w:sz w:val="20"/>
        </w:rPr>
        <w:t xml:space="preserve">The following tables present a summary of the changes in the fair values of the </w:t>
      </w:r>
      <w:r>
        <w:rPr>
          <w:rFonts w:ascii="Times New Roman" w:hAnsi="Times New Roman"/>
          <w:color w:val="000000"/>
          <w:sz w:val="20"/>
        </w:rPr>
        <w:t>Registered Direct Offering Warrants</w:t>
      </w:r>
      <w:r>
        <w:rPr>
          <w:rFonts w:ascii="Times New Roman" w:hAnsi="Times New Roman"/>
          <w:color w:val="231F20"/>
          <w:sz w:val="20"/>
        </w:rPr>
        <w:t xml:space="preserve"> liabilities:</w:t>
      </w:r>
    </w:p>
    <w:tbl>
      <w:tblPr>
        <w:tblW w:w="10127" w:type="dxa"/>
        <w:jc w:val="left"/>
        <w:tblInd w:w="0" w:type="dxa"/>
        <w:tblLayout w:type="fixed"/>
        <w:tblCellMar>
          <w:top w:w="28" w:type="dxa"/>
          <w:left w:w="28" w:type="dxa"/>
          <w:bottom w:w="28" w:type="dxa"/>
          <w:right w:w="28" w:type="dxa"/>
        </w:tblCellMar>
      </w:tblPr>
      <w:tblGrid>
        <w:gridCol w:w="5226"/>
        <w:gridCol w:w="146"/>
        <w:gridCol w:w="274"/>
        <w:gridCol w:w="956"/>
        <w:gridCol w:w="166"/>
        <w:gridCol w:w="146"/>
        <w:gridCol w:w="315"/>
        <w:gridCol w:w="945"/>
        <w:gridCol w:w="166"/>
        <w:gridCol w:w="146"/>
        <w:gridCol w:w="274"/>
        <w:gridCol w:w="956"/>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2025</w:t>
              <w:br/>
              <w:t>RDO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628" w:type="dxa"/>
        <w:jc w:val="left"/>
        <w:tblInd w:w="0" w:type="dxa"/>
        <w:tblLayout w:type="fixed"/>
        <w:tblCellMar>
          <w:top w:w="28" w:type="dxa"/>
          <w:left w:w="28" w:type="dxa"/>
          <w:bottom w:w="28" w:type="dxa"/>
          <w:right w:w="28" w:type="dxa"/>
        </w:tblCellMar>
      </w:tblPr>
      <w:tblGrid>
        <w:gridCol w:w="5226"/>
        <w:gridCol w:w="146"/>
        <w:gridCol w:w="274"/>
        <w:gridCol w:w="956"/>
        <w:gridCol w:w="189"/>
        <w:gridCol w:w="166"/>
        <w:gridCol w:w="315"/>
        <w:gridCol w:w="945"/>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Private Placement Warrants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determining the fair value of the Private Placement Warrants liability, the Company used the Black-Scholes valuation model to estimate fair value utilizing significant assumptions for expected volatility and expected term and data inputs including the current Common Stock price, risk-free rate, and expected dividend yield (see Note 10).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presents a summary of the changes in the fair value of the Private Placement Warrants liability:</w:t>
      </w:r>
    </w:p>
    <w:tbl>
      <w:tblPr>
        <w:tblW w:w="7971" w:type="dxa"/>
        <w:jc w:val="left"/>
        <w:tblInd w:w="0" w:type="dxa"/>
        <w:tblLayout w:type="fixed"/>
        <w:tblCellMar>
          <w:top w:w="28" w:type="dxa"/>
          <w:left w:w="28" w:type="dxa"/>
          <w:bottom w:w="28" w:type="dxa"/>
          <w:right w:w="28" w:type="dxa"/>
        </w:tblCellMar>
      </w:tblPr>
      <w:tblGrid>
        <w:gridCol w:w="5226"/>
        <w:gridCol w:w="146"/>
        <w:gridCol w:w="272"/>
        <w:gridCol w:w="621"/>
        <w:gridCol w:w="214"/>
        <w:gridCol w:w="188"/>
        <w:gridCol w:w="272"/>
        <w:gridCol w:w="621"/>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Warrants Liability</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determining the fair value of the Loan Agreement Warrants liability </w:t>
      </w:r>
      <w:r>
        <w:rPr>
          <w:rFonts w:ascii="Times New Roman" w:hAnsi="Times New Roman"/>
          <w:color w:val="000000"/>
          <w:sz w:val="20"/>
        </w:rPr>
        <w:t>(as defined in Note 10)</w:t>
      </w:r>
      <w:r>
        <w:rPr>
          <w:rFonts w:ascii="Times New Roman" w:hAnsi="Times New Roman"/>
          <w:color w:val="231F20"/>
          <w:sz w:val="20"/>
        </w:rPr>
        <w:t xml:space="preserve">, the Company used the Black-Scholes valuation model to estimate fair value utilizing significant assumptions for expected volatility and expected term and data inputs including the current Common Stock price, risk-free rate, and expected dividend yield (see Note 10).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Loan Agreement Warrants liability:</w:t>
      </w:r>
    </w:p>
    <w:tbl>
      <w:tblPr>
        <w:tblW w:w="8513" w:type="dxa"/>
        <w:jc w:val="left"/>
        <w:tblInd w:w="0" w:type="dxa"/>
        <w:tblLayout w:type="fixed"/>
        <w:tblCellMar>
          <w:top w:w="28" w:type="dxa"/>
          <w:left w:w="28" w:type="dxa"/>
          <w:bottom w:w="28" w:type="dxa"/>
          <w:right w:w="28" w:type="dxa"/>
        </w:tblCellMar>
      </w:tblPr>
      <w:tblGrid>
        <w:gridCol w:w="5226"/>
        <w:gridCol w:w="146"/>
        <w:gridCol w:w="681"/>
        <w:gridCol w:w="2049"/>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 Agreement Warrants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upon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Conversion Derivative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determining the fair value of the Loan Agreement conversion derivative liability, the Company used the Black-Scholes valuation model to estimate fair value utilizing significant assumptions for expected volatility and expected term and data inputs including the current Common Stock price, risk-free rate, and expected dividend yield (see Note 10).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Loan Agreement conversion derivative liability:</w:t>
      </w:r>
    </w:p>
    <w:tbl>
      <w:tblPr>
        <w:tblW w:w="9443" w:type="dxa"/>
        <w:jc w:val="left"/>
        <w:tblInd w:w="0" w:type="dxa"/>
        <w:tblLayout w:type="fixed"/>
        <w:tblCellMar>
          <w:top w:w="28" w:type="dxa"/>
          <w:left w:w="28" w:type="dxa"/>
          <w:bottom w:w="28" w:type="dxa"/>
          <w:right w:w="28" w:type="dxa"/>
        </w:tblCellMar>
      </w:tblPr>
      <w:tblGrid>
        <w:gridCol w:w="5226"/>
        <w:gridCol w:w="146"/>
        <w:gridCol w:w="916"/>
        <w:gridCol w:w="2744"/>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 Agreement Conversion Derivative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embedded derivative upon issuance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4. Inventory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the Company capitalized costs of $22.5 million associated with the manufacturing of Symvess following the regulatory approval and the Company’s determination that subsequent commercialization and future economic benefit from the sales of Symvess was probable. No inventory was capitalized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the year ended December 31, 2025, the Company recorded an inventory reserve of $8.9 million to reduce certain inventory balances to their estimated net realizable value. The reserve reflects management’s assessment of forecasted demand, expected product shelf life, and other commercialization-related factors associated with the commercial launch of Symvess.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Inventory is stated at the lower of cost or net realizable value and consisted of the following:</w:t>
      </w:r>
    </w:p>
    <w:tbl>
      <w:tblPr>
        <w:tblW w:w="4089" w:type="dxa"/>
        <w:jc w:val="left"/>
        <w:tblInd w:w="0" w:type="dxa"/>
        <w:tblLayout w:type="fixed"/>
        <w:tblCellMar>
          <w:top w:w="28" w:type="dxa"/>
          <w:left w:w="28" w:type="dxa"/>
          <w:bottom w:w="28" w:type="dxa"/>
          <w:right w:w="28" w:type="dxa"/>
        </w:tblCellMar>
      </w:tblPr>
      <w:tblGrid>
        <w:gridCol w:w="1996"/>
        <w:gridCol w:w="146"/>
        <w:gridCol w:w="211"/>
        <w:gridCol w:w="676"/>
        <w:gridCol w:w="166"/>
        <w:gridCol w:w="146"/>
        <w:gridCol w:w="211"/>
        <w:gridCol w:w="34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231F20"/>
          <w:sz w:val="20"/>
        </w:rPr>
      </w:pPr>
      <w:bookmarkStart w:id="31" w:name="section32"/>
      <w:bookmarkEnd w:id="31"/>
      <w:r>
        <w:rPr>
          <w:rFonts w:ascii="Times New Roman" w:hAnsi="Times New Roman"/>
          <w:b/>
          <w:color w:val="231F20"/>
          <w:sz w:val="20"/>
        </w:rPr>
        <w:t>5. Property and Equipment, Net</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Property and equipment, net consisted of the following:</w:t>
      </w:r>
    </w:p>
    <w:tbl>
      <w:tblPr>
        <w:tblW w:w="5954" w:type="dxa"/>
        <w:jc w:val="left"/>
        <w:tblInd w:w="0" w:type="dxa"/>
        <w:tblLayout w:type="fixed"/>
        <w:tblCellMar>
          <w:top w:w="28" w:type="dxa"/>
          <w:left w:w="28" w:type="dxa"/>
          <w:bottom w:w="28" w:type="dxa"/>
          <w:right w:w="28" w:type="dxa"/>
        </w:tblCellMar>
      </w:tblPr>
      <w:tblGrid>
        <w:gridCol w:w="3391"/>
        <w:gridCol w:w="146"/>
        <w:gridCol w:w="211"/>
        <w:gridCol w:w="736"/>
        <w:gridCol w:w="166"/>
        <w:gridCol w:w="146"/>
        <w:gridCol w:w="211"/>
        <w:gridCol w:w="736"/>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Scientific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Depreciation expense totaled $5.3 million and $5.1 million for the years ended December 31, 2025 and 2024, respectively. All</w:t>
      </w:r>
      <w:r>
        <w:rPr>
          <w:rFonts w:ascii="Times New Roman" w:hAnsi="Times New Roman"/>
          <w:color w:val="000000"/>
          <w:sz w:val="20"/>
        </w:rPr>
        <w:t xml:space="preserve"> long-lived assets are maintained in the United States.</w:t>
      </w:r>
    </w:p>
    <w:p>
      <w:pPr>
        <w:pStyle w:val="TextBody"/>
        <w:bidi w:val="0"/>
        <w:spacing w:before="200" w:after="283"/>
        <w:jc w:val="left"/>
        <w:rPr>
          <w:rFonts w:ascii="Times New Roman" w:hAnsi="Times New Roman"/>
          <w:b/>
          <w:color w:val="231F20"/>
          <w:sz w:val="20"/>
        </w:rPr>
      </w:pPr>
      <w:bookmarkStart w:id="32" w:name="section33"/>
      <w:bookmarkEnd w:id="32"/>
      <w:r>
        <w:rPr>
          <w:rFonts w:ascii="Times New Roman" w:hAnsi="Times New Roman"/>
          <w:b/>
          <w:color w:val="231F20"/>
          <w:sz w:val="20"/>
        </w:rPr>
        <w:t>6. Accrued Expenses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Accrued expenses consisted of the following:</w:t>
      </w:r>
    </w:p>
    <w:tbl>
      <w:tblPr>
        <w:tblW w:w="7789" w:type="dxa"/>
        <w:jc w:val="left"/>
        <w:tblInd w:w="0" w:type="dxa"/>
        <w:tblLayout w:type="fixed"/>
        <w:tblCellMar>
          <w:top w:w="28" w:type="dxa"/>
          <w:left w:w="28" w:type="dxa"/>
          <w:bottom w:w="28" w:type="dxa"/>
          <w:right w:w="28" w:type="dxa"/>
        </w:tblCellMar>
      </w:tblPr>
      <w:tblGrid>
        <w:gridCol w:w="5386"/>
        <w:gridCol w:w="146"/>
        <w:gridCol w:w="211"/>
        <w:gridCol w:w="676"/>
        <w:gridCol w:w="146"/>
        <w:gridCol w:w="146"/>
        <w:gridCol w:w="211"/>
        <w:gridCol w:w="676"/>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development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bookmarkStart w:id="33" w:name="section34"/>
      <w:bookmarkEnd w:id="33"/>
      <w:r>
        <w:rPr>
          <w:rFonts w:ascii="Times New Roman" w:hAnsi="Times New Roman"/>
          <w:b/>
          <w:color w:val="231F20"/>
          <w:sz w:val="20"/>
        </w:rPr>
        <w:t>7. Revenue Interest Purchase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Interest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12, 2023, the Company and Global entered into the Purchase Agreement with the Purchasers, and another</w:t>
        <w:br/>
        <w:t>affiliate of Oberland, as agent for the Purchasers, to obtain financing with respect to the further development and</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commercialization of the Company’s ATEV, to repay the Company’s then-existing credit facility with SVB, and for other</w:t>
        <w:br/>
        <w:t>general corporate purposes. Pursuant to the Purchase Agreement, on May 12, 2023, the Purchasers purchased certain</w:t>
        <w:br/>
        <w:t>revenue interests (the “Revenue Interests”) from Global in exchange for an aggregate investment amount of up to</w:t>
        <w:br/>
        <w:t>$150.0 million (the “Investment Amount”) to be paid in multiple tranches. On May 12, 2023, the Company received an</w:t>
        <w:br/>
        <w:t>initial payment of $40.0 million, less certain transaction expenses, which was used to repay in full the Company’s then-existing</w:t>
        <w:br/>
        <w:t>obligations under the former loan agreement with SVB. In February 2024, the FDA accepted the Company’s</w:t>
        <w:br/>
        <w:t>Biologics License Application (“BLA”) for an indication in vascular trauma, and in accordance with the Purchase</w:t>
        <w:br/>
        <w:t>Agreement, on March 11, 2024, the Company drew a subsequent installment of $20.0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granted full approval for the Company’s BLA on December 19, 2024, and the Company elected not to draw the additional $40.0 million that became available under the Purchase Agreement. As of December 31, 2024, the Company was not entitled to draw on any further installments under the Purchase Agreement. On September 17, 2025, the Company and Global entered into the Purchase Agreement Amendment, which modified certain terms of the agreement and the Company made a partial call payment of $50.0 million to the Purchasers. The Company analyzed the changes to the agreement and concluded the amendment resulted in a modification for accounting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Purchase Agreement, the Revenue Interests entitled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Had the Purchasers not received cumulative Revenue Interest Payments equal to 100% of the amount funded to date (the “Cumulative Purchaser Payments”) by the last business day of 2028 (the “Test Date”), the Rate would have increased to a rate that, had such increased rate applied during the period from May 12, 2023 through the Test Date, would have provided the Purchasers with cumulative Revenue Interest Payments equal to the Cumulative Purchaser Payments as of the Test Date. Additionally, Global would have been required to pay the Purchasers an amount equal to 100% of the Cumulative Purchaser Payments as of the Test Date, less the total Revenue Interest Payments that Global had made to the Purchasers under the Purchase Agreement as of the Test Date. Global’s obligation to make Revenue Interest Payments would have terminated on the date on which the Purchasers had received Revenue Interest Payments of 150% of the Cumulative Purchaser Payments, unless the Purchase Agreement had been terminated earlier due to the Purchaser’s exercise of a Put Option, the Company’s exercise of a Call Option, or by mutual consent. However, if the Purchasers had not received such Revenue Interest Payments as of the Test Date, the Purchase Agreement would instead have terminated on the date on which the Purchasers had received Revenue Interest Payments of 195% of the Cumulative Purchaser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Purchase Agreement, Global had an option (the “Call Option”) to repurchase the Revenue Interests and terminate the Purchase Agreement at any time upon advance written notice. Additionally, the Purchasers had an option (the “Put Option”) to terminate the Purchase Agreement and to require Global to repurchase the Revenue Interests upon enumerated events such as a bankruptcy event, an uncured material breach, a material adverse effect or a change of control. Pursuant to the Purchase Agreement Amendment, if (i) the Put Option had been exercised by May 12, 2026, or (ii) the Call Option had been exercised on or prior to May 12, 2026, then in each case, the required repurchase price would have been 175% of the Cumulative Purchaser Payments, minus the aggregate Revenue Interest Payments Global had made to the Purchasers as of such date and the amount of the Purchase Agreement Amendment Payment. If a Put Option or Call Option had been exercised after May 12, 2026, the required repurchase price would have been 195% of the Cumulative Purchaser Payments, subject to the same deductions and conditions described above. Additionally, the Company was permitted, at its option, to exercise its Call Option at a discounted repurchase price of $95.5 million, subject to the same deductions and conditions described above, so long as it was exercised on or prior to December 31, 2025, and up to $7.5 million of that amount was permitted to be satisfied through the issuance of the Common Stock, subject to the satisfaction of certain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Purchase Agreement contained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contained customary negative covenants, including certain restrictions on the ability to incur indebtedness and grant liens or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was to remove requirements related to the leasehold mortgage. In exchange for the removal of these requirements, the Company funded an account in an amount of $54.0 million on August 14, 2024, over which the Agent had certain consent and other rights to $50.0 million of the funds. In connection with the Purchase Agreement Amendment, the Company made the Purchase Agreement Amendment Payment of $50.0 million, funded from the restricted cash previously maintained for the benefit of the Agent. As a result of the Purchase Agreement Amendment Payment, the Company was no longer obligated to maintain $50.0 million of restricted cash in an account for the benefit of the Agent unless the Purchase Agreement had not been repaid in full by December 31, 2025, at which point the Company would have been required to maintain $12.5 million in such account. As of December 31, 2025 and December 31, 2024, $0 and $50.0 million, respectively, were classified as restricted cash on the accompanying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agreed to guarantee the payment in full of the obligations under the Purchase Agreement. The Company’s obligations under the parent company guaranty and Global’s obligations under the Purchase Agreement and the Revenue Interests were secured by a perfected security interest on substantially all of the Company’s and its subsidiaries’ assets.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Agreement was considered a sale of future revenues and was accounted for as long-term debt recorded at</w:t>
        <w:br/>
        <w:t xml:space="preserve">amortized cost.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recorded a revenue interest liability related to the Purchase Agreement on the accompanying consolidated balance sheets on the date the Company entered into the Purchase Agreement, net of a debt discount comprised of $2.1 million issuance costs and transaction costs, $0.1 million fair value allocated to the Option Agreement, defined below, and $2.4 million initial fair value of the bifurcated embedded derivative liability related to the Put Option, defined below. The revenue interest liability was based on the Company’s contractual repayment obligation to the Purchasers, determined using current estimates of future revenues, over the life of the Purchase Agreement. The Company imputed interest expense associated with this liability.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December 31, 2024, $64.2 million was recorded as a revenue interest liability, of which $0.9 million was included in other current liabilities on the consolidated balance sheet. The Company recorded $8.7 million and $7.7 million in interest expense related to the Purchase Agreement for the years ended December 31, 2025 and 2024, respectively. During the year ended December 31, 2024, in connection with the Purchase Agreement, the Company incurred and paid $0.5 million of transaction costs, which were capitalized as a debt discount and amortized to interest expense.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Revenue Interest Payments made as a result of the Company’s net product sales reduced the revenue interest liability. During the years ended </w:t>
      </w:r>
      <w:r>
        <w:rPr>
          <w:rFonts w:ascii="Times New Roman" w:hAnsi="Times New Roman"/>
          <w:color w:val="231F20"/>
          <w:sz w:val="20"/>
        </w:rPr>
        <w:t>December 31, 2025</w:t>
      </w:r>
      <w:r>
        <w:rPr>
          <w:rFonts w:ascii="Times New Roman" w:hAnsi="Times New Roman"/>
          <w:color w:val="000000"/>
          <w:sz w:val="20"/>
        </w:rPr>
        <w:t>, the Company made $0.1 million of Revenue Interest Payments. During the year ended December 31, 2024, there were no such payments.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On December 15, 2025, the Company entered into a payoff letter with the Purchasers and the Purchasers’ Agent pursuant to which the Purchase Agreement and the Option Agreement were terminated in their entirety. As consideration for the termination of these agreements and the satisfaction of all obligations thereunder, the Company paid $38.0 million in cash and issued 5,725,190 shares of Common Stock to the Purchasers. The shares were measured at their fair value of $7.5 million, based on the closing market price of the Company's common stock on the settlement date, which was included as a component of the loss on extinguishment of debt on the consolidated statements of operations and comprehensive loss. The cash payment was funded with proceeds from a senior secured term loan facility with Avenue Venture Opportunities Fund II, L.P. (see Note 8, Debt). Pursuant to the Loan Agreement, as defined in Note 8, the proceeds of the Term Loan Facility, as defined in Note 8, were required to be used to repay outstanding indebtedness under the Purchase Agreement and for other general corporate purposes. The funding of the first tranche of the Term Loan Facility was conditioned upon delivery of a payoff letter with respect to all indebtedness outstanding under the Purchase Agreement and evidence that the liens securing such indebtedness would be released. The extinguishment of the Purchase Agreement was accounted for as a debt extinguishment under ASC 470-50. The termination of the Purchase Agreement released all liens and security interests previously granted to the Purchasers and their agent and relieved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the Company of any further obligations to the Purchasers. The shares issued to the Purchasers in connection with the payoff are discussed in more detail in Note 10.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 derecognized the revenue interest liability, the embedded derivative liability related to the Put Option and the Option Agreement liability upon closing of the payoff letter. The difference between the carrying amount of the derecognized liabilities and the fair value of the consideration transferred resulted in a $22.3 million loss on extinguishment of debt, which is included in Other income (expense), net in the consolidated statements of operations and comprehensive loss for the year ended December 31, 2025.</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The following table summarizes the revenue interest liability activity during the year ended </w:t>
      </w:r>
      <w:r>
        <w:rPr>
          <w:rFonts w:ascii="Times New Roman" w:hAnsi="Times New Roman"/>
          <w:color w:val="231F20"/>
          <w:sz w:val="20"/>
        </w:rPr>
        <w:t>December 31, 2025</w:t>
      </w:r>
      <w:r>
        <w:rPr>
          <w:rFonts w:ascii="Times New Roman" w:hAnsi="Times New Roman"/>
          <w:color w:val="000000"/>
          <w:sz w:val="20"/>
        </w:rPr>
        <w:t>:</w:t>
      </w:r>
    </w:p>
    <w:tbl>
      <w:tblPr>
        <w:tblW w:w="6685" w:type="dxa"/>
        <w:jc w:val="left"/>
        <w:tblInd w:w="0" w:type="dxa"/>
        <w:tblLayout w:type="fixed"/>
        <w:tblCellMar>
          <w:top w:w="28" w:type="dxa"/>
          <w:left w:w="28" w:type="dxa"/>
          <w:bottom w:w="28" w:type="dxa"/>
          <w:right w:w="28" w:type="dxa"/>
        </w:tblCellMar>
      </w:tblPr>
      <w:tblGrid>
        <w:gridCol w:w="5181"/>
        <w:gridCol w:w="146"/>
        <w:gridCol w:w="211"/>
        <w:gridCol w:w="736"/>
        <w:gridCol w:w="411"/>
      </w:tblGrid>
      <w:tr>
        <w:trPr/>
        <w:tc>
          <w:tcPr>
            <w:tcW w:w="5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interest liability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interest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Partial call payment under Purchase Agreement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the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interest liability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60"/>
        <w:jc w:val="left"/>
        <w:rPr>
          <w:rFonts w:ascii="Times New Roman" w:hAnsi="Times New Roman"/>
          <w:sz w:val="20"/>
        </w:rPr>
      </w:pPr>
      <w:r>
        <w:rPr>
          <w:rFonts w:ascii="Times New Roman" w:hAnsi="Times New Roman"/>
          <w:b/>
          <w:color w:val="000000"/>
          <w:sz w:val="20"/>
        </w:rPr>
        <w:t>Embedded Derivative Liability</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Put Option under the Purchase Agreement, exercisable by the Purchasers upon certain contingent events, was determined to be an embedded derivative requiring bifurcation and separately accounted for as a single compound derivative instrument, or the Contingent derivative liability. At May 12, 2023, the Company recorded the initial fair value of the Contingent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was amortized to interest expense. In connection with the termination of the Purchase Agreement in December 2025, the embedded derivative was extinguished and derecognized. See Note 3, Fair Value Measurements for a further discussion of the fair value of the Contingent derivative liability associated with the Put Option.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Option Agreement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shares of Common Stock in the Offering, as defined in Note 10, and as of </w:t>
      </w:r>
      <w:r>
        <w:rPr>
          <w:rFonts w:ascii="Times New Roman" w:hAnsi="Times New Roman"/>
          <w:color w:val="231F20"/>
          <w:sz w:val="20"/>
        </w:rPr>
        <w:t>December 31, 2024,</w:t>
      </w:r>
      <w:r>
        <w:rPr>
          <w:rFonts w:ascii="Times New Roman" w:hAnsi="Times New Roman"/>
          <w:color w:val="000000"/>
          <w:sz w:val="20"/>
        </w:rPr>
        <w:t xml:space="preserve"> the Holders had the right to purchase up to $8,050,000 of shares of Common Stock under the Option Agreement. As of December 31, 2025, the Option Agreement was no longer in effect and no right to purchase Common Stock remained outstanding.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Option granted to the Holders represented a freestanding instrument separate from the Purchasers' commitments outlined in the Purchase Agreement. The Option Agreement did not qualify for the equity contract scope exception under ASC 815-40 and the Company recorded the Option as a liability (“Option Agreement liability”) on the consolidated balance sheet at an initial fair value of $55 thousand, and subsequent changes in the fair value were recognized in the consolidated statements of operations and comprehensive loss at each reporting date. In connection with the termination of the Purchase Agreement in December 2025, the Option Agreement was terminated. The fair value of the Option Agreement liability as of </w:t>
      </w:r>
      <w:r>
        <w:rPr>
          <w:rFonts w:ascii="Times New Roman" w:hAnsi="Times New Roman"/>
          <w:color w:val="231F20"/>
          <w:sz w:val="20"/>
        </w:rPr>
        <w:t xml:space="preserve">December 31, 2024 </w:t>
      </w:r>
      <w:r>
        <w:rPr>
          <w:rFonts w:ascii="Times New Roman" w:hAnsi="Times New Roman"/>
          <w:color w:val="000000"/>
          <w:sz w:val="20"/>
        </w:rPr>
        <w:t xml:space="preserve">was $64 thousand.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231F20"/>
          <w:sz w:val="20"/>
        </w:rPr>
      </w:pPr>
      <w:bookmarkStart w:id="34" w:name="section35"/>
      <w:bookmarkEnd w:id="34"/>
      <w:r>
        <w:rPr>
          <w:rFonts w:ascii="Times New Roman" w:hAnsi="Times New Roman"/>
          <w:b/>
          <w:color w:val="231F20"/>
          <w:sz w:val="20"/>
        </w:rPr>
        <w:t>8.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15, 2025, the Company entered into a Loan and Security Agreement (the “Loan Agreement”) with Avenue Venture Opportunities Fund II, L.P. and its affiliates (the “Lenders”), as administrative agent and collateral agent, providing for a senior secured term loan facility (the “Term Loan Facility”) of up to $77.5 million in the aggregate that matures on December 1, 2029. At closing, the Company drew $40.0 million under the first tranche of the Term Loan Facility, the proceeds of which were used primarily to repay the outstanding liabilities under the Purchase Agreement, as discussed in Note 7. Additional tranches of up to $12.5 million and $25.0 million may be made available in the future, at the discretion of the Lenders, upon the satisfaction of specified revenue, regulatory approval, and liquidity conditions. The Company is not obligated to draw any additional amounts.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Borrowings under the Term Loan Facility bear interest at a rate equal to the greater of 11.50% or the Wall Street Journal Prime Rate plus 4.50%. Interest-only payments are due monthly beginning in January 2026. As of December 31, 2025, the carrying value of the Term Loan Facility approximated its fair value. The Company entered into the Term Loan Facility in mid-December 2025, and its stated interest rate of 11.50% was consistent with market terms for similar debt instruments as of year end.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not required to make principal payments until December 1, 2027, or December 1, 2028 if the second tranche is funded. Beginning on that date, principal will be repaid in equal monthly installments through the maturity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 Loan Facility includes a contractual final payment fee of $2.4 million due at maturity, which is recognized as additional interest cost and is accreted to the Term Loan balance using the effective interest method over the contractual term of the Term Loan. Accretion of the final payment fee, together with amortization of debt discounts and debt issuance costs, is included in 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Loan Facility is secured by substantially all of the assets of the Company and certain of its subsidiaries and is subject to customary affirmative and negative covenants.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entry into the Term Loan Facility, the Company issued the Lenders warrants to purchase up to $5.0 million in Common Stock. In addition, the Lenders have the right, subject to certain conditions, to convert up to $2.5 million of outstanding principal into shares of Common Stock. See Note 10 for further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2025, the Term Loan Facility is classified as long-term debt on the consolidated balance sheets and is recorded at amortized cost, net of unamortized debt discounts and issuance costs. The debt discounts were recorded upon issuance as a result of the initial recognition of (i) Lender warrants classified as a liability and (ii) a bifurcated conversion feature classified as a derivative liability, each discussed in Note 10.</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Debt issuance costs and debt discounts are amortized to interest expense over the contractual term of the Term Loan Facility using the effective interest method. Changes in the fair value of the Lender warrants and the derivative liability are recognized in earnings in accordance with the accounting described in Note 10 and are not components of interest expense.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As of December 31, 2025, the carrying amount of the Term Loan Facility was as follows:</w:t>
      </w:r>
    </w:p>
    <w:tbl>
      <w:tblPr>
        <w:tblW w:w="6262" w:type="dxa"/>
        <w:jc w:val="left"/>
        <w:tblInd w:w="0" w:type="dxa"/>
        <w:tblLayout w:type="fixed"/>
        <w:tblCellMar>
          <w:top w:w="28" w:type="dxa"/>
          <w:left w:w="28" w:type="dxa"/>
          <w:bottom w:w="28" w:type="dxa"/>
          <w:right w:w="28" w:type="dxa"/>
        </w:tblCellMar>
      </w:tblPr>
      <w:tblGrid>
        <w:gridCol w:w="3196"/>
        <w:gridCol w:w="146"/>
        <w:gridCol w:w="211"/>
        <w:gridCol w:w="676"/>
        <w:gridCol w:w="146"/>
        <w:gridCol w:w="146"/>
        <w:gridCol w:w="364"/>
        <w:gridCol w:w="116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 Amount</w:t>
            </w:r>
            <w:r>
              <w:rPr>
                <w:rFonts w:ascii="Times New Roman" w:hAnsi="Times New Roman"/>
                <w:b/>
                <w:color w:val="000000"/>
                <w:sz w:val="11"/>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 Loan Facility due 2029</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Principal payable in 24 consecutive</w:t>
      </w:r>
      <w:r>
        <w:rPr>
          <w:rFonts w:ascii="Times New Roman" w:hAnsi="Times New Roman"/>
          <w:color w:val="000000"/>
          <w:sz w:val="20"/>
        </w:rPr>
        <w:t xml:space="preserve"> </w:t>
      </w:r>
      <w:r>
        <w:rPr>
          <w:rFonts w:ascii="Times New Roman" w:hAnsi="Times New Roman"/>
          <w:color w:val="000000"/>
          <w:sz w:val="18"/>
        </w:rPr>
        <w:t>monthly installments</w:t>
      </w:r>
      <w:r>
        <w:rPr>
          <w:rFonts w:ascii="Times New Roman" w:hAnsi="Times New Roman"/>
          <w:color w:val="000000"/>
          <w:sz w:val="20"/>
        </w:rPr>
        <w:t xml:space="preserve"> </w:t>
      </w:r>
      <w:r>
        <w:rPr>
          <w:rFonts w:ascii="Times New Roman" w:hAnsi="Times New Roman"/>
          <w:color w:val="000000"/>
          <w:sz w:val="18"/>
        </w:rPr>
        <w:t>of $1.7</w:t>
      </w:r>
      <w:r>
        <w:rPr>
          <w:rFonts w:ascii="Times New Roman" w:hAnsi="Times New Roman"/>
          <w:color w:val="000000"/>
          <w:sz w:val="20"/>
        </w:rPr>
        <w:t xml:space="preserve"> </w:t>
      </w:r>
      <w:r>
        <w:rPr>
          <w:rFonts w:ascii="Times New Roman" w:hAnsi="Times New Roman"/>
          <w:color w:val="000000"/>
          <w:sz w:val="18"/>
        </w:rPr>
        <w:t>million beginning December 1, 2027, or December 1, 2028 if the second tranche is funded, with the final payment fee of $2.4</w:t>
      </w:r>
      <w:r>
        <w:rPr>
          <w:rFonts w:ascii="Times New Roman" w:hAnsi="Times New Roman"/>
          <w:color w:val="000000"/>
          <w:sz w:val="20"/>
        </w:rPr>
        <w:t xml:space="preserve"> </w:t>
      </w:r>
      <w:r>
        <w:rPr>
          <w:rFonts w:ascii="Times New Roman" w:hAnsi="Times New Roman"/>
          <w:color w:val="000000"/>
          <w:sz w:val="18"/>
        </w:rPr>
        <w:t>million due at maturity.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2"/>
        </w:rPr>
        <w:t>(b)</w:t>
      </w:r>
      <w:r>
        <w:rPr>
          <w:rFonts w:ascii="Times New Roman" w:hAnsi="Times New Roman"/>
          <w:color w:val="000000"/>
          <w:sz w:val="20"/>
        </w:rPr>
        <w:t xml:space="preserve"> </w:t>
      </w:r>
      <w:r>
        <w:rPr>
          <w:rFonts w:ascii="Times New Roman" w:hAnsi="Times New Roman"/>
          <w:color w:val="000000"/>
          <w:sz w:val="18"/>
        </w:rPr>
        <w:t>Interest payable monthly beginning on January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of December 31, 2025, the contractual maturities of long-term debt were as follows:</w:t>
      </w:r>
    </w:p>
    <w:tbl>
      <w:tblPr>
        <w:tblW w:w="2485" w:type="dxa"/>
        <w:jc w:val="left"/>
        <w:tblInd w:w="0" w:type="dxa"/>
        <w:tblLayout w:type="fixed"/>
        <w:tblCellMar>
          <w:top w:w="28" w:type="dxa"/>
          <w:left w:w="28" w:type="dxa"/>
          <w:bottom w:w="28" w:type="dxa"/>
          <w:right w:w="28" w:type="dxa"/>
        </w:tblCellMar>
      </w:tblPr>
      <w:tblGrid>
        <w:gridCol w:w="1261"/>
        <w:gridCol w:w="146"/>
        <w:gridCol w:w="211"/>
        <w:gridCol w:w="676"/>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2029</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Includes a contractual final payment of $2.4</w:t>
      </w:r>
      <w:r>
        <w:rPr>
          <w:rFonts w:ascii="Times New Roman" w:hAnsi="Times New Roman"/>
          <w:color w:val="000000"/>
          <w:sz w:val="20"/>
        </w:rPr>
        <w:t xml:space="preserve"> </w:t>
      </w:r>
      <w:r>
        <w:rPr>
          <w:rFonts w:ascii="Times New Roman" w:hAnsi="Times New Roman"/>
          <w:color w:val="000000"/>
          <w:sz w:val="18"/>
        </w:rPr>
        <w:t>million due at maturity.</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231F20"/>
          <w:sz w:val="20"/>
        </w:rPr>
      </w:pPr>
      <w:bookmarkStart w:id="35" w:name="section36"/>
      <w:bookmarkEnd w:id="35"/>
      <w:r>
        <w:rPr>
          <w:rFonts w:ascii="Times New Roman" w:hAnsi="Times New Roman"/>
          <w:b/>
          <w:color w:val="231F20"/>
          <w:sz w:val="20"/>
        </w:rPr>
        <w:t>9. Leases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September 29, 2025, we executed a Sixth Amendment to our lease agreements. The amendment extends the non-cancelable term to March 31, 2037, resets base rent effective January 1, 2026 with 3% annual escalations thereafter, and provides two rent abatement periods (January 1, 2026, through March 31, 2026, and January 1, 2027, through March 31, 2027). Accounting for the amendment resulted in remeasurement of the lease liability and right-of-use asset as of September 30, 2025 using our incremental borrowing rate at that date.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a result, during the year ended December 31, 2025, the Company recorded a net non-cash increase of $15.0 million to right-of-use assets and lease liabilities resulting from lease remeasurements associated with the lease modification.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As of December 31, 2025 and December 31, 2024, the Company had finance lease liabilities of $29.4 million and $16.5 million, respectively, and right-of-use assets of $29.1 million and $15.5 million, respectively. As of December 31, 2024, the Company had operating lease liabilities of $0.6 million, primarily included in other long-term liabilities with the remaining balance classified in other current liabilities, and related right-of-use assets of $0.6 million included in other long-term assets on the consolidated balance sheets. As of December 31, 2025, the Company had no operating lease liabilities or right-of-use assets on the condensed consolidated balance sheets.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Company’s lease does not require any contingent rental payments, impose any financial restrictions, or contain any residual value guarantees. The Company’s lease includes renewal options and escalation clauses; renewal options have been included in the calculation of the lease liabilities and right-of-use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summarizes quantitative information about the Company’s leases:</w:t>
      </w:r>
    </w:p>
    <w:tbl>
      <w:tblPr>
        <w:tblW w:w="6042" w:type="dxa"/>
        <w:jc w:val="left"/>
        <w:tblInd w:w="0" w:type="dxa"/>
        <w:tblLayout w:type="fixed"/>
        <w:tblCellMar>
          <w:top w:w="28" w:type="dxa"/>
          <w:left w:w="28" w:type="dxa"/>
          <w:bottom w:w="28" w:type="dxa"/>
          <w:right w:w="28" w:type="dxa"/>
        </w:tblCellMar>
      </w:tblPr>
      <w:tblGrid>
        <w:gridCol w:w="3311"/>
        <w:gridCol w:w="146"/>
        <w:gridCol w:w="226"/>
        <w:gridCol w:w="614"/>
        <w:gridCol w:w="157"/>
        <w:gridCol w:w="157"/>
        <w:gridCol w:w="226"/>
        <w:gridCol w:w="614"/>
        <w:gridCol w:w="5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jc w:val="left"/>
        <w:rPr/>
      </w:pPr>
      <w:r>
        <w:rPr/>
        <w:t> </w:t>
      </w:r>
    </w:p>
    <w:tbl>
      <w:tblPr>
        <w:tblW w:w="8335" w:type="dxa"/>
        <w:jc w:val="left"/>
        <w:tblInd w:w="0" w:type="dxa"/>
        <w:tblLayout w:type="fixed"/>
        <w:tblCellMar>
          <w:top w:w="28" w:type="dxa"/>
          <w:left w:w="28" w:type="dxa"/>
          <w:bottom w:w="28" w:type="dxa"/>
          <w:right w:w="28" w:type="dxa"/>
        </w:tblCellMar>
      </w:tblPr>
      <w:tblGrid>
        <w:gridCol w:w="3331"/>
        <w:gridCol w:w="146"/>
        <w:gridCol w:w="211"/>
        <w:gridCol w:w="631"/>
        <w:gridCol w:w="271"/>
        <w:gridCol w:w="146"/>
        <w:gridCol w:w="307"/>
        <w:gridCol w:w="549"/>
        <w:gridCol w:w="166"/>
        <w:gridCol w:w="146"/>
        <w:gridCol w:w="211"/>
        <w:gridCol w:w="631"/>
        <w:gridCol w:w="271"/>
        <w:gridCol w:w="146"/>
        <w:gridCol w:w="261"/>
        <w:gridCol w:w="595"/>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231F20"/>
          <w:sz w:val="20"/>
        </w:rPr>
      </w:pPr>
      <w:r>
        <w:rPr>
          <w:rFonts w:ascii="Times New Roman" w:hAnsi="Times New Roman"/>
          <w:color w:val="231F20"/>
          <w:sz w:val="20"/>
        </w:rPr>
        <w:t>As of December 31, 2025, the maturities of the Company’s lease liabilities were as follows:</w:t>
      </w:r>
    </w:p>
    <w:tbl>
      <w:tblPr>
        <w:tblW w:w="3958" w:type="dxa"/>
        <w:jc w:val="left"/>
        <w:tblInd w:w="0" w:type="dxa"/>
        <w:tblLayout w:type="fixed"/>
        <w:tblCellMar>
          <w:top w:w="28" w:type="dxa"/>
          <w:left w:w="28" w:type="dxa"/>
          <w:bottom w:w="28" w:type="dxa"/>
          <w:right w:w="28" w:type="dxa"/>
        </w:tblCellMar>
      </w:tblPr>
      <w:tblGrid>
        <w:gridCol w:w="2416"/>
        <w:gridCol w:w="146"/>
        <w:gridCol w:w="264"/>
        <w:gridCol w:w="921"/>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231F20"/>
          <w:sz w:val="20"/>
        </w:rPr>
      </w:pPr>
      <w:r>
        <w:rPr>
          <w:rFonts w:ascii="Times New Roman" w:hAnsi="Times New Roman"/>
          <w:color w:val="231F20"/>
          <w:sz w:val="20"/>
        </w:rPr>
        <w:t>________________________</w:t>
      </w:r>
    </w:p>
    <w:p>
      <w:pPr>
        <w:pStyle w:val="TextBody"/>
        <w:bidi w:val="0"/>
        <w:jc w:val="left"/>
        <w:rPr>
          <w:rFonts w:ascii="Times New Roman" w:hAnsi="Times New Roman"/>
          <w:sz w:val="12"/>
        </w:rPr>
      </w:pPr>
      <w:r>
        <w:rPr>
          <w:rFonts w:ascii="Times New Roman" w:hAnsi="Times New Roman"/>
          <w:color w:val="231F20"/>
          <w:sz w:val="12"/>
        </w:rPr>
        <w:t xml:space="preserve">(a) </w:t>
      </w:r>
      <w:r>
        <w:rPr>
          <w:rFonts w:ascii="Times New Roman" w:hAnsi="Times New Roman"/>
          <w:color w:val="231F20"/>
          <w:sz w:val="18"/>
        </w:rPr>
        <w:t xml:space="preserve">For the year ending 2027, the negative amount reflects a reimbursement from the lessor for tenant improvement costs. The reimbursement exceeds the scheduled lease payments for that period. </w:t>
      </w:r>
    </w:p>
    <w:p>
      <w:pPr>
        <w:pStyle w:val="TextBody"/>
        <w:bidi w:val="0"/>
        <w:jc w:val="left"/>
        <w:rPr/>
      </w:pPr>
      <w:r>
        <w:rPr/>
        <w:t> </w:t>
      </w:r>
    </w:p>
    <w:p>
      <w:pPr>
        <w:pStyle w:val="TextBody"/>
        <w:bidi w:val="0"/>
        <w:jc w:val="left"/>
        <w:rPr>
          <w:rFonts w:ascii="Times New Roman" w:hAnsi="Times New Roman"/>
          <w:b/>
          <w:color w:val="000000"/>
          <w:sz w:val="20"/>
        </w:rPr>
      </w:pPr>
      <w:bookmarkStart w:id="36" w:name="section37"/>
      <w:bookmarkEnd w:id="36"/>
      <w:r>
        <w:rPr>
          <w:rFonts w:ascii="Times New Roman" w:hAnsi="Times New Roman"/>
          <w:b/>
          <w:color w:val="000000"/>
          <w:sz w:val="20"/>
        </w:rPr>
        <w:t>10. Stockholders’ Equity (Deficit) and Warrants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Public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29, 2024, the Company entered into an underwriting agreement (the “Underwriting Agreement”) with Cowen and Company, LLC and Cantor Fitzgerald &amp; Co., as representatives of the several underwriters named therein (collectively, the “Underwriters”), relating to the issuance and sale in an underwritten offering (the “2024 Public Offering”) of 15,410,000 shares of Common Stock, which included a full exercise of the Underwriters’ option to purchase additional shares, at a price to the public of $3.00 per share. The net proceeds to the Company from the 2024 Public Offering were approximately $43.0 million after deducting underwriting discounts and commissions and offering expenses. The 2024 Public Offering closed on March 5,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25, 2025, the Company entered into an underwriting agreement with TD Securities (USA) LLC, Barclays Capital Inc. and BTIG, LLC, as representatives of the several underwriters named therein, relating to the issuance and sale in an underwritten offering (the “2025 Public Offering”) of 25,000,000 shares of Common Stock, at a price to the public of $2.00 per share (the “Firm Shares”). The Company also granted the underwriters a 30-day option to purchase up to an additional 3,750,000 shares of Common Stock at the same price as the Firm Shares, which the underwriters did not exercise. The net proceeds to the Company from the 2025 Public Offering were approximately $46.7 million after deducting underwriting discounts and commissions and offering expenses. The 2025 Public Offering closed on March 27,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Line Financing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consolidated balance sheets. The Common Stock Purchase Agreement is subsequently remeasured at each reporting date with changes in fair value recorded </w:t>
      </w:r>
      <w:r>
        <w:rPr>
          <w:rFonts w:ascii="Times New Roman" w:hAnsi="Times New Roman"/>
          <w:color w:val="231F20"/>
          <w:sz w:val="20"/>
        </w:rPr>
        <w:t>within Change in fair value of derivatives in the consolidated statements of operations and comprehensive loss</w:t>
      </w:r>
      <w:r>
        <w:rPr>
          <w:rFonts w:ascii="Times New Roman" w:hAnsi="Times New Roman"/>
          <w:color w:val="000000"/>
          <w:sz w:val="20"/>
        </w:rPr>
        <w:t xml:space="preserve">. Through </w:t>
      </w:r>
      <w:r>
        <w:rPr>
          <w:rFonts w:ascii="Times New Roman" w:hAnsi="Times New Roman"/>
          <w:color w:val="231F20"/>
          <w:sz w:val="20"/>
        </w:rPr>
        <w:t>December 31, 2025</w:t>
      </w:r>
      <w:r>
        <w:rPr>
          <w:rFonts w:ascii="Times New Roman" w:hAnsi="Times New Roman"/>
          <w:color w:val="000000"/>
          <w:sz w:val="20"/>
        </w:rPr>
        <w:t xml:space="preserve">, the Company has sold 500,000 shares to Lincoln Park for aggregate gross proceeds of $2.5 million, and the Company had $47.5 million in remaining availability for sales of Common Stock under the Common Stock Purchase Agreement as of December 31, 2025. During the year ended </w:t>
      </w:r>
      <w:r>
        <w:rPr>
          <w:rFonts w:ascii="Times New Roman" w:hAnsi="Times New Roman"/>
          <w:color w:val="231F20"/>
          <w:sz w:val="20"/>
        </w:rPr>
        <w:t>December 31, 2024,</w:t>
      </w:r>
      <w:r>
        <w:rPr>
          <w:rFonts w:ascii="Times New Roman" w:hAnsi="Times New Roman"/>
          <w:color w:val="000000"/>
          <w:sz w:val="20"/>
        </w:rPr>
        <w:t xml:space="preserve"> the Company incurred $0.2 million of transaction costs related to the Common Stock Purchase Agreement, consisting of legal and professional fees, which were expensed in the consolidated statements of operations and comprehensive loss. There were no purchases under the Common Stock Purchase Agreement during the fiscal year ended December 31, 2025.</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Registered Direct Offerings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October 4, 2024, the Company entered into a securities purchase agreement with an institutional investor pursuant to which the investor purchased 5,681,820 shares of Common Stock and warrants to purchase up to 5,681,820 shares of Common Stock in a registered direct offering (the “October 2024 Registered Direct Offering”). See below for additional information regarding the October 2024 RDO Warrants. The purchase price for one share of Common Stock and one warrant issued in the October 2024 Registered Direct Offering was $5.28. The net proceeds to the Company from the October 2024 Registered Direct Offering were approximately $28.0 million after deducting placement agent’s fees and offering expenses of approximately $2.0 million. The October 2024 Registered Direct Offering closed on October 7, 2024. During the year ended </w:t>
      </w:r>
      <w:r>
        <w:rPr>
          <w:rFonts w:ascii="Times New Roman" w:hAnsi="Times New Roman"/>
          <w:color w:val="231F20"/>
          <w:sz w:val="20"/>
        </w:rPr>
        <w:t>December 31, 2024</w:t>
      </w:r>
      <w:r>
        <w:rPr>
          <w:rFonts w:ascii="Times New Roman" w:hAnsi="Times New Roman"/>
          <w:color w:val="000000"/>
          <w:sz w:val="20"/>
        </w:rPr>
        <w:t xml:space="preserve">, the Company expensed $0.1 million of transaction costs related to the October 2024 Registered Direct Offering in the consolidated statements of operations and comprehensive loss.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13, 2024, the Company entered into a securities purchase agreement with an institutional investor pursuant to which the investor purchased 2,808,988 shares of Common Stock and warrants to purchase up to 2,808,988 shares of Common Stock in a registered direct offering (the “November 2024 Registered Direct Offering”). See below for additional information regarding the November 2024 RDO Warrants. The purchase price for one share of Common Stock and one warrant issued in the November 2024 Registered Direct Offering was $5.34. The net proceeds to the Company from the November 2024 Registered Direct Offering were approximately $14.9 million after deducting offering expenses of approximately $0.1 million. The November 2024 Registered Direct Offering closed on November 15, 2024. All offering costs were expensed in the consolidated statements of operations and comprehensive loss.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October 6, 2025, the Company entered into a securities purchase agreement with an institutional investor pursuant to which the investor purchased 28,436,018 shares of Common Stock and the October 2025 RDO Warrants to purchase up to 28,436,018 shares of Common Stock in the October 2025 Registered Direct Offering (the “October 2025 Registered Direct Offering”). The purchase price for one share of Common Stock and one October 2025 RDO Warrant was $2.11. The net proceeds to the Company from the October 2025 RDO Warrants were approximately $56.5 million after deducting placement agent’s fees and offering expenses of approximately $3.5 million. The October 2025 Registered Direct Offering closed on October 8, 2025. As of </w:t>
      </w:r>
      <w:r>
        <w:rPr>
          <w:rFonts w:ascii="Times New Roman" w:hAnsi="Times New Roman"/>
          <w:color w:val="231F20"/>
          <w:sz w:val="20"/>
        </w:rPr>
        <w:t>December 31, 2025, t</w:t>
      </w:r>
      <w:r>
        <w:rPr>
          <w:rFonts w:ascii="Times New Roman" w:hAnsi="Times New Roman"/>
          <w:color w:val="000000"/>
          <w:sz w:val="20"/>
        </w:rPr>
        <w:t>here were $0.2 million of unpaid transaction costs related to the October 2025 Registered Direct Offering included in accounts payable on the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19, 2026, the Company entered into certain securities purchase agreements pursuant to which the Company agreed to issue and sell to certain investors in a registered direct offering 25,000,000 shares of the Common Stock at a price of $0.80 per share (the “March 2026 Registered Direct Offering”). The net proceeds to the Company from the March 2026 Registered Direct Offering were approximately $18,400,000, after deducting the placement agent’s fees and estimated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payable by the Company. The March 2026 Registered Direct Offering closed on March 20, 2026. See Note 16, Subsequent Events for additional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ATM Facilities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September 1, 2022, the Company entered into a sales agreement with Jefferies LLC, acting as sales agent (the “Jefferies ATM Sales Agreement”) for the sale from time to time of up to $80.0 million of shares of Common Stock (the “Jefferies ATM Facility”). In December 2024, the Company sold an aggregate of 1,333,596 shares of Common Stock under the Jefferies ATM Facility at an average price of $5.26 per share for net proceeds of approximately $6.8 million. In the year ended December 31, 2025, the Company completed sales of shares under the Jefferies ATM Facility that provided net proceeds of approximately $10.0 million. On November 21, 2025, the Company delivered a notice to Jefferies LLC terminating the Jefferies ATM Sales Agreement, which termination became effective 10 days thereafter.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On December 16, 2025, the Company entered into a sales agreement with TD Cowen, acting as sales agent, or the TD Cowen ATM Facility, pursuant to which the Company may sell shares of Common Stock from time to time up to an aggregate offering price of $60.0 million. </w:t>
      </w:r>
      <w:r>
        <w:rPr>
          <w:rFonts w:ascii="Times New Roman" w:hAnsi="Times New Roman"/>
          <w:color w:val="000000"/>
          <w:sz w:val="20"/>
        </w:rPr>
        <w:t>As of December 31, 2025, no shares had been sold under the TD Cowen ATM Facility. On March 19, 2026, the Company delivered written notice to TD Cowen, that it was suspending and terminating the prospectus, dated December 16, 2025 (the “ATM Prospectus”), relating to the sale of up to $60 million of Common Stock, that may be issued and sold pursuant to the Sales Agreement, dated as of December 16, 2025, by and between the Company and TD Cowen (the “Sales Agreement”). The Company will not make any further sales of its Common Stock pursuant to the Sales Agreement unless and until a new prospectus, prospectus supplement or registration statement is filed. Other than the suspension and termination of the ATM Prospectus, the Sales Agreement remains in full force and effect.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Common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2024,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 In June 2025, the Company amended its Second Amended and Restated Certificate of Incorporation to increase the authorized number of shares of Common Stock from 250,000,000 to 350,000,000.</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holders of Common Stock are entitled to receive dividends from time to time as may be declared by the Company’s board of directors. As of December 31, 2025 and 2024, no dividends have been declared. The Loan Agreement limits the Company’s ability to pay cash dividends to the holders of Common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holders of Common Stock are entitled to one vote for each share held with respect to all matters voted on by the common stockholders of the Company.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the event of a reorganization of the Company, after payment to any preferred stockholders of their liquidation preferences, holders of Common Stock are entitled to share ratably in all remaining assets of the Company.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December 2025, the Company issued 5,725,190 shares of Common Stock to affiliates of Oberland Capital Management LLC as partial consideration for the termination and extinguishment of the Purchase Agreement, as defined in Note 1. The shares were issued together with cash consideration and the payment of certain legal fees and satisfied all amounts owing under the Purchase Agreement, including the termination of the related Option Agreement. The shares were issued directly to the Purchase Agreement counterparties without a placement agent or underwriter, and the Company did not receive any cash proceeds from the issuance of Common Stock. The accounting for the Purchase Agreement extinguishment is described in Note 7.</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Company’s senior secured Term Loan Facility includes an equity-settled conversion feature that permits the Lenders, at their option, to convert up to $2.5 million of outstanding principal into shares of Common Stock at a price per share equal to 130% of the Warrant Price, which is the lower of (a) $1.28, and (b) the lowest effective sale price per share paid in cash by third party investors to the Company for its Common Stock, (the “Conversion Shares”). No shares had been issued pursuant to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conversion feature as of December 31, 2025. See Note 8, Debt for additional information.</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As of December 31, 2025 and 2024, the Company had reserved Common Stock for future issuances as follows:</w:t>
      </w:r>
    </w:p>
    <w:tbl>
      <w:tblPr>
        <w:tblW w:w="9204" w:type="dxa"/>
        <w:jc w:val="left"/>
        <w:tblInd w:w="0" w:type="dxa"/>
        <w:tblLayout w:type="fixed"/>
        <w:tblCellMar>
          <w:top w:w="28" w:type="dxa"/>
          <w:left w:w="28" w:type="dxa"/>
          <w:bottom w:w="28" w:type="dxa"/>
          <w:right w:w="28" w:type="dxa"/>
        </w:tblCellMar>
      </w:tblPr>
      <w:tblGrid>
        <w:gridCol w:w="6106"/>
        <w:gridCol w:w="146"/>
        <w:gridCol w:w="146"/>
        <w:gridCol w:w="1141"/>
        <w:gridCol w:w="146"/>
        <w:gridCol w:w="146"/>
        <w:gridCol w:w="146"/>
        <w:gridCol w:w="1036"/>
        <w:gridCol w:w="1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Contingent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the Common Stock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Jefferies ATM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18,666,404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reserved for TD Cowen ATM Facility</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reserved for Option Agreement</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Conversion Shares under the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outstanding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12,274,139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outstanding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issuance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42,569,928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14,079,314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149,941,529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79,940,576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231F20"/>
          <w:sz w:val="12"/>
        </w:rPr>
        <w:t>(a)</w:t>
      </w:r>
      <w:r>
        <w:rPr>
          <w:rFonts w:ascii="Times New Roman" w:hAnsi="Times New Roman"/>
          <w:color w:val="231F20"/>
          <w:sz w:val="20"/>
        </w:rPr>
        <w:t xml:space="preserve"> </w:t>
      </w:r>
      <w:r>
        <w:rPr>
          <w:rFonts w:ascii="Times New Roman" w:hAnsi="Times New Roman"/>
          <w:color w:val="231F20"/>
          <w:sz w:val="18"/>
        </w:rPr>
        <w:t>The</w:t>
      </w:r>
      <w:r>
        <w:rPr>
          <w:rFonts w:ascii="Times New Roman" w:hAnsi="Times New Roman"/>
          <w:color w:val="231F20"/>
          <w:sz w:val="20"/>
        </w:rPr>
        <w:t xml:space="preserve"> </w:t>
      </w:r>
      <w:r>
        <w:rPr>
          <w:rFonts w:ascii="Times New Roman" w:hAnsi="Times New Roman"/>
          <w:color w:val="231F20"/>
          <w:sz w:val="18"/>
        </w:rPr>
        <w:t>Option Agreement related to the Purchase Agreement was terminated in December 2025 with no further obligation for stock issuance remaining.</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Times New Roman" w:hAnsi="Times New Roman"/>
          <w:color w:val="231F20"/>
          <w:sz w:val="12"/>
        </w:rPr>
        <w:t>(b)</w:t>
      </w:r>
      <w:r>
        <w:rPr>
          <w:rFonts w:ascii="Times New Roman" w:hAnsi="Times New Roman"/>
          <w:color w:val="231F20"/>
          <w:sz w:val="20"/>
        </w:rPr>
        <w:t xml:space="preserve"> </w:t>
      </w:r>
      <w:r>
        <w:rPr>
          <w:rFonts w:ascii="Times New Roman" w:hAnsi="Times New Roman"/>
          <w:color w:val="231F20"/>
          <w:sz w:val="18"/>
        </w:rPr>
        <w:t>On March 19, 2026, the Company delivered written notice to TD Cowen, that it was suspending and terminating the ATM Prospectus, relating to the sale of up to $60</w:t>
      </w:r>
      <w:r>
        <w:rPr>
          <w:rFonts w:ascii="Times New Roman" w:hAnsi="Times New Roman"/>
          <w:color w:val="231F20"/>
          <w:sz w:val="20"/>
        </w:rPr>
        <w:t xml:space="preserve"> </w:t>
      </w:r>
      <w:r>
        <w:rPr>
          <w:rFonts w:ascii="Times New Roman" w:hAnsi="Times New Roman"/>
          <w:color w:val="231F20"/>
          <w:sz w:val="18"/>
        </w:rPr>
        <w:t>million of Common Stock, that may be issued and sold pursuant to the Sales Agreement.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Preferred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powers, preferences and relative, participating, optional, special and other rights shall be stated and expressed in such resolutions. There were 20,000,000 shares designated as preferred stock and none were outstanding as of December 31, 2025 and 2024.</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Warrants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Company had the following Common Stock warrants outstanding as of December 31, 2025 and 2024:</w:t>
      </w:r>
    </w:p>
    <w:tbl>
      <w:tblPr>
        <w:tblW w:w="6654" w:type="dxa"/>
        <w:jc w:val="left"/>
        <w:tblInd w:w="0" w:type="dxa"/>
        <w:tblLayout w:type="fixed"/>
        <w:tblCellMar>
          <w:top w:w="28" w:type="dxa"/>
          <w:left w:w="28" w:type="dxa"/>
          <w:bottom w:w="28" w:type="dxa"/>
          <w:right w:w="28" w:type="dxa"/>
        </w:tblCellMar>
      </w:tblPr>
      <w:tblGrid>
        <w:gridCol w:w="3661"/>
        <w:gridCol w:w="146"/>
        <w:gridCol w:w="146"/>
        <w:gridCol w:w="1036"/>
        <w:gridCol w:w="146"/>
        <w:gridCol w:w="146"/>
        <w:gridCol w:w="146"/>
        <w:gridCol w:w="103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Humacyte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2024 RDO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2024 RDO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 RDO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Loan Agreement Warrants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40,935,943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14,079,314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7F7F7F"/>
          <w:sz w:val="20"/>
        </w:rPr>
      </w:pPr>
      <w:r>
        <w:rPr>
          <w:rFonts w:ascii="Times New Roman" w:hAnsi="Times New Roman"/>
          <w:color w:val="7F7F7F"/>
          <w:sz w:val="20"/>
        </w:rPr>
        <w:t>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Number of shares of Common Stock issuable upon exercise of the warrant outstanding under the Loan Agreement based on the base aggregate exercise value of $3.4</w:t>
      </w:r>
      <w:r>
        <w:rPr>
          <w:rFonts w:ascii="Times New Roman" w:hAnsi="Times New Roman"/>
          <w:color w:val="000000"/>
          <w:sz w:val="20"/>
        </w:rPr>
        <w:t xml:space="preserve"> </w:t>
      </w:r>
      <w:r>
        <w:rPr>
          <w:rFonts w:ascii="Times New Roman" w:hAnsi="Times New Roman"/>
          <w:color w:val="000000"/>
          <w:sz w:val="18"/>
        </w:rPr>
        <w:t>million divided by the exercise price of $1.28</w:t>
      </w:r>
      <w:r>
        <w:rPr>
          <w:rFonts w:ascii="Times New Roman" w:hAnsi="Times New Roman"/>
          <w:color w:val="000000"/>
          <w:sz w:val="20"/>
        </w:rPr>
        <w:t xml:space="preserve"> </w:t>
      </w:r>
      <w:r>
        <w:rPr>
          <w:rFonts w:ascii="Times New Roman" w:hAnsi="Times New Roman"/>
          <w:color w:val="000000"/>
          <w:sz w:val="18"/>
        </w:rPr>
        <w:t>per share. Additional aggregate exercise value that is contingent upon the future funding is not included in the table above.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5, 2025, October 2024 RDO Warrants to purchase 2,840,910 shares of Common Stock expired. On May 14,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November 2024 RDO Warrants to purchase 1,404,494 shares of Common Stock expired. On October 6, 2025, in connection with the October 2025 Registered Direct Offering, the Company issued the October 2025 RDO Warrants to purchase 28,436,018 shares of Common Stock. Other than as disclosed above, there were no issuances, exercises or expirations of warrants during the years ended December 31, 2025 and 2024.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Legacy Humacyte Common Stock Warrants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connection with the entry by the Company into a loan agreement with SVB, </w:t>
      </w:r>
      <w:r>
        <w:rPr>
          <w:rFonts w:ascii="Times New Roman" w:hAnsi="Times New Roman"/>
          <w:color w:val="000000"/>
          <w:sz w:val="20"/>
        </w:rPr>
        <w:t xml:space="preserve">in 2021 the Company granted warrants to the lenders to purchase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Common Stock.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Public and Private Placement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ASC 480. The Company then evaluated the Common Stock Warrants under ASC 815.</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Private Placement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Private Placement Warrants were initially recognized as a liability on the Closing Date at a fair value of $0.6 million. The remeasurement of the Private Placement Warrant liability to a fair value of $15 thousand as of December 31, 2025 from $0.4 million as of December 31, 2024 resulted in a non-cash </w:t>
      </w:r>
      <w:r>
        <w:rPr>
          <w:rFonts w:ascii="Times New Roman" w:hAnsi="Times New Roman"/>
          <w:color w:val="000000"/>
          <w:sz w:val="20"/>
        </w:rPr>
        <w:t xml:space="preserve">gain of </w:t>
      </w:r>
      <w:r>
        <w:rPr>
          <w:rFonts w:ascii="Times New Roman" w:hAnsi="Times New Roman"/>
          <w:color w:val="231F20"/>
          <w:sz w:val="20"/>
        </w:rPr>
        <w:t xml:space="preserve">$0.4 million for the year ended December 31, 2025, compared to a non-cash loss of $0.3 million for the year ended December 31, 2024. The remeasurement of the Private Placement Warrant liability is classified within Change in fair value of derivatives in the consolidated statements of operations and comprehensive loss. See </w:t>
      </w:r>
      <w:r>
        <w:rPr>
          <w:rFonts w:ascii="Times New Roman" w:hAnsi="Times New Roman"/>
          <w:color w:val="000000"/>
          <w:sz w:val="20"/>
        </w:rPr>
        <w:t>Note 3, Fair Value Measurements</w:t>
      </w:r>
      <w:r>
        <w:rPr>
          <w:rFonts w:ascii="Times New Roman" w:hAnsi="Times New Roman"/>
          <w:color w:val="231F20"/>
          <w:sz w:val="20"/>
        </w:rPr>
        <w:t xml:space="preserve"> for a summary of the change in the fair value of the Private Placement Warrants during the years ended December 31,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Private Placement Warrants were valued using the following assumptions under the Black-Scholes model:</w:t>
      </w:r>
    </w:p>
    <w:tbl>
      <w:tblPr>
        <w:tblW w:w="5054"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211"/>
        <w:gridCol w:w="57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Public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 in control and would not preclude permanent equity classification of the Public Warrants. Based on this evaluation, the Company concluded that the Public Warrants met the criteria to be classified within stockholders’ equity. The Public Warrants were initially recognized as equity on the Closing Date at a fair value of $2.80 per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Registered Direct Offering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Collectively, the October 2024 RDO Warrants, the November 2024 RDO Warrants, and the October 2025 RDO Warrants are referred to as the “Registered Direct Offering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Registered Direct Offering Warrants holders are entitled to participate in dividends and other distributions of assets to the same extent as if the holders held the number of shares of Common Stock issuable upon exercising the Registered Direct Offering Warrants. Therefore, the Registered Direct Offering Warrants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evaluated the Registered Direct Offering Warrants to determine the appropriate financial statement classification upon issuance.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agreements governing the Registered Direct Offering Warrants include a provision, the application of which could result in a different settlement value for the Registered Direct Offering Warrants. The Registered Direct Offering Warrants cannot be exercised if after the exercise the warrant holder would own more than 4.99% of the Company’s outstanding Common Stock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Registered Direct Offering Warrants from being considered indexed to the Company’s 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is a provision related to fundamental transactions (defined in the Registered Direct Offering Warrants to include various merger and change in control transactions) that results in liability classification. As the Registered Direct Offering Warrants meet the definition of a derivative, the Company recorded these Registered Direct Offering Warrants as liabilities on the consolidated balance sheet at fair value, with subsequent changes in their respective fair values recognized in the consolidated statements of operations and comprehensive loss at each reporting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2024 RDO Warrants were immediately exercisable. The October 2024 RDO Warrants to purchase 2,840,910 shares of Common Stock have an exercise price of $5.28 per share, and expired 180 days after the date of issuance. The remaining October 2024 RDO Warrants to purchase 2,840,910 shares of Common Stock have an exercise price of $5.28 per share, and will expire 1,640 days from the date of issuance.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October 2024 RDO Warrants were initially recognized as a liability at a fair value of </w:t>
      </w:r>
      <w:r>
        <w:rPr>
          <w:rFonts w:ascii="Times New Roman" w:hAnsi="Times New Roman"/>
          <w:color w:val="231F20"/>
          <w:sz w:val="20"/>
        </w:rPr>
        <w:t xml:space="preserve">$15.2 million </w:t>
      </w:r>
      <w:r>
        <w:rPr>
          <w:rFonts w:ascii="Times New Roman" w:hAnsi="Times New Roman"/>
          <w:color w:val="000000"/>
          <w:sz w:val="20"/>
        </w:rPr>
        <w:t>on the issuance date</w:t>
      </w:r>
      <w:r>
        <w:rPr>
          <w:rFonts w:ascii="Times New Roman" w:hAnsi="Times New Roman"/>
          <w:color w:val="231F20"/>
          <w:sz w:val="20"/>
        </w:rPr>
        <w:t>. The subsequent remeasurement of the October RDO Warrants liability to a fair value of approximately $1 million</w:t>
      </w:r>
      <w:r>
        <w:rPr>
          <w:rFonts w:ascii="Times New Roman" w:hAnsi="Times New Roman"/>
          <w:color w:val="000000"/>
          <w:sz w:val="20"/>
        </w:rPr>
        <w:t xml:space="preserve"> as of </w:t>
      </w:r>
      <w:r>
        <w:rPr>
          <w:rFonts w:ascii="Times New Roman" w:hAnsi="Times New Roman"/>
          <w:color w:val="231F20"/>
          <w:sz w:val="20"/>
        </w:rPr>
        <w:t>December 31, 2025</w:t>
      </w:r>
      <w:r>
        <w:rPr>
          <w:rFonts w:ascii="Times New Roman" w:hAnsi="Times New Roman"/>
          <w:color w:val="000000"/>
          <w:sz w:val="20"/>
        </w:rPr>
        <w:t xml:space="preserve"> resulted in a non-cash gain of $11.6</w:t>
      </w:r>
      <w:r>
        <w:rPr>
          <w:rFonts w:ascii="Times New Roman" w:hAnsi="Times New Roman"/>
          <w:color w:val="231F20"/>
          <w:sz w:val="20"/>
        </w:rPr>
        <w:t xml:space="preserve"> million</w:t>
      </w:r>
      <w:r>
        <w:rPr>
          <w:rFonts w:ascii="Times New Roman" w:hAnsi="Times New Roman"/>
          <w:color w:val="000000"/>
          <w:sz w:val="20"/>
        </w:rPr>
        <w:t xml:space="preserve"> for the year ended </w:t>
      </w:r>
      <w:r>
        <w:rPr>
          <w:rFonts w:ascii="Times New Roman" w:hAnsi="Times New Roman"/>
          <w:color w:val="231F20"/>
          <w:sz w:val="20"/>
        </w:rPr>
        <w:t>December 31, 2025, compared to a non-cash gain of $2.8 million for the year ended December 31, 2024. The non-cash gain was</w:t>
      </w:r>
      <w:r>
        <w:rPr>
          <w:rFonts w:ascii="Times New Roman" w:hAnsi="Times New Roman"/>
          <w:color w:val="000000"/>
          <w:sz w:val="20"/>
        </w:rPr>
        <w:t xml:space="preserve"> recognized within Change in fair value of derivatives in the consolidated statements of operations and comprehensive loss.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October 2024 RDO Warrants were valued using the following assumptions in the Black-Scholes valuation model:</w:t>
      </w:r>
    </w:p>
    <w:tbl>
      <w:tblPr>
        <w:tblW w:w="7567" w:type="dxa"/>
        <w:jc w:val="left"/>
        <w:tblInd w:w="0" w:type="dxa"/>
        <w:tblLayout w:type="fixed"/>
        <w:tblCellMar>
          <w:top w:w="28" w:type="dxa"/>
          <w:left w:w="28" w:type="dxa"/>
          <w:bottom w:w="28" w:type="dxa"/>
          <w:right w:w="28" w:type="dxa"/>
        </w:tblCellMar>
      </w:tblPr>
      <w:tblGrid>
        <w:gridCol w:w="2611"/>
        <w:gridCol w:w="146"/>
        <w:gridCol w:w="395"/>
        <w:gridCol w:w="1075"/>
        <w:gridCol w:w="271"/>
        <w:gridCol w:w="146"/>
        <w:gridCol w:w="341"/>
        <w:gridCol w:w="754"/>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180 Day Warrants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1,640 Day Warrants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5.05</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0.96</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5.05</w:t>
            </w:r>
          </w:p>
        </w:tc>
        <w:tc>
          <w:tcPr>
            <w:tcW w:w="31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5.28</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5.28</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5.28</w:t>
            </w:r>
          </w:p>
        </w:tc>
        <w:tc>
          <w:tcPr>
            <w:tcW w:w="31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0.27</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3.27</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106.7</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98.4</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88.4</w:t>
            </w:r>
          </w:p>
        </w:tc>
        <w:tc>
          <w:tcPr>
            <w:tcW w:w="316"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3.51</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4.25</w:t>
            </w:r>
          </w:p>
        </w:tc>
        <w:tc>
          <w:tcPr>
            <w:tcW w:w="316"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November 2024 RDO Warrants were immediately exercisable. The November 2024 RDO Warrants to purchase 1,404,494 shares of Common Stock have an exercise price of $5.34 per share, and expired 180 days after the date of issuance. The remaining November 2024 RDO Warrants to purchase 1,404,494 shares of Common Stock have an exercise price of $5.34 per share, and will expire 1,640 days from the date of issuance.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November 2024 RDO Warrants were initially recognized as a liability at a fair value of </w:t>
      </w:r>
      <w:r>
        <w:rPr>
          <w:rFonts w:ascii="Times New Roman" w:hAnsi="Times New Roman"/>
          <w:color w:val="231F20"/>
          <w:sz w:val="20"/>
        </w:rPr>
        <w:t xml:space="preserve">$6.1 million </w:t>
      </w:r>
      <w:r>
        <w:rPr>
          <w:rFonts w:ascii="Times New Roman" w:hAnsi="Times New Roman"/>
          <w:color w:val="000000"/>
          <w:sz w:val="20"/>
        </w:rPr>
        <w:t>on the issuance date</w:t>
      </w:r>
      <w:r>
        <w:rPr>
          <w:rFonts w:ascii="Times New Roman" w:hAnsi="Times New Roman"/>
          <w:color w:val="231F20"/>
          <w:sz w:val="20"/>
        </w:rPr>
        <w:t>. The subsequent remeasurement of the</w:t>
      </w:r>
      <w:r>
        <w:rPr>
          <w:rFonts w:ascii="Times New Roman" w:hAnsi="Times New Roman"/>
          <w:color w:val="000000"/>
          <w:sz w:val="20"/>
        </w:rPr>
        <w:t xml:space="preserve"> November 2024 RDO Warrants liability </w:t>
      </w:r>
      <w:r>
        <w:rPr>
          <w:rFonts w:ascii="Times New Roman" w:hAnsi="Times New Roman"/>
          <w:color w:val="231F20"/>
          <w:sz w:val="20"/>
        </w:rPr>
        <w:t>to a fair value of $0.4 million</w:t>
      </w:r>
      <w:r>
        <w:rPr>
          <w:rFonts w:ascii="Times New Roman" w:hAnsi="Times New Roman"/>
          <w:color w:val="000000"/>
          <w:sz w:val="20"/>
        </w:rPr>
        <w:t xml:space="preserve"> as of </w:t>
      </w:r>
      <w:r>
        <w:rPr>
          <w:rFonts w:ascii="Times New Roman" w:hAnsi="Times New Roman"/>
          <w:color w:val="231F20"/>
          <w:sz w:val="20"/>
        </w:rPr>
        <w:t>December 31, 2025</w:t>
      </w:r>
      <w:r>
        <w:rPr>
          <w:rFonts w:ascii="Times New Roman" w:hAnsi="Times New Roman"/>
          <w:color w:val="000000"/>
          <w:sz w:val="20"/>
        </w:rPr>
        <w:t xml:space="preserve"> resulted in a non-cash gain of </w:t>
      </w:r>
      <w:r>
        <w:rPr>
          <w:rFonts w:ascii="Times New Roman" w:hAnsi="Times New Roman"/>
          <w:color w:val="231F20"/>
          <w:sz w:val="20"/>
        </w:rPr>
        <w:t>$6.0 million</w:t>
      </w:r>
      <w:r>
        <w:rPr>
          <w:rFonts w:ascii="Times New Roman" w:hAnsi="Times New Roman"/>
          <w:color w:val="000000"/>
          <w:sz w:val="20"/>
        </w:rPr>
        <w:t xml:space="preserve"> for the year ended </w:t>
      </w:r>
      <w:r>
        <w:rPr>
          <w:rFonts w:ascii="Times New Roman" w:hAnsi="Times New Roman"/>
          <w:color w:val="231F20"/>
          <w:sz w:val="20"/>
        </w:rPr>
        <w:t>December 31, 2025, compared to a non-cash loss of $0.3 million for the year ended December 31, 2024.</w:t>
      </w:r>
      <w:r>
        <w:rPr>
          <w:rFonts w:ascii="Times New Roman" w:hAnsi="Times New Roman"/>
          <w:color w:val="000000"/>
          <w:sz w:val="20"/>
        </w:rPr>
        <w:t xml:space="preserve"> The non-cash gain or loss was recognized within Change in fair value of derivatives in the consolidated statements of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November 2024 RDO Warrants were valued using the following assumptions in the Black-Scholes valuation model:</w:t>
      </w:r>
    </w:p>
    <w:tbl>
      <w:tblPr>
        <w:tblW w:w="7567" w:type="dxa"/>
        <w:jc w:val="left"/>
        <w:tblInd w:w="0" w:type="dxa"/>
        <w:tblLayout w:type="fixed"/>
        <w:tblCellMar>
          <w:top w:w="28" w:type="dxa"/>
          <w:left w:w="28" w:type="dxa"/>
          <w:bottom w:w="28" w:type="dxa"/>
          <w:right w:w="28" w:type="dxa"/>
        </w:tblCellMar>
      </w:tblPr>
      <w:tblGrid>
        <w:gridCol w:w="2611"/>
        <w:gridCol w:w="146"/>
        <w:gridCol w:w="395"/>
        <w:gridCol w:w="1075"/>
        <w:gridCol w:w="271"/>
        <w:gridCol w:w="146"/>
        <w:gridCol w:w="341"/>
        <w:gridCol w:w="754"/>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180 Day Warrants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1,640 Day Warrants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2025 RDO Warrants will become exercisable 180 days following the date of issuance, and will expire on April 7, 2031. The October 2025 RDO Warrants have an exercise price of $2.11 per share.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October 2025 RDO Warrants were initially recognized as a liability at a fair value of </w:t>
      </w:r>
      <w:r>
        <w:rPr>
          <w:rFonts w:ascii="Times New Roman" w:hAnsi="Times New Roman"/>
          <w:color w:val="231F20"/>
          <w:sz w:val="20"/>
        </w:rPr>
        <w:t>$34.3 million</w:t>
      </w:r>
      <w:r>
        <w:rPr>
          <w:rFonts w:ascii="Times New Roman" w:hAnsi="Times New Roman"/>
          <w:color w:val="000000"/>
          <w:sz w:val="20"/>
        </w:rPr>
        <w:t xml:space="preserve"> on the issuance date</w:t>
      </w:r>
      <w:r>
        <w:rPr>
          <w:rFonts w:ascii="Times New Roman" w:hAnsi="Times New Roman"/>
          <w:color w:val="231F20"/>
          <w:sz w:val="20"/>
        </w:rPr>
        <w:t>. The subsequent remeasurement of the</w:t>
      </w:r>
      <w:r>
        <w:rPr>
          <w:rFonts w:ascii="Times New Roman" w:hAnsi="Times New Roman"/>
          <w:color w:val="000000"/>
          <w:sz w:val="20"/>
        </w:rPr>
        <w:t xml:space="preserve"> October 2025 RDO Warrants liability </w:t>
      </w:r>
      <w:r>
        <w:rPr>
          <w:rFonts w:ascii="Times New Roman" w:hAnsi="Times New Roman"/>
          <w:color w:val="231F20"/>
          <w:sz w:val="20"/>
        </w:rPr>
        <w:t>to a fair value of $16.4 million</w:t>
      </w:r>
      <w:r>
        <w:rPr>
          <w:rFonts w:ascii="Times New Roman" w:hAnsi="Times New Roman"/>
          <w:color w:val="000000"/>
          <w:sz w:val="20"/>
        </w:rPr>
        <w:t xml:space="preserve"> as of </w:t>
      </w:r>
      <w:r>
        <w:rPr>
          <w:rFonts w:ascii="Times New Roman" w:hAnsi="Times New Roman"/>
          <w:color w:val="231F20"/>
          <w:sz w:val="20"/>
        </w:rPr>
        <w:t>December 31, 2025</w:t>
      </w:r>
      <w:r>
        <w:rPr>
          <w:rFonts w:ascii="Times New Roman" w:hAnsi="Times New Roman"/>
          <w:color w:val="000000"/>
          <w:sz w:val="20"/>
        </w:rPr>
        <w:t xml:space="preserve"> resulted in a non-cash gain of </w:t>
      </w:r>
      <w:r>
        <w:rPr>
          <w:rFonts w:ascii="Times New Roman" w:hAnsi="Times New Roman"/>
          <w:color w:val="231F20"/>
          <w:sz w:val="20"/>
        </w:rPr>
        <w:t>$17.9 million</w:t>
      </w:r>
      <w:r>
        <w:rPr>
          <w:rFonts w:ascii="Times New Roman" w:hAnsi="Times New Roman"/>
          <w:color w:val="000000"/>
          <w:sz w:val="20"/>
        </w:rPr>
        <w:t xml:space="preserve"> for the year ended </w:t>
      </w:r>
      <w:r>
        <w:rPr>
          <w:rFonts w:ascii="Times New Roman" w:hAnsi="Times New Roman"/>
          <w:color w:val="231F20"/>
          <w:sz w:val="20"/>
        </w:rPr>
        <w:t>December 31, 2025,</w:t>
      </w:r>
      <w:r>
        <w:rPr>
          <w:rFonts w:ascii="Times New Roman" w:hAnsi="Times New Roman"/>
          <w:color w:val="000000"/>
          <w:sz w:val="20"/>
        </w:rPr>
        <w:t xml:space="preserve"> recognized within Change in fair value of derivatives in the consolidated statements of operations and comprehensive loss.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October 2025 RDO Warrants were valued using the following assumptions in the Black-Scholes valuation model:</w:t>
      </w:r>
    </w:p>
    <w:tbl>
      <w:tblPr>
        <w:tblW w:w="4168" w:type="dxa"/>
        <w:jc w:val="left"/>
        <w:tblInd w:w="0" w:type="dxa"/>
        <w:tblLayout w:type="fixed"/>
        <w:tblCellMar>
          <w:top w:w="28" w:type="dxa"/>
          <w:left w:w="28" w:type="dxa"/>
          <w:bottom w:w="28" w:type="dxa"/>
          <w:right w:w="28" w:type="dxa"/>
        </w:tblCellMar>
      </w:tblPr>
      <w:tblGrid>
        <w:gridCol w:w="261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 xml:space="preserve">See </w:t>
      </w:r>
      <w:r>
        <w:rPr>
          <w:rFonts w:ascii="Times New Roman" w:hAnsi="Times New Roman"/>
          <w:color w:val="000000"/>
          <w:sz w:val="20"/>
        </w:rPr>
        <w:t>Note 3</w:t>
      </w:r>
      <w:r>
        <w:rPr>
          <w:rFonts w:ascii="Times New Roman" w:hAnsi="Times New Roman"/>
          <w:color w:val="231F20"/>
          <w:sz w:val="20"/>
        </w:rPr>
        <w:t xml:space="preserve"> for a summary of the changes in the fair value of the RDO Warrants during the years ended December 31, 2025 and 2024.</w:t>
      </w:r>
    </w:p>
    <w:p>
      <w:pPr>
        <w:pStyle w:val="TextBody"/>
        <w:bidi w:val="0"/>
        <w:spacing w:before="240" w:after="160"/>
        <w:jc w:val="left"/>
        <w:rPr>
          <w:rFonts w:ascii="Times New Roman" w:hAnsi="Times New Roman"/>
          <w:b/>
          <w:i/>
          <w:color w:val="231F20"/>
          <w:sz w:val="20"/>
        </w:rPr>
      </w:pPr>
      <w:r>
        <w:rPr>
          <w:rFonts w:ascii="Times New Roman" w:hAnsi="Times New Roman"/>
          <w:b/>
          <w:i/>
          <w:color w:val="231F20"/>
          <w:sz w:val="20"/>
        </w:rPr>
        <w:t>Loan Agreement Warrants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In connection with, and as consideration of the commitments pursuant to, the Loan Agreement entered into on December 15, 2025, the Company issued warrants to purchase shares of Common Stock to the Lenders (the “Loan Agreement Warrants”). The Term Loan Facility, as defined in Note 8, provides for a senior secured term loan facility of up to $77.5 million in the aggregate, including an initial funded tranche and additional delayed draw tranches subject to specified conditions. See Note 8 for more details.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Loan Agreement Warrants are a freestanding instrument that entitle the holders to purchase shares of Common Stock for an aggregate exercise price of up to $5.0 million. The warrants consist of a base exercise value of $3.4 million that was exercisable upon issuance and an additional exercise value of $1.6 million that becomes exercisable only upon the funding of Tranche 3 under the Term Loan Facility. The exercise price per share is equal to the lower of (i) $1.28 per share or (ii) the price of any qualifying equity offering completed through (but excluding) March 31, 2026, subject to specified exclusions. The Loan Agreement Warrants were immediately exercisable upon issuance and expire on December 15, 2030. The warrant agreement includes customary anti-dilution adjustments, including a down-round provision. The Loan Agreement Warrants provide for cashless exercise, including automatic cashless exercise upon expiration if the fair market value of Common Stock exceeds the exercise price at expiration. The Loan Agreement Warrants also include a beneficial ownership limitation and a change-of-control provision that provides for automatic exercise in connection with a change of control, as defined in the warrant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The Company evaluated the Loan Agreement Warrants to determine the appropriate financial statement classification in accordance with ASC 480 and ASC 815. Although the Loan Agreement Warrants are a freestanding financial instrument, the Company concluded that it does not meet all requirements for equity classification under ASC 815, including the requirement that the contract be indexed to the Company’s own stock, because certain provisions affect the settlement amount in a manner that is not consistent with the inputs to the valuation of a fixed-for-fixed option on the Company’s equity shares. Accordingly, the Loan Agreement Warrant is classified as a warrant liability (the “Loan Agreement Warrants liability”) with an offset recorded as a debt discount within the Term Loan carrying amount, to be amortized to interest expense over the loan term using the effective interest method. </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The Company estimated the fair value of the Loan Agreement Warrants liability using a Black-Scholes option pricing model that required significant assumptions on expected volatility and expected term, and certain data inputs, including the Company’s common stock price, risk-free interest rate, and expected dividend yield. The estimated fair value of the warrants liability recognized at issuance was $2.2 million. The valuation reflected the base exercise value of the warrants and excluded the additional exercise value associated with Tranche 3, as the funding of Tranche 3 was contingent and not considered probable at issuance. </w:t>
      </w:r>
      <w:r>
        <w:rPr>
          <w:rFonts w:ascii="Times New Roman" w:hAnsi="Times New Roman"/>
          <w:color w:val="231F20"/>
          <w:sz w:val="20"/>
        </w:rPr>
        <w:t xml:space="preserve">The remeasurement of the Loan Agreement Warrants liability to a fair value of $1.7 million at December 31, 2025 resulted in a non-cash gain of $0.5 million for the year ended December 31, 2025. </w:t>
      </w:r>
      <w:r>
        <w:rPr>
          <w:rFonts w:ascii="Times New Roman" w:hAnsi="Times New Roman"/>
          <w:color w:val="000000"/>
          <w:sz w:val="20"/>
        </w:rPr>
        <w:t xml:space="preserve">See Note 3 for a summary of the change in the fair value of the Loan Agreement Warrants during the year ended December 31, 2025.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assumptions and data inputs used in the Black-Scholes valuation model at the year-end were as follows:</w:t>
      </w:r>
    </w:p>
    <w:tbl>
      <w:tblPr>
        <w:tblW w:w="4168" w:type="dxa"/>
        <w:jc w:val="left"/>
        <w:tblInd w:w="0" w:type="dxa"/>
        <w:tblLayout w:type="fixed"/>
        <w:tblCellMar>
          <w:top w:w="28" w:type="dxa"/>
          <w:left w:w="28" w:type="dxa"/>
          <w:bottom w:w="28" w:type="dxa"/>
          <w:right w:w="28" w:type="dxa"/>
        </w:tblCellMar>
      </w:tblPr>
      <w:tblGrid>
        <w:gridCol w:w="261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Contingent Earnout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Following the Closing, former holders of Legacy Humacyte common and preferred shares are eligible to receive up to 15,000,000 Contingent Earnout Shares in the aggregate, in two equal tranches of 7,500,000 shares of Common Stock per tranche. The first and second tranches are issuable if the closing volume weighted average price (“VWAP”) per share of Common Stock quoted on Nasdaq (or the exchange on which the shares of Common Stock are then listed), is greater or equal to $15.00 and $20.00, respectively, over any 20 trading days within any 30 consecutive trading day period.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remeasurement of the Contingent Earnout Liability to a fair value of $11.5 million at December 31, 2025 resulted in a non-cash gain of $59.5 million for the year ended December 31, 2025, compared to a non-cash loss of $33.0 million for the year ended December 31, 2024 . </w:t>
      </w:r>
      <w:r>
        <w:rPr>
          <w:rFonts w:ascii="Times New Roman" w:hAnsi="Times New Roman"/>
          <w:color w:val="000000"/>
          <w:sz w:val="20"/>
        </w:rPr>
        <w:t>The non-cash gain or loss was recognized within Change</w:t>
      </w:r>
      <w:r>
        <w:rPr>
          <w:rFonts w:ascii="Times New Roman" w:hAnsi="Times New Roman"/>
          <w:color w:val="231F20"/>
          <w:sz w:val="20"/>
        </w:rPr>
        <w:t xml:space="preserve"> in fair value of Contingent Earnout Liability in the consolidated statements of operations and comprehensive loss. See </w:t>
      </w:r>
      <w:r>
        <w:rPr>
          <w:rFonts w:ascii="Times New Roman" w:hAnsi="Times New Roman"/>
          <w:color w:val="000000"/>
          <w:sz w:val="20"/>
        </w:rPr>
        <w:t>Note 3, Fair Value Measurements</w:t>
      </w:r>
      <w:r>
        <w:rPr>
          <w:rFonts w:ascii="Times New Roman" w:hAnsi="Times New Roman"/>
          <w:color w:val="231F20"/>
          <w:sz w:val="20"/>
        </w:rPr>
        <w:t xml:space="preserve"> for a summary of the changes in the fair value of the Contingent Earnout Liability during the years ended December 31, 2025 and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assumptions and data inputs used in the valuations are described below:</w:t>
      </w:r>
    </w:p>
    <w:tbl>
      <w:tblPr>
        <w:tblW w:w="5054" w:type="dxa"/>
        <w:jc w:val="left"/>
        <w:tblInd w:w="0" w:type="dxa"/>
        <w:tblLayout w:type="fixed"/>
        <w:tblCellMar>
          <w:top w:w="28" w:type="dxa"/>
          <w:left w:w="28" w:type="dxa"/>
          <w:bottom w:w="28" w:type="dxa"/>
          <w:right w:w="28" w:type="dxa"/>
        </w:tblCellMar>
      </w:tblPr>
      <w:tblGrid>
        <w:gridCol w:w="2611"/>
        <w:gridCol w:w="146"/>
        <w:gridCol w:w="211"/>
        <w:gridCol w:w="571"/>
        <w:gridCol w:w="271"/>
        <w:gridCol w:w="146"/>
        <w:gridCol w:w="211"/>
        <w:gridCol w:w="57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2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Current stock price</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0.96</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5.05</w:t>
            </w:r>
          </w:p>
        </w:tc>
        <w:tc>
          <w:tcPr>
            <w:tcW w:w="31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88.7</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84.8</w:t>
            </w:r>
          </w:p>
        </w:tc>
        <w:tc>
          <w:tcPr>
            <w:tcW w:w="316"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4.58</w:t>
            </w:r>
          </w:p>
        </w:tc>
        <w:tc>
          <w:tcPr>
            <w:tcW w:w="316"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20" w:after="283"/>
              <w:jc w:val="left"/>
              <w:rPr/>
            </w:pPr>
            <w:r>
              <w:rPr/>
              <w:t> </w:t>
            </w:r>
          </w:p>
        </w:tc>
      </w:tr>
    </w:tbl>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Loan Agreement Conversion Derivative Liability</w:t>
      </w:r>
    </w:p>
    <w:p>
      <w:pPr>
        <w:pStyle w:val="TextBody"/>
        <w:bidi w:val="0"/>
        <w:spacing w:before="200" w:after="180"/>
        <w:jc w:val="left"/>
        <w:rPr>
          <w:rFonts w:ascii="Times New Roman" w:hAnsi="Times New Roman"/>
          <w:color w:val="231F20"/>
          <w:sz w:val="20"/>
        </w:rPr>
      </w:pPr>
      <w:r>
        <w:rPr>
          <w:rFonts w:ascii="Times New Roman" w:hAnsi="Times New Roman"/>
          <w:color w:val="231F20"/>
          <w:sz w:val="20"/>
        </w:rPr>
        <w:t xml:space="preserve">On December 15, 2025, the Company entered into a loan and security agreement providing for a senior secured term loan facility of up to $77.5 million in the aggregate, or the Term Loan Facility (as defined in Note 8). The Term Loan Facility provides that the lenders may jointly elect, at any time and from time to time after the closing date and prior to the payment in full of the loans, to convert up to $2.5 million of the principal amount of the term loans outstanding into shares of Common Stock (the “Conversion Shares”). The conversion price is fixed at 130 % of the warrant exercise price, subject to ownership limits and customary conditions. </w:t>
      </w:r>
    </w:p>
    <w:p>
      <w:pPr>
        <w:pStyle w:val="TextBody"/>
        <w:bidi w:val="0"/>
        <w:spacing w:before="20" w:after="180"/>
        <w:jc w:val="left"/>
        <w:rPr>
          <w:rFonts w:ascii="Times New Roman" w:hAnsi="Times New Roman"/>
          <w:color w:val="231F20"/>
          <w:sz w:val="20"/>
        </w:rPr>
      </w:pPr>
      <w:r>
        <w:rPr>
          <w:rFonts w:ascii="Times New Roman" w:hAnsi="Times New Roman"/>
          <w:color w:val="231F20"/>
          <w:sz w:val="20"/>
        </w:rPr>
        <w:t>The Term Loan principal converted is deemed paid and satisfied in full and ceases to accrue interest from and after the conversion date. Any interest accrued and unpaid through the conversion date remains payable in cash unless the parties elect otherwise in writing. The conversion feature is subject to certain limitations, including a beneficial ownership cap (generally 9.985% as provided in the Loan Agreement) and limitations intended to comply with applicable stock exchange rules. The Loan Agreement also includes provisions related to rounding of fractional shares and cash or principal adjustments in lieu of fractional shares.</w:t>
      </w:r>
    </w:p>
    <w:p>
      <w:pPr>
        <w:pStyle w:val="TextBody"/>
        <w:bidi w:val="0"/>
        <w:spacing w:before="20" w:after="180"/>
        <w:jc w:val="left"/>
        <w:rPr>
          <w:rFonts w:ascii="Times New Roman" w:hAnsi="Times New Roman"/>
          <w:color w:val="231F20"/>
          <w:sz w:val="20"/>
        </w:rPr>
      </w:pPr>
      <w:r>
        <w:rPr>
          <w:rFonts w:ascii="Times New Roman" w:hAnsi="Times New Roman"/>
          <w:color w:val="231F20"/>
          <w:sz w:val="20"/>
        </w:rPr>
        <w:t xml:space="preserve">The Company initially recognized the bifurcated conversion feature as a derivative liability, or the Loan Agreement conversion derivative liability (as defined in Note 2), at fair value on the issuance date with an offset recorded as a debt discount within the Term Loan carrying amount, to be amortized to interest expense over the loan term using the effective interest method. The estimated fair value of the Loan Agreement conversion derivative liability at closing date was $1.1 million based on the Black-Scholes valuation model. </w:t>
      </w:r>
    </w:p>
    <w:p>
      <w:pPr>
        <w:pStyle w:val="TextBody"/>
        <w:bidi w:val="0"/>
        <w:spacing w:before="20" w:after="180"/>
        <w:jc w:val="left"/>
        <w:rPr>
          <w:rFonts w:ascii="Times New Roman" w:hAnsi="Times New Roman"/>
          <w:color w:val="231F20"/>
          <w:sz w:val="20"/>
        </w:rPr>
      </w:pPr>
      <w:r>
        <w:rPr>
          <w:rFonts w:ascii="Times New Roman" w:hAnsi="Times New Roman"/>
          <w:color w:val="231F20"/>
          <w:sz w:val="20"/>
        </w:rPr>
        <w:t xml:space="preserve">The remeasurement of the Loan Agreement conversion derivative liability to a fair value of $0.8 million at December 31, 2025 resulted in a non-cash gain of $0.3 million for the year ended December 31, 2025. </w:t>
      </w:r>
    </w:p>
    <w:p>
      <w:pPr>
        <w:pStyle w:val="TextBody"/>
        <w:bidi w:val="0"/>
        <w:spacing w:before="20" w:after="200"/>
        <w:jc w:val="left"/>
        <w:rPr>
          <w:rFonts w:ascii="Times New Roman" w:hAnsi="Times New Roman"/>
          <w:sz w:val="20"/>
        </w:rPr>
      </w:pPr>
      <w:r>
        <w:rPr>
          <w:rFonts w:ascii="Times New Roman" w:hAnsi="Times New Roman"/>
          <w:color w:val="000000"/>
          <w:sz w:val="20"/>
        </w:rPr>
        <w:t>The assumptions and data inputs used in the Black-Scholes valuation model at the year-end were as follows</w:t>
      </w:r>
      <w:r>
        <w:rPr>
          <w:rFonts w:ascii="Times New Roman" w:hAnsi="Times New Roman"/>
          <w:color w:val="231F20"/>
          <w:sz w:val="20"/>
        </w:rPr>
        <w:t>:</w:t>
      </w:r>
    </w:p>
    <w:tbl>
      <w:tblPr>
        <w:tblW w:w="4168" w:type="dxa"/>
        <w:jc w:val="left"/>
        <w:tblInd w:w="0" w:type="dxa"/>
        <w:tblLayout w:type="fixed"/>
        <w:tblCellMar>
          <w:top w:w="28" w:type="dxa"/>
          <w:left w:w="28" w:type="dxa"/>
          <w:bottom w:w="28" w:type="dxa"/>
          <w:right w:w="28" w:type="dxa"/>
        </w:tblCellMar>
      </w:tblPr>
      <w:tblGrid>
        <w:gridCol w:w="261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231F20"/>
          <w:sz w:val="20"/>
        </w:rPr>
      </w:pPr>
      <w:bookmarkStart w:id="37" w:name="section38"/>
      <w:bookmarkEnd w:id="37"/>
      <w:r>
        <w:rPr>
          <w:rFonts w:ascii="Times New Roman" w:hAnsi="Times New Roman"/>
          <w:b/>
          <w:color w:val="231F20"/>
          <w:sz w:val="20"/>
        </w:rPr>
        <w:t>11. Stock-based Compensation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equity-based awards. Under the ESPP, when and if implemented, eligible employees will be permitted to purchase shares of Common Stock at the lower of 85% of the closing trading price per share of Common Stock on the first day of the offering period or 85% of the closing trading price per share on the exercise date, which will occur on the last day of each offering period.</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2021 Plan and ESPP provide that on January 1 of each year, the share reserve under the 2021 Plan and the ESPP will automatically increase in an amount equal to the lesser of (a) 5% and 1%, respectively, of the number of shares of Common Stock outstanding on December 31 of the preceding year and (b) a number of shares of Common Stock determined by the Company’s board of directors. </w:t>
      </w:r>
      <w:r>
        <w:rPr>
          <w:rFonts w:ascii="Times New Roman" w:hAnsi="Times New Roman"/>
          <w:color w:val="000000"/>
          <w:sz w:val="20"/>
        </w:rPr>
        <w:t xml:space="preserve">The Company’s board of directors determined that there would be no automatic increase in the number of shares reserved under the 2021 Plan on January 1, 2023. The 2021 Plan share reserve automatically increased on January 1, 2024 by 5,183,686 shares, which was equivalent to 5% of the number of shares of Common Stock outstanding on </w:t>
      </w:r>
      <w:r>
        <w:rPr>
          <w:rFonts w:ascii="Times New Roman" w:hAnsi="Times New Roman"/>
          <w:color w:val="231F20"/>
          <w:sz w:val="20"/>
        </w:rPr>
        <w:t>December 31, 2023</w:t>
      </w:r>
      <w:r>
        <w:rPr>
          <w:rFonts w:ascii="Times New Roman" w:hAnsi="Times New Roman"/>
          <w:color w:val="000000"/>
          <w:sz w:val="20"/>
        </w:rPr>
        <w:t xml:space="preserve">. The 2021 Plan share reserve automatically increased on January 1, 2025 by 6,501,375 shares, which was equivalent to 5% of the number of shares of Common Stock outstanding on </w:t>
      </w:r>
      <w:r>
        <w:rPr>
          <w:rFonts w:ascii="Times New Roman" w:hAnsi="Times New Roman"/>
          <w:color w:val="231F20"/>
          <w:sz w:val="20"/>
        </w:rPr>
        <w:t xml:space="preserve">December 31, 2024. </w:t>
      </w:r>
      <w:r>
        <w:rPr>
          <w:rFonts w:ascii="Times New Roman" w:hAnsi="Times New Roman"/>
          <w:color w:val="000000"/>
          <w:sz w:val="20"/>
        </w:rPr>
        <w:t xml:space="preserve">Since the inception of the ESPP, the </w:t>
      </w:r>
      <w:r>
        <w:rPr>
          <w:rFonts w:ascii="Times New Roman" w:hAnsi="Times New Roman"/>
          <w:color w:val="231F20"/>
          <w:sz w:val="20"/>
        </w:rPr>
        <w:t>Company’s board of directors has determined that there would be no automatic increase in the number of shares reserved under the ESPP.</w:t>
      </w:r>
      <w:r>
        <w:rPr>
          <w:rFonts w:ascii="Times New Roman" w:hAnsi="Times New Roman"/>
          <w:color w:val="000000"/>
          <w:sz w:val="20"/>
        </w:rPr>
        <w:t xml:space="preserve"> Effective April 17, 2025, the Company’s board of directors reduced the number of shares reserved under the ESPP to zero shares of Common Stock. </w:t>
      </w:r>
      <w:r>
        <w:rPr>
          <w:rFonts w:ascii="Times New Roman" w:hAnsi="Times New Roman"/>
          <w:color w:val="231F20"/>
          <w:sz w:val="20"/>
        </w:rPr>
        <w:t>As of December 31, 2025, 4,581,530 shares of Common Stock were available under the 2021 Plan.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Prior to the Closing, Legacy Humacyte had two equity incentive plans, the 2015 Omnibus Incentive Plan, as amended, (the “2015 Plan”), and the 2005 Stock Option Plan (the “2005 Plan”). As a result of the Merger, after the Closing no further awards were granted under either the 2015 Plan or the 2005 Plan. All awards previously granted and outstanding as of the effective date of the Merger were adjusted to reflect the impact of the Merger as set forth in the Merger Agreement,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December 31, 2025, 16,704,562 and 3,285,509 shares of Common Stock remain reserved for outstanding options issued under the 2021 Plan and the 2015 Plan, respectively, and there were no shares of Common Stock outstanding under the 2005 Plan. The Company has sufficient authorized and unissued shares to issue Common Stock in satisfaction of any outstanding awards and any awards available for grant under the 2021 Plan.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has granted options that include either a service-based or performance-based vesting condition, or both, and a 10-year contractual term. The service-based vesting condition for the plans is generally satisfied over 0 to 48 months from the date of grant. The performance-based vesting conditions are satisfied upon the attainment of certain product development milestones.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Company estimated the fair value of stock options on the date of grant using the following assumptions in the Black-Scholes option-pricing model:</w:t>
      </w:r>
    </w:p>
    <w:tbl>
      <w:tblPr>
        <w:tblW w:w="9325" w:type="dxa"/>
        <w:jc w:val="left"/>
        <w:tblInd w:w="0" w:type="dxa"/>
        <w:tblLayout w:type="fixed"/>
        <w:tblCellMar>
          <w:top w:w="28" w:type="dxa"/>
          <w:left w:w="28" w:type="dxa"/>
          <w:bottom w:w="28" w:type="dxa"/>
          <w:right w:w="28" w:type="dxa"/>
        </w:tblCellMar>
      </w:tblPr>
      <w:tblGrid>
        <w:gridCol w:w="4141"/>
        <w:gridCol w:w="146"/>
        <w:gridCol w:w="524"/>
        <w:gridCol w:w="1681"/>
        <w:gridCol w:w="271"/>
        <w:gridCol w:w="146"/>
        <w:gridCol w:w="499"/>
        <w:gridCol w:w="1601"/>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 (weighted average</w:t>
              <w:br/>
              <w:t>   and range, if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 (91.7% to 100.9%)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 (90.8% to 92.8%)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(weighted average and</w:t>
              <w:br/>
              <w:t>   range, if applicable)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 (3.76% to 4.45%)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 (3.54% to 4.41%)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sz w:val="20"/>
        </w:rPr>
      </w:pPr>
      <w:r>
        <w:rPr>
          <w:rFonts w:ascii="Times New Roman" w:hAnsi="Times New Roman"/>
          <w:i/>
          <w:color w:val="231F20"/>
          <w:sz w:val="20"/>
        </w:rPr>
        <w:t xml:space="preserve">Fair Value of Common Stock. </w:t>
      </w:r>
      <w:r>
        <w:rPr>
          <w:rFonts w:ascii="Times New Roman" w:hAnsi="Times New Roman"/>
          <w:color w:val="231F20"/>
          <w:sz w:val="20"/>
        </w:rPr>
        <w:t>The fair value of the Common Stock has been determined based on the closing price of the shares on Nasdaq.</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Expected Term. </w:t>
      </w:r>
      <w:r>
        <w:rPr>
          <w:rFonts w:ascii="Times New Roman" w:hAnsi="Times New Roman"/>
          <w:color w:val="231F20"/>
          <w:sz w:val="20"/>
        </w:rPr>
        <w:t>The expected term represents the period that stock options are expected to be outstanding. The Company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Expected Volatility. </w:t>
      </w:r>
      <w:r>
        <w:rPr>
          <w:rFonts w:ascii="Times New Roman" w:hAnsi="Times New Roman"/>
          <w:color w:val="231F20"/>
          <w:sz w:val="20"/>
        </w:rPr>
        <w:t>The expected volatility was determined based on a blended approach using the historical share volatility of the 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Risk-Free Interest Rate. </w:t>
      </w:r>
      <w:r>
        <w:rPr>
          <w:rFonts w:ascii="Times New Roman" w:hAnsi="Times New Roman"/>
          <w:color w:val="231F20"/>
          <w:sz w:val="20"/>
        </w:rPr>
        <w:t>The risk-free interest rate was based on the yields of U.S. Treasury zero-coupon securities with maturities similar in duration to the expected term of the options.</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Expected Dividend Yield. </w:t>
      </w:r>
      <w:r>
        <w:rPr>
          <w:rFonts w:ascii="Times New Roman" w:hAnsi="Times New Roman"/>
          <w:color w:val="231F20"/>
          <w:sz w:val="20"/>
        </w:rPr>
        <w:t>The Company has not paid dividends on its Common Stock nor does it expect to pay dividends in the foreseeable future. Accordingly, the Company has estimated the dividend yield to be zero.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A summary of option activity under the Company’s stock option plans during the year ended December 31, 2025 is presented below:</w:t>
      </w:r>
    </w:p>
    <w:tbl>
      <w:tblPr>
        <w:tblW w:w="9887" w:type="dxa"/>
        <w:jc w:val="left"/>
        <w:tblInd w:w="0" w:type="dxa"/>
        <w:tblLayout w:type="fixed"/>
        <w:tblCellMar>
          <w:top w:w="28" w:type="dxa"/>
          <w:left w:w="28" w:type="dxa"/>
          <w:bottom w:w="28" w:type="dxa"/>
          <w:right w:w="28" w:type="dxa"/>
        </w:tblCellMar>
      </w:tblPr>
      <w:tblGrid>
        <w:gridCol w:w="4051"/>
        <w:gridCol w:w="426"/>
        <w:gridCol w:w="146"/>
        <w:gridCol w:w="1036"/>
        <w:gridCol w:w="166"/>
        <w:gridCol w:w="146"/>
        <w:gridCol w:w="257"/>
        <w:gridCol w:w="568"/>
        <w:gridCol w:w="146"/>
        <w:gridCol w:w="146"/>
        <w:gridCol w:w="285"/>
        <w:gridCol w:w="706"/>
        <w:gridCol w:w="146"/>
        <w:gridCol w:w="146"/>
        <w:gridCol w:w="267"/>
        <w:gridCol w:w="858"/>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Exercised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Forfeited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December 31, 2025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weighted-average grant-date fair value per share of options granted during the years ended December 31, 2025 and 2024 was $2.58 and $4.82, respectively. The total intrinsic value of options exercised during the years ended December 31, 2025 and 2024 was insignificant and $2.0 million, respectively.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November 2025, the Company granted stock options to certain members of executive management under the 2021 Plan. The stock options have an exercise price of $1.23 per share, equal to the closing price of Common Stock at the grant date. The first one-third of the options becomes exercisable on February 14, 2026, after which one-third of the options will become exercisable on November 16, 2026, and the remaining one-third will become exercisable on November 16, 2027.</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Restricted Stock Units (“RSUs”)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November 2025, the Company granted RSUs to certain members of executive management and certain non-executive employees under the 2021 Plan. Each RSU represents a contingent right to receive one share of Common Stock upon vesting.</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RSUs vest based on continued service. First 50% of the RSUs will vest on May 15, 2026, and the remaining 50% will vest on May 15, 2027. Unvested RSUs are forfeited upon termination of service. The Company does not issue shares or pay dividend equivalents with respect to RSUs until the awards vest.</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table summarizes the Company's RSU activity for the year ended December 31, 2025:</w:t>
      </w:r>
    </w:p>
    <w:tbl>
      <w:tblPr>
        <w:tblW w:w="6612" w:type="dxa"/>
        <w:jc w:val="left"/>
        <w:tblInd w:w="0" w:type="dxa"/>
        <w:tblLayout w:type="fixed"/>
        <w:tblCellMar>
          <w:top w:w="28" w:type="dxa"/>
          <w:left w:w="28" w:type="dxa"/>
          <w:bottom w:w="28" w:type="dxa"/>
          <w:right w:w="28" w:type="dxa"/>
        </w:tblCellMar>
      </w:tblPr>
      <w:tblGrid>
        <w:gridCol w:w="3481"/>
        <w:gridCol w:w="426"/>
        <w:gridCol w:w="146"/>
        <w:gridCol w:w="931"/>
        <w:gridCol w:w="146"/>
        <w:gridCol w:w="146"/>
        <w:gridCol w:w="294"/>
        <w:gridCol w:w="651"/>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December 31, 2024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Exercised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Forfeited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Stock-based Compensation Expense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Stock-based compensation expense is included in research and development expense and general and administrative expense in the consolidated statements of operations and comprehensive loss based on where the associated employee compensation costs are generally classified.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table shows a summary of stock-based compensation expense included in the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tbl>
      <w:tblPr>
        <w:tblW w:w="6349" w:type="dxa"/>
        <w:jc w:val="left"/>
        <w:tblInd w:w="0" w:type="dxa"/>
        <w:tblLayout w:type="fixed"/>
        <w:tblCellMar>
          <w:top w:w="28" w:type="dxa"/>
          <w:left w:w="28" w:type="dxa"/>
          <w:bottom w:w="28" w:type="dxa"/>
          <w:right w:w="28" w:type="dxa"/>
        </w:tblCellMar>
      </w:tblPr>
      <w:tblGrid>
        <w:gridCol w:w="3451"/>
        <w:gridCol w:w="146"/>
        <w:gridCol w:w="211"/>
        <w:gridCol w:w="676"/>
        <w:gridCol w:w="346"/>
        <w:gridCol w:w="346"/>
        <w:gridCol w:w="211"/>
        <w:gridCol w:w="57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20"/>
        </w:rPr>
        <w:t xml:space="preserve">Approximately $0.7 million of stock-based compensation was capitalized to inventory as of December 31, 2025. </w:t>
      </w:r>
      <w:r>
        <w:rPr>
          <w:rFonts w:ascii="Times New Roman" w:hAnsi="Times New Roman"/>
          <w:color w:val="231F20"/>
          <w:sz w:val="20"/>
        </w:rPr>
        <w:t xml:space="preserve">As of December 31, 2025, total unrecognized stock-based compensation cost related to stock options was $23.5 million, which is expected to be recognized over a weighted-average period of 2.5 years. As of December 31, 2025, total unrecognized stock-based compensation cost related to unvested RSUs was approximately $2.1 million, which is expected to be recognized over a weighted-average period of approximately 0.9 years. </w:t>
      </w:r>
    </w:p>
    <w:p>
      <w:pPr>
        <w:pStyle w:val="TextBody"/>
        <w:bidi w:val="0"/>
        <w:spacing w:before="200" w:after="283"/>
        <w:jc w:val="left"/>
        <w:rPr>
          <w:rFonts w:ascii="Times New Roman" w:hAnsi="Times New Roman"/>
          <w:b/>
          <w:color w:val="231F20"/>
          <w:sz w:val="20"/>
        </w:rPr>
      </w:pPr>
      <w:bookmarkStart w:id="38" w:name="section39"/>
      <w:bookmarkEnd w:id="38"/>
      <w:r>
        <w:rPr>
          <w:rFonts w:ascii="Times New Roman" w:hAnsi="Times New Roman"/>
          <w:b/>
          <w:color w:val="231F20"/>
          <w:sz w:val="20"/>
        </w:rPr>
        <w:t>12. Income Taxes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did not record any income tax expense or benefit during the years ended December 31, 2025 and 2024. The Company has a net operating loss and has provided a valuation allowance against net deferred tax assets due to uncertainties regarding the Company’s ability to realize these assets. The majority of losses before income taxes arose in the 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Deferred income taxes reflect the net tax effects of temporary differences between the carrying amounts of assets and liabilities for financial reporting purposes and the amounts used for income tax purposes.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Significant components of the Company’s deferred tax assets and deferred tax liabilities, including valuation allowances, are as follows:</w:t>
      </w:r>
    </w:p>
    <w:tbl>
      <w:tblPr>
        <w:tblW w:w="6399" w:type="dxa"/>
        <w:jc w:val="left"/>
        <w:tblInd w:w="0" w:type="dxa"/>
        <w:tblLayout w:type="fixed"/>
        <w:tblCellMar>
          <w:top w:w="28" w:type="dxa"/>
          <w:left w:w="28" w:type="dxa"/>
          <w:bottom w:w="28" w:type="dxa"/>
          <w:right w:w="28" w:type="dxa"/>
        </w:tblCellMar>
      </w:tblPr>
      <w:tblGrid>
        <w:gridCol w:w="3426"/>
        <w:gridCol w:w="146"/>
        <w:gridCol w:w="211"/>
        <w:gridCol w:w="841"/>
        <w:gridCol w:w="166"/>
        <w:gridCol w:w="146"/>
        <w:gridCol w:w="211"/>
        <w:gridCol w:w="841"/>
        <w:gridCol w:w="41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Basis difference in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the years ended December 31, 2025 and 2024, the Company had no income taxes paid, net of refunds received.</w:t>
      </w:r>
    </w:p>
    <w:p>
      <w:pPr>
        <w:pStyle w:val="TextBody"/>
        <w:bidi w:val="0"/>
        <w:jc w:val="left"/>
        <w:rPr>
          <w:rFonts w:ascii="Times New Roman" w:hAnsi="Times New Roman"/>
          <w:color w:val="231F20"/>
          <w:sz w:val="20"/>
        </w:rPr>
      </w:pPr>
      <w:r>
        <w:rPr>
          <w:rFonts w:ascii="Times New Roman" w:hAnsi="Times New Roman"/>
          <w:color w:val="231F20"/>
          <w:sz w:val="20"/>
        </w:rPr>
        <w:t xml:space="preserve">A valuation allowance is provided for deferred tax assets where the recoverability of the assets is uncertain. The determination to provide a valuation allowance is dependent upon the assessment of whether it is more likely than not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sufficient future taxable income will be generated to utilize the deferred tax assets. Based on the weight of the available evidence, which includes the Company’s historical operating losses, lack of taxable income and the accumulated deficit, the Company provided a full valuation allowance against the deferred tax assets resulting from the tax loss and credits carried forward as of December 31, 2025 and December 31, 2024.</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November 18, 2021, North Carolina enacted the 2021 Appropriations Act, which included a gradual corporate income tax rate decrease from the current 2.5% to 0% by 2030. The Company is in a cumulative loss position and does not have significant deferred tax liabilities that can be utilized as a source of taxable income in the future. Therefore, the Company has reduced its North Carolina deferred tax assets, including the net operating losses, to zero, as no benefit is expected to be realized from these deferred tax assets prior to 2030 when there would be no income tax in North Carolina. If the Company becomes profitable prior to 2030, the Company will recognize an income tax benefit related to the portion of its North Carolina deferred tax assets utilized.</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reconciliation of the U.S. federal income tax provision at the statutory federal income tax rate of 21% for the year ended December 31, 2025, to our provision for income taxes was as follows:</w:t>
      </w:r>
    </w:p>
    <w:tbl>
      <w:tblPr>
        <w:tblW w:w="7351" w:type="dxa"/>
        <w:jc w:val="left"/>
        <w:tblInd w:w="0" w:type="dxa"/>
        <w:tblLayout w:type="fixed"/>
        <w:tblCellMar>
          <w:top w:w="28" w:type="dxa"/>
          <w:left w:w="28" w:type="dxa"/>
          <w:bottom w:w="28" w:type="dxa"/>
          <w:right w:w="28" w:type="dxa"/>
        </w:tblCellMar>
      </w:tblPr>
      <w:tblGrid>
        <w:gridCol w:w="3756"/>
        <w:gridCol w:w="146"/>
        <w:gridCol w:w="303"/>
        <w:gridCol w:w="1058"/>
        <w:gridCol w:w="238"/>
        <w:gridCol w:w="209"/>
        <w:gridCol w:w="209"/>
        <w:gridCol w:w="756"/>
        <w:gridCol w:w="676"/>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State income taxes, net of federal benefit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nondeductible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Fair value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231F20"/>
          <w:sz w:val="12"/>
        </w:rPr>
        <w:t>(a)</w:t>
      </w:r>
      <w:r>
        <w:rPr>
          <w:rFonts w:ascii="Times New Roman" w:hAnsi="Times New Roman"/>
          <w:color w:val="000000"/>
          <w:sz w:val="12"/>
        </w:rPr>
        <w:t xml:space="preserve"> </w:t>
      </w:r>
      <w:r>
        <w:rPr>
          <w:rFonts w:ascii="Times New Roman" w:hAnsi="Times New Roman"/>
          <w:color w:val="000000"/>
          <w:sz w:val="18"/>
        </w:rPr>
        <w:t>State taxes in North Carolina made up the majority (greater than 50%) of the tax effect in the state and local income taxes, net of federal income tax effect category for 2025.</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reconciliation of the U.S. federal income tax provision for 2025 above reflects the adoption of ASU 2023-09, which was adopted prospectively for the year ended December 31, 2025. See Note 2, Summary of Significant Accounting Policies — Recently Adopted Accounting Pronouncements for additional information on the adoption of ASU 2023-09.</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reconciliation of the U.S. federal income tax provision at the statutory federal income tax rate of 21% for the year ended December 31, 2024 to our provision for income taxes, as previously disclosed, prior to the adoption of ASU 2023-09, was as follows:</w:t>
      </w:r>
    </w:p>
    <w:tbl>
      <w:tblPr>
        <w:tblW w:w="7101" w:type="dxa"/>
        <w:jc w:val="left"/>
        <w:tblInd w:w="0" w:type="dxa"/>
        <w:tblLayout w:type="fixed"/>
        <w:tblCellMar>
          <w:top w:w="28" w:type="dxa"/>
          <w:left w:w="28" w:type="dxa"/>
          <w:bottom w:w="28" w:type="dxa"/>
          <w:right w:w="28" w:type="dxa"/>
        </w:tblCellMar>
      </w:tblPr>
      <w:tblGrid>
        <w:gridCol w:w="3606"/>
        <w:gridCol w:w="146"/>
        <w:gridCol w:w="303"/>
        <w:gridCol w:w="1058"/>
        <w:gridCol w:w="238"/>
        <w:gridCol w:w="209"/>
        <w:gridCol w:w="209"/>
        <w:gridCol w:w="756"/>
        <w:gridCol w:w="576"/>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(31,227</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tax true-up</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31,189</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231F20"/>
          <w:sz w:val="12"/>
        </w:rPr>
        <w:t>(a)</w:t>
      </w:r>
      <w:r>
        <w:rPr>
          <w:rFonts w:ascii="Times New Roman" w:hAnsi="Times New Roman"/>
          <w:color w:val="231F20"/>
          <w:sz w:val="20"/>
        </w:rPr>
        <w:t xml:space="preserve"> </w:t>
      </w:r>
      <w:r>
        <w:rPr>
          <w:rFonts w:ascii="Times New Roman" w:hAnsi="Times New Roman"/>
          <w:color w:val="231F20"/>
          <w:sz w:val="18"/>
        </w:rPr>
        <w:t>The deferred tax true-up for 2024 primarily relates to executive compensation subject to IRC Section 162(m) limitations</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domestic and foreign components of pretax earnings from continuing operations for the year ended December 31, 2025 are as follows:</w:t>
      </w:r>
    </w:p>
    <w:tbl>
      <w:tblPr>
        <w:tblW w:w="4573" w:type="dxa"/>
        <w:jc w:val="left"/>
        <w:tblInd w:w="0" w:type="dxa"/>
        <w:tblLayout w:type="fixed"/>
        <w:tblCellMar>
          <w:top w:w="28" w:type="dxa"/>
          <w:left w:w="28" w:type="dxa"/>
          <w:bottom w:w="28" w:type="dxa"/>
          <w:right w:w="28" w:type="dxa"/>
        </w:tblCellMar>
      </w:tblPr>
      <w:tblGrid>
        <w:gridCol w:w="1441"/>
        <w:gridCol w:w="146"/>
        <w:gridCol w:w="618"/>
        <w:gridCol w:w="2157"/>
        <w:gridCol w:w="21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the Company had approximately $599.4 million and $614.8 million of gross Federal and state net operating losses, respectively. Of this amount, $438.2 million of Federal net operating losses are subject to an 80% limitation on taxable income, do not expire and will carry forward indefinitely, while the remaining amount begins to expire in 2026. Some of these state net operating losses included in these amounts follow the Federal Tax Cuts and Jobs Act and are carried over indefinitely. The Company’s state net operating losses began to expire in 2020 and will expire completely in 2045. The state operating loss carryforwards are inclusive of North Carolina net operating losses, which are recorded at a zero benefit.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and 2024, the Company had Federal and state research tax credit carryforwards of $32.6 million and $27.3 million, respectively. These credit carryforwards will begin to expire in 2026 and will expire completely in 2045.</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Net operating loss carryforwards and tax credit carryforwards are subject to review and possible adjustment by the IRS, and may become subject to an annual limitation in the event of certain cumulative changes in the ownership interest of significant stockholders or groups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value immediately prior to the ownership change. Subsequent ownership changes may further affect the limitation in future years. The Company has not determined whether there have been any cumulative ownership changes or the impact on the utilization of the loss carryforwards if such changes have occurred. A section 382 study will be performed at a time when forthcoming profitability is reasonably anticipated.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July 4, 2025, the One Big Beautiful Bill Act ("OBBBA") was enacted into law, which includes significant changes to U.S. tax law. The Company has evaluated the impact of OBBBA and determined that it does not have a material impact on the financial statements as of and for the year ended December 31, 2025 due to a full valuation allowance established against net deferred tax assets. The Company will continue to evaluate the potential impact of OBBBA on future periods. </w:t>
      </w:r>
    </w:p>
    <w:p>
      <w:pPr>
        <w:pStyle w:val="TextBody"/>
        <w:bidi w:val="0"/>
        <w:spacing w:before="200" w:after="283"/>
        <w:jc w:val="left"/>
        <w:rPr>
          <w:rFonts w:ascii="Times New Roman" w:hAnsi="Times New Roman"/>
          <w:b/>
          <w:color w:val="231F20"/>
          <w:sz w:val="20"/>
        </w:rPr>
      </w:pPr>
      <w:bookmarkStart w:id="39" w:name="section40"/>
      <w:bookmarkEnd w:id="39"/>
      <w:r>
        <w:rPr>
          <w:rFonts w:ascii="Times New Roman" w:hAnsi="Times New Roman"/>
          <w:b/>
          <w:color w:val="231F20"/>
          <w:sz w:val="20"/>
        </w:rPr>
        <w:t>13. Retirement Plan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currently maintains a defined contribution employee retirement plan, or 401(k) plan, for all employees upon their date of hire. The 401(k) plan is intended to qualify as tax-qualified plans under Section 401(k) of the Internal Revenue Code of 1986, as amended. The plan permits employees to contribute, on a pre-tax basis, a portion of their salary up to the Federally mandated limits. The Company matches an employee’s contribution up to 4% of the employee’s compensation. Contributions to the 401(k) plan by the Company totaled $1.4 million and $1.1 million for the years ended December 31, 2025 and 2024, respectively.</w:t>
      </w:r>
    </w:p>
    <w:p>
      <w:pPr>
        <w:pStyle w:val="TextBody"/>
        <w:bidi w:val="0"/>
        <w:spacing w:before="200" w:after="283"/>
        <w:jc w:val="left"/>
        <w:rPr>
          <w:rFonts w:ascii="Times New Roman" w:hAnsi="Times New Roman"/>
          <w:b/>
          <w:color w:val="231F20"/>
          <w:sz w:val="20"/>
        </w:rPr>
      </w:pPr>
      <w:bookmarkStart w:id="40" w:name="section41"/>
      <w:bookmarkEnd w:id="40"/>
      <w:r>
        <w:rPr>
          <w:rFonts w:ascii="Times New Roman" w:hAnsi="Times New Roman"/>
          <w:b/>
          <w:color w:val="231F20"/>
          <w:sz w:val="20"/>
        </w:rPr>
        <w:t>14.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Patent License Agreements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Duke University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connection with the Company’s entry into the license agreement, the Company granted equity consideration to Duke in the form of 52,693 shares of Common Stock. Under the license agreement, the Company also agreed to pay Duke: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low single-digit percentage royalty on eligible sales of licensed products and licensed services, plus a low double-digit percentage of any sublicensing revenue;</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 annual minimum royalty beginning in 2012, which increases in the calendar year immediately following the first commercial sale of licensed products or licensed services (whichever occurs first);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an additional amount in license fees, as certain milestones are met.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Duke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paid a $0.5 million license fee to Duke during the first quarter of 2024.</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December 2024, the FDA approved the Company’s BLA with the FDA for urgent arterial repair following extremity vascular trauma when autologous vein use is not feasible. Based on the achievement of this milestone under the Duke license agreement, the Company recorded license fee expense of $0.5 million </w:t>
      </w:r>
      <w:r>
        <w:rPr>
          <w:rFonts w:ascii="Times New Roman" w:hAnsi="Times New Roman"/>
          <w:color w:val="000000"/>
          <w:sz w:val="20"/>
        </w:rPr>
        <w:t xml:space="preserve">in research and development expense in its consolidated statements of operations and comprehensive loss and </w:t>
      </w:r>
      <w:r>
        <w:rPr>
          <w:rFonts w:ascii="Times New Roman" w:hAnsi="Times New Roman"/>
          <w:color w:val="231F20"/>
          <w:sz w:val="20"/>
        </w:rPr>
        <w:t xml:space="preserve">$0.5 million of license expense payable in accrued expenses in the Company’s consolidated balance sheets as of December 31, 2024.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No additional milestone events were achieved under the Duke license agreement during the year ended December 31, 2025. Accordingly, no license fee expense was recorded in the fiscal year of 2025 and no license fee payable was outstanding as of December 31, 2025. Other payments to Duke under the license agreement were immaterial during the years ended December 31, 2025 and 2024.</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Yale University</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August 2019, the Company entered into a license agreement with Yale University (“Yale”) that granted the Company a worldwide license to the patents related to the BVP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w:t>
      </w:r>
      <w:r>
        <w:rPr>
          <w:rFonts w:ascii="Times New Roman" w:hAnsi="Times New Roman"/>
          <w:color w:val="000000"/>
          <w:sz w:val="20"/>
        </w:rPr>
        <w:t>The Company has agreed to pay to Yale an annual maintenance fee, increasing between the first and fourth anniversaries of the BVP License Agreement up to a maximum of less than $0.1 million per year for this license.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 August 2019, the Company entered into a license agreement with Yale that granted the Company a worldwide license to the patents related to tubular prostheses (the “Tubular Prosthesis License Agreement”). The license granted under the Tubular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r>
        <w:rPr>
          <w:rFonts w:ascii="Times New Roman" w:hAnsi="Times New Roman"/>
          <w:color w:val="000000"/>
          <w:sz w:val="20"/>
        </w:rPr>
        <w:t>The Company has agreed to pay to Yale an annual maintenance fee, increasing between the first and fourth anniversaries of the Tubular Prosthesis License Agreement up to a maximum of less than $0.1 million per year for this license.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connection with its entry into the Tubular Prosthesis License Agreement, the Company paid Yale upfront cash fees. The Company has also agreed to pay Yale:</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rPr>
        <w:t xml:space="preserve">annual maintenance fees, increasing annually until the fifth anniversary for the BVP License Agreement and until the fourth anniversary for the Tubular Prostheses License Agreement up to a maximum of less than </w:t>
      </w:r>
      <w:r>
        <w:rPr>
          <w:rFonts w:ascii="Times New Roman" w:hAnsi="Times New Roman"/>
          <w:color w:val="000000"/>
          <w:sz w:val="20"/>
        </w:rPr>
        <w:t>$0.1</w:t>
      </w:r>
      <w:r>
        <w:rPr>
          <w:color w:val="000000"/>
        </w:rPr>
        <w:t xml:space="preserve"> </w:t>
      </w:r>
      <w:r>
        <w:rPr>
          <w:rFonts w:ascii="Times New Roman" w:hAnsi="Times New Roman"/>
          <w:color w:val="000000"/>
          <w:sz w:val="20"/>
        </w:rPr>
        <w:t>million</w:t>
      </w:r>
      <w:r>
        <w:rPr>
          <w:color w:val="231F20"/>
        </w:rPr>
        <w:t xml:space="preserve"> </w:t>
      </w:r>
      <w:r>
        <w:rPr>
          <w:rFonts w:ascii="Times New Roman" w:hAnsi="Times New Roman"/>
          <w:color w:val="231F20"/>
          <w:sz w:val="20"/>
        </w:rPr>
        <w:t>per year;</w:t>
      </w:r>
    </w:p>
    <w:p>
      <w:pPr>
        <w:pStyle w:val="TextBody"/>
        <w:bidi w:val="0"/>
        <w:spacing w:before="200" w:after="283"/>
        <w:jc w:val="left"/>
        <w:rPr>
          <w:color w:val="231F20"/>
        </w:rPr>
      </w:pPr>
      <w:r>
        <w:rPr>
          <w:color w:val="231F20"/>
        </w:rPr>
        <w:t>•</w:t>
      </w:r>
    </w:p>
    <w:p>
      <w:pPr>
        <w:pStyle w:val="TextBody"/>
        <w:bidi w:val="0"/>
        <w:spacing w:before="200" w:after="283"/>
        <w:jc w:val="left"/>
        <w:rPr/>
      </w:pPr>
      <w:r>
        <w:rPr>
          <w:rFonts w:ascii="Times New Roman" w:hAnsi="Times New Roman"/>
          <w:color w:val="231F20"/>
          <w:sz w:val="20"/>
        </w:rPr>
        <w:t xml:space="preserve">milestone payments upon achievement of certain regulatory and commercial milestones of </w:t>
      </w:r>
      <w:r>
        <w:rPr>
          <w:rFonts w:ascii="Times New Roman" w:hAnsi="Times New Roman"/>
          <w:color w:val="000000"/>
          <w:sz w:val="20"/>
        </w:rPr>
        <w:t>$0.2</w:t>
      </w:r>
      <w:r>
        <w:rPr>
          <w:color w:val="000000"/>
        </w:rPr>
        <w:t xml:space="preserve"> </w:t>
      </w:r>
      <w:r>
        <w:rPr>
          <w:rFonts w:ascii="Times New Roman" w:hAnsi="Times New Roman"/>
          <w:color w:val="000000"/>
          <w:sz w:val="20"/>
        </w:rPr>
        <w:t>million</w:t>
      </w:r>
      <w:r>
        <w:rPr>
          <w:color w:val="231F20"/>
        </w:rPr>
        <w:t xml:space="preserve"> </w:t>
      </w:r>
      <w:r>
        <w:rPr>
          <w:rFonts w:ascii="Times New Roman" w:hAnsi="Times New Roman"/>
          <w:color w:val="231F20"/>
          <w:sz w:val="20"/>
        </w:rPr>
        <w:t xml:space="preserve">and </w:t>
      </w:r>
      <w:r>
        <w:rPr>
          <w:rFonts w:ascii="Times New Roman" w:hAnsi="Times New Roman"/>
          <w:color w:val="000000"/>
          <w:sz w:val="20"/>
        </w:rPr>
        <w:t>$0.6</w:t>
      </w:r>
      <w:r>
        <w:rPr>
          <w:color w:val="000000"/>
        </w:rPr>
        <w:t xml:space="preserve"> </w:t>
      </w:r>
      <w:r>
        <w:rPr>
          <w:rFonts w:ascii="Times New Roman" w:hAnsi="Times New Roman"/>
          <w:color w:val="000000"/>
          <w:sz w:val="20"/>
        </w:rPr>
        <w:t>million, respectively</w:t>
      </w:r>
      <w:r>
        <w:rPr>
          <w:rFonts w:ascii="Times New Roman" w:hAnsi="Times New Roman"/>
          <w:color w:val="231F20"/>
          <w:sz w:val="20"/>
        </w:rPr>
        <w:t>;</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low single-digit percentage royalty on worldwide net sales, subject to reductions for third-party license fees; and</w:t>
      </w:r>
    </w:p>
    <w:p>
      <w:pPr>
        <w:pStyle w:val="TextBody"/>
        <w:bidi w:val="0"/>
        <w:spacing w:before="200" w:after="283"/>
        <w:jc w:val="left"/>
        <w:rPr>
          <w:color w:val="231F20"/>
        </w:rPr>
      </w:pPr>
      <w:r>
        <w:rPr>
          <w:color w:val="231F20"/>
        </w:rPr>
        <w: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 low double-digit percentage of sublicensing income.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If the Company or any of its future sublicensees bring a patent challenge against Yale or assists another party in bringing a patent challenge against Yale, the license fees described above will be subject to certain increases and penalties.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JDRF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 2023, the Company entered into an Industry Discovery and Development Partnership Agreement with Breakthrough T1D (f/k/a JDRF International) (“JDRF,” and such agreement as subsequently amended,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$0.9 million (“JDRF Award”) based on the achievement of certain research and development milestones related to the Company’s BVP. The JDRF Agreement refers to the total cumulative payments the Company has received from JDRF as of any point in time as the “Actual Award.”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As of </w:t>
      </w:r>
      <w:r>
        <w:rPr>
          <w:rFonts w:ascii="Times New Roman" w:hAnsi="Times New Roman"/>
          <w:color w:val="231F20"/>
          <w:sz w:val="20"/>
        </w:rPr>
        <w:t xml:space="preserve">December 31, 2025, the Company had received an aggregate Actual Award of $495 thousand under the JDRF Agreement upon execution of the agreement and achievement of various research and development milestones.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accordance with the JDRF Agreement, the Company has agreed to pay JDRF:</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a one-time royalty in an amount equal to four</w:t>
      </w:r>
      <w:r>
        <w:rPr>
          <w:color w:val="000000"/>
        </w:rPr>
        <w:t xml:space="preserve"> </w:t>
      </w:r>
      <w:r>
        <w:rPr>
          <w:rFonts w:ascii="Times New Roman" w:hAnsi="Times New Roman"/>
          <w:color w:val="000000"/>
          <w:sz w:val="20"/>
        </w:rPr>
        <w:t>times the Actual Award, to be paid in three</w:t>
      </w:r>
      <w:r>
        <w:rPr>
          <w:color w:val="000000"/>
        </w:rPr>
        <w:t xml:space="preserve"> </w:t>
      </w:r>
      <w:r>
        <w:rPr>
          <w:rFonts w:ascii="Times New Roman" w:hAnsi="Times New Roman"/>
          <w:color w:val="000000"/>
          <w:sz w:val="20"/>
        </w:rPr>
        <w:t>equal installments following the first commercial sale of any product containing the Company’s technology identified in the JDRF Agreement;</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an additional royalty equal to the Actual Award at a specified payment date after net sales exceed $250</w:t>
      </w:r>
      <w:r>
        <w:rPr>
          <w:color w:val="000000"/>
        </w:rPr>
        <w:t xml:space="preserve"> </w:t>
      </w:r>
      <w:r>
        <w:rPr>
          <w:rFonts w:ascii="Times New Roman" w:hAnsi="Times New Roman"/>
          <w:color w:val="000000"/>
          <w:sz w:val="20"/>
        </w:rPr>
        <w:t>million;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classified in Change in fair value of derivatives.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in the condensed consolidated balance sheets. The JDRF liability related to the Actual Award payments is reported at amortized cost and is included in other long-term liabilities in the condensed consolidated balance sheets.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As of </w:t>
      </w:r>
      <w:r>
        <w:rPr>
          <w:rFonts w:ascii="Times New Roman" w:hAnsi="Times New Roman"/>
          <w:color w:val="231F20"/>
          <w:sz w:val="20"/>
        </w:rPr>
        <w:t>December 31, 2025</w:t>
      </w:r>
      <w:r>
        <w:rPr>
          <w:rFonts w:ascii="Times New Roman" w:hAnsi="Times New Roman"/>
          <w:color w:val="000000"/>
          <w:sz w:val="20"/>
        </w:rPr>
        <w:t xml:space="preserve"> and </w:t>
      </w:r>
      <w:r>
        <w:rPr>
          <w:rFonts w:ascii="Times New Roman" w:hAnsi="Times New Roman"/>
          <w:color w:val="231F20"/>
          <w:sz w:val="20"/>
        </w:rPr>
        <w:t>2024</w:t>
      </w:r>
      <w:r>
        <w:rPr>
          <w:rFonts w:ascii="Times New Roman" w:hAnsi="Times New Roman"/>
          <w:color w:val="000000"/>
          <w:sz w:val="20"/>
        </w:rPr>
        <w:t xml:space="preserve">, the carrying value of the JDRF liability is $0.5 million and $0.3 million, respectively. There was $0.1 million of interest expense related to the JDRF liability recorded during each of the years ended </w:t>
      </w:r>
      <w:r>
        <w:rPr>
          <w:rFonts w:ascii="Times New Roman" w:hAnsi="Times New Roman"/>
          <w:color w:val="231F20"/>
          <w:sz w:val="20"/>
        </w:rPr>
        <w:t>December 31, 2025</w:t>
      </w:r>
      <w:r>
        <w:rPr>
          <w:rFonts w:ascii="Times New Roman" w:hAnsi="Times New Roman"/>
          <w:color w:val="000000"/>
          <w:sz w:val="20"/>
        </w:rPr>
        <w:t xml:space="preserve"> and </w:t>
      </w:r>
      <w:r>
        <w:rPr>
          <w:rFonts w:ascii="Times New Roman" w:hAnsi="Times New Roman"/>
          <w:color w:val="231F20"/>
          <w:sz w:val="20"/>
        </w:rPr>
        <w:t>2024</w:t>
      </w:r>
      <w:r>
        <w:rPr>
          <w:rFonts w:ascii="Times New Roman" w:hAnsi="Times New Roman"/>
          <w:color w:val="000000"/>
          <w:sz w:val="20"/>
        </w:rPr>
        <w: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Workforce Reduction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28, 2025, the Company implemented a cost reduction action to reduce its workforce by 30 employees, cease recruitment of additional planned new hires, and reduce other operating expenses. The Company undertook these cost reductions to improve cash runway and to better align the Company’s organizational structure with its top business objectives. Employee severance costs associated with this action were $0.7 million, which were expensed during the second quarter of 2025. Employee severance costs included $0.6 million recognized in research and development expenses and $0.1 million recognized in selling, general and administrative expenses on the Company’s condensed consolidated statements of operations and comprehensive income (loss). There are no further costs associated with this cost reduction action expected to be incurred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Legal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November 18, 2024, James A. Cutshall filed a putative class action lawsuit, captioned </w:t>
      </w:r>
      <w:r>
        <w:rPr>
          <w:rFonts w:ascii="Times New Roman" w:hAnsi="Times New Roman"/>
          <w:i/>
          <w:color w:val="000000"/>
          <w:sz w:val="20"/>
        </w:rPr>
        <w:t>Cutshall v. Humacyte, Inc., et al.</w:t>
      </w:r>
      <w:r>
        <w:rPr>
          <w:rFonts w:ascii="Times New Roman" w:hAnsi="Times New Roman"/>
          <w:color w:val="000000"/>
          <w:sz w:val="20"/>
        </w:rPr>
        <w:t>,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 including unspecified compensatory damages, attorneys fees and costs. On January 31, 2025, the court appointed co-lead plaintiffs. On May 22, 2025, the co-lead plaintiffs filed the amended complaint in the Securities Litigation. The 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The court has yet to rule on the motion, which remains pending.</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January 7 and 10, 2025, putative stockholders of the Company filed two verified stockholder derivative actions in the United States District Court for the Middle District of North Carolina, captioned </w:t>
      </w:r>
      <w:r>
        <w:rPr>
          <w:rFonts w:ascii="Times New Roman" w:hAnsi="Times New Roman"/>
          <w:i/>
          <w:color w:val="000000"/>
          <w:sz w:val="20"/>
        </w:rPr>
        <w:t>Silva v. Sebelius, et al.</w:t>
      </w:r>
      <w:r>
        <w:rPr>
          <w:rFonts w:ascii="Times New Roman" w:hAnsi="Times New Roman"/>
          <w:color w:val="000000"/>
          <w:sz w:val="20"/>
        </w:rPr>
        <w:t>, No. 1:25-cv-00005 (the “</w:t>
      </w:r>
      <w:r>
        <w:rPr>
          <w:rFonts w:ascii="Times New Roman" w:hAnsi="Times New Roman"/>
          <w:i/>
          <w:color w:val="000000"/>
          <w:sz w:val="20"/>
        </w:rPr>
        <w:t>Silva</w:t>
      </w:r>
      <w:r>
        <w:rPr>
          <w:rFonts w:ascii="Times New Roman" w:hAnsi="Times New Roman"/>
          <w:color w:val="000000"/>
          <w:sz w:val="20"/>
        </w:rPr>
        <w:t xml:space="preserve"> Action”) and </w:t>
      </w:r>
      <w:r>
        <w:rPr>
          <w:rFonts w:ascii="Times New Roman" w:hAnsi="Times New Roman"/>
          <w:i/>
          <w:color w:val="000000"/>
          <w:sz w:val="20"/>
        </w:rPr>
        <w:t>Misko v. Niklason, et al</w:t>
      </w:r>
      <w:r>
        <w:rPr>
          <w:rFonts w:ascii="Times New Roman" w:hAnsi="Times New Roman"/>
          <w:color w:val="000000"/>
          <w:sz w:val="20"/>
        </w:rPr>
        <w:t>., No. 1:25-cv-00028 (the “</w:t>
      </w:r>
      <w:r>
        <w:rPr>
          <w:rFonts w:ascii="Times New Roman" w:hAnsi="Times New Roman"/>
          <w:i/>
          <w:color w:val="000000"/>
          <w:sz w:val="20"/>
        </w:rPr>
        <w:t>Misko</w:t>
      </w:r>
      <w:r>
        <w:rPr>
          <w:rFonts w:ascii="Times New Roman" w:hAnsi="Times New Roman"/>
          <w:color w:val="000000"/>
          <w:sz w:val="20"/>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hAnsi="Times New Roman"/>
          <w:i/>
          <w:color w:val="000000"/>
          <w:sz w:val="20"/>
        </w:rPr>
        <w:t>Misko</w:t>
      </w:r>
      <w:r>
        <w:rPr>
          <w:rFonts w:ascii="Times New Roman" w:hAnsi="Times New Roman"/>
          <w:color w:val="000000"/>
          <w:sz w:val="20"/>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hAnsi="Times New Roman"/>
          <w:i/>
          <w:color w:val="000000"/>
          <w:sz w:val="20"/>
        </w:rPr>
        <w:t>Silva</w:t>
      </w:r>
      <w:r>
        <w:rPr>
          <w:rFonts w:ascii="Times New Roman" w:hAnsi="Times New Roman"/>
          <w:color w:val="000000"/>
          <w:sz w:val="20"/>
        </w:rPr>
        <w:t xml:space="preserve"> Action and the </w:t>
      </w:r>
      <w:r>
        <w:rPr>
          <w:rFonts w:ascii="Times New Roman" w:hAnsi="Times New Roman"/>
          <w:i/>
          <w:color w:val="000000"/>
          <w:sz w:val="20"/>
        </w:rPr>
        <w:t>Misko</w:t>
      </w:r>
      <w:r>
        <w:rPr>
          <w:rFonts w:ascii="Times New Roman" w:hAnsi="Times New Roman"/>
          <w:color w:val="000000"/>
          <w:sz w:val="20"/>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which the court granted.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hAnsi="Times New Roman"/>
          <w:i/>
          <w:color w:val="000000"/>
          <w:sz w:val="20"/>
        </w:rPr>
        <w:t>Olson v. Niklason, et al.</w:t>
      </w:r>
      <w:r>
        <w:rPr>
          <w:rFonts w:ascii="Times New Roman" w:hAnsi="Times New Roman"/>
          <w:color w:val="000000"/>
          <w:sz w:val="20"/>
        </w:rPr>
        <w:t>, No. 1:25-cv-00123 (the “</w:t>
      </w:r>
      <w:r>
        <w:rPr>
          <w:rFonts w:ascii="Times New Roman" w:hAnsi="Times New Roman"/>
          <w:i/>
          <w:color w:val="000000"/>
          <w:sz w:val="20"/>
        </w:rPr>
        <w:t>Olson</w:t>
      </w:r>
      <w:r>
        <w:rPr>
          <w:rFonts w:ascii="Times New Roman" w:hAnsi="Times New Roman"/>
          <w:color w:val="000000"/>
          <w:sz w:val="20"/>
        </w:rPr>
        <w:t xml:space="preserve"> Action”), alleging that the Company had refused his demand. The complaint in the Olson Action asserts substantive claims and allegations that are substantially similar to those asserted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Consolidated Derivative Action. On April 22, 2025, the parties filed a joint motion to stay the </w:t>
      </w:r>
      <w:r>
        <w:rPr>
          <w:rFonts w:ascii="Times New Roman" w:hAnsi="Times New Roman"/>
          <w:i/>
          <w:color w:val="000000"/>
          <w:sz w:val="20"/>
        </w:rPr>
        <w:t>Olson</w:t>
      </w:r>
      <w:r>
        <w:rPr>
          <w:rFonts w:ascii="Times New Roman" w:hAnsi="Times New Roman"/>
          <w:color w:val="000000"/>
          <w:sz w:val="20"/>
        </w:rPr>
        <w:t xml:space="preserve"> Action pending final resolution of the Securities Litigation, which the court granted.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 and the demand evaluation committee recommended that the board of directors of the Company defer action on the demand until after the resolution of the pending motion to dismiss in the securities class action. The board of directors accepted the demand evaluation committee’s recommendation, and counsel for the demand evaluation committee informed the shareholder of the board of director’s determination to defer action on the demand by letter dated September 24, 2025.</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June 9, 2025, a putative stockholder of the Company filed a verified stockholder derivative action in the United States District Court for the District of Delaware, captioned </w:t>
      </w:r>
      <w:r>
        <w:rPr>
          <w:rFonts w:ascii="Times New Roman" w:hAnsi="Times New Roman"/>
          <w:i/>
          <w:color w:val="000000"/>
          <w:sz w:val="20"/>
        </w:rPr>
        <w:t>Dusci v. Bamforth, et al.</w:t>
      </w:r>
      <w:r>
        <w:rPr>
          <w:rFonts w:ascii="Times New Roman" w:hAnsi="Times New Roman"/>
          <w:color w:val="000000"/>
          <w:sz w:val="20"/>
        </w:rPr>
        <w:t>, No. 1:25-cv-00722 (the “</w:t>
      </w:r>
      <w:r>
        <w:rPr>
          <w:rFonts w:ascii="Times New Roman" w:hAnsi="Times New Roman"/>
          <w:i/>
          <w:color w:val="000000"/>
          <w:sz w:val="20"/>
        </w:rPr>
        <w:t xml:space="preserve">Dusci </w:t>
      </w:r>
      <w:r>
        <w:rPr>
          <w:rFonts w:ascii="Times New Roman" w:hAnsi="Times New Roman"/>
          <w:color w:val="000000"/>
          <w:sz w:val="20"/>
        </w:rPr>
        <w:t xml:space="preserve">Action”). The complaint in the </w:t>
      </w:r>
      <w:r>
        <w:rPr>
          <w:rFonts w:ascii="Times New Roman" w:hAnsi="Times New Roman"/>
          <w:i/>
          <w:color w:val="000000"/>
          <w:sz w:val="20"/>
        </w:rPr>
        <w:t>Dusci</w:t>
      </w:r>
      <w:r>
        <w:rPr>
          <w:rFonts w:ascii="Times New Roman" w:hAnsi="Times New Roman"/>
          <w:color w:val="000000"/>
          <w:sz w:val="20"/>
        </w:rPr>
        <w:t xml:space="preserve"> Action asserts substantive claims and allegations that are substantively similar to those asserted in the Consolidated Derivative Action and </w:t>
      </w:r>
      <w:r>
        <w:rPr>
          <w:rFonts w:ascii="Times New Roman" w:hAnsi="Times New Roman"/>
          <w:i/>
          <w:color w:val="000000"/>
          <w:sz w:val="20"/>
        </w:rPr>
        <w:t>Olson</w:t>
      </w:r>
      <w:r>
        <w:rPr>
          <w:rFonts w:ascii="Times New Roman" w:hAnsi="Times New Roman"/>
          <w:color w:val="000000"/>
          <w:sz w:val="20"/>
        </w:rPr>
        <w:t xml:space="preserve"> Action. On September 8, 2025, the parties field a joint stipulation to stay the </w:t>
      </w:r>
      <w:r>
        <w:rPr>
          <w:rFonts w:ascii="Times New Roman" w:hAnsi="Times New Roman"/>
          <w:i/>
          <w:color w:val="000000"/>
          <w:sz w:val="20"/>
        </w:rPr>
        <w:t xml:space="preserve">Dusci </w:t>
      </w:r>
      <w:r>
        <w:rPr>
          <w:rFonts w:ascii="Times New Roman" w:hAnsi="Times New Roman"/>
          <w:color w:val="000000"/>
          <w:sz w:val="20"/>
        </w:rPr>
        <w:t>Action pending final resolution of the Securities Litigation, which the court granted.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disputes all claims asserted against it in the Securities Litigation and disputes that the plaintiffs in the Consolidated Derivative Action, the </w:t>
      </w:r>
      <w:r>
        <w:rPr>
          <w:rFonts w:ascii="Times New Roman" w:hAnsi="Times New Roman"/>
          <w:i/>
          <w:color w:val="000000"/>
          <w:sz w:val="20"/>
        </w:rPr>
        <w:t>Dusci</w:t>
      </w:r>
      <w:r>
        <w:rPr>
          <w:rFonts w:ascii="Times New Roman" w:hAnsi="Times New Roman"/>
          <w:color w:val="000000"/>
          <w:sz w:val="20"/>
        </w:rPr>
        <w:t xml:space="preserve"> Action and </w:t>
      </w:r>
      <w:r>
        <w:rPr>
          <w:rFonts w:ascii="Times New Roman" w:hAnsi="Times New Roman"/>
          <w:i/>
          <w:color w:val="000000"/>
          <w:sz w:val="20"/>
        </w:rPr>
        <w:t>Olson</w:t>
      </w:r>
      <w:r>
        <w:rPr>
          <w:rFonts w:ascii="Times New Roman" w:hAnsi="Times New Roman"/>
          <w:color w:val="000000"/>
          <w:sz w:val="20"/>
        </w:rPr>
        <w:t xml:space="preserve"> Action have standing to assert claims derivatively on its behalf. The Company is currently unable to estimate the potential loss or range of loss, if any, 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December 31, 2025. Since the outcome of these matters cannot be predicted with certainty, any associated costs could have a material adverse effect on the Company’s consolidated results of operations, financial position or cash flows.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Indemnification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w:t>
      </w:r>
      <w:r>
        <w:rPr>
          <w:rFonts w:ascii="Times New Roman" w:hAnsi="Times New Roman"/>
          <w:color w:val="000000"/>
          <w:sz w:val="20"/>
        </w:rPr>
        <w:t>potential future amounts the Company could be required to make. To date, the Company has not incurred any costs as a result of such obligations and has not accrued any liabilities related to such obligations in the consolidated financial statements.</w:t>
      </w:r>
    </w:p>
    <w:p>
      <w:pPr>
        <w:pStyle w:val="TextBody"/>
        <w:bidi w:val="0"/>
        <w:spacing w:before="200" w:after="283"/>
        <w:jc w:val="left"/>
        <w:rPr>
          <w:rFonts w:ascii="Times New Roman" w:hAnsi="Times New Roman"/>
          <w:b/>
          <w:color w:val="231F20"/>
          <w:sz w:val="20"/>
        </w:rPr>
      </w:pPr>
      <w:bookmarkStart w:id="41" w:name="section42"/>
      <w:bookmarkEnd w:id="41"/>
      <w:r>
        <w:rPr>
          <w:rFonts w:ascii="Times New Roman" w:hAnsi="Times New Roman"/>
          <w:b/>
          <w:color w:val="231F20"/>
          <w:sz w:val="20"/>
        </w:rPr>
        <w:t>15. Related Party Transactions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Fresenius Medical Care investments and distribution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2018, the Company completed a $150 million financing transaction pursuant to which Fresenius Medical Care purchased shares of series D redeemable convertible preferred stock that at the closing date of the Merger converted into 15,812,735 shares of Common Stock. In August 2021, Fresenius Medical Care invested $25 million as part of a private placement offering related to the Merger (the “PIPE Financing”) and received an additional 2.5 million shares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(“CABG”),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December 31, 2025, there were $0.2 million of royalties payable to Fresenius Medical Care based on the Company’s product revenue recognized during the period ended December 31,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Agreements with Frenova Renal Research</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June 2024, the Company entered into a master services agreement with Frenova that sets forth the terms by which the Company may engage Frenova to provide certain services for projects, with the services for each project being described in a separate statement of work. As of </w:t>
      </w:r>
      <w:r>
        <w:rPr>
          <w:rFonts w:ascii="Times New Roman" w:hAnsi="Times New Roman"/>
          <w:color w:val="231F20"/>
          <w:sz w:val="20"/>
        </w:rPr>
        <w:t>December 31, 2025</w:t>
      </w:r>
      <w:r>
        <w:rPr>
          <w:rFonts w:ascii="Times New Roman" w:hAnsi="Times New Roman"/>
          <w:color w:val="000000"/>
          <w:sz w:val="20"/>
        </w:rPr>
        <w:t xml:space="preserve">, Frenova was engaged to perform clinical research services related to the Company’s V012 Phase 3 clinical trial. During the year ended </w:t>
      </w:r>
      <w:r>
        <w:rPr>
          <w:rFonts w:ascii="Times New Roman" w:hAnsi="Times New Roman"/>
          <w:color w:val="231F20"/>
          <w:sz w:val="20"/>
        </w:rPr>
        <w:t>December 31, 2025</w:t>
      </w:r>
      <w:r>
        <w:rPr>
          <w:rFonts w:ascii="Times New Roman" w:hAnsi="Times New Roman"/>
          <w:color w:val="000000"/>
          <w:sz w:val="20"/>
        </w:rPr>
        <w:t xml:space="preserve">, there was $0.3 million of expense recognized in relation to this agreement with Frenova and there was an insignificant amount payable to Frenova as of </w:t>
      </w:r>
      <w:r>
        <w:rPr>
          <w:rFonts w:ascii="Times New Roman" w:hAnsi="Times New Roman"/>
          <w:color w:val="231F20"/>
          <w:sz w:val="20"/>
        </w:rPr>
        <w:t>December 31, 2025</w:t>
      </w:r>
      <w:r>
        <w:rPr>
          <w:rFonts w:ascii="Times New Roman" w:hAnsi="Times New Roman"/>
          <w:color w:val="000000"/>
          <w:sz w:val="20"/>
        </w:rPr>
        <w:t>. During the year ended December 31, 2024, amounts expensed in relation to this agreement with Frenova were insignificant and there was an insignificant amount payable to Frenova as of December 31,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During the years ended December 31, 2025 and 2024, the Company recognized no expense and approximately $0.1 million of expense, respectively, related to services performed by Fresenius GmbH. As of </w:t>
      </w:r>
      <w:r>
        <w:rPr>
          <w:rFonts w:ascii="Times New Roman" w:hAnsi="Times New Roman"/>
          <w:color w:val="231F20"/>
          <w:sz w:val="20"/>
        </w:rPr>
        <w:t>December 31, 2025</w:t>
      </w:r>
      <w:r>
        <w:rPr>
          <w:rFonts w:ascii="Times New Roman" w:hAnsi="Times New Roman"/>
          <w:color w:val="000000"/>
          <w:sz w:val="20"/>
        </w:rPr>
        <w:t xml:space="preserve">, there was no amount payable to Fresenius GmbH. As of </w:t>
      </w:r>
      <w:r>
        <w:rPr>
          <w:rFonts w:ascii="Times New Roman" w:hAnsi="Times New Roman"/>
          <w:color w:val="231F20"/>
          <w:sz w:val="20"/>
        </w:rPr>
        <w:t>December 31, 2024</w:t>
      </w:r>
      <w:r>
        <w:rPr>
          <w:rFonts w:ascii="Times New Roman" w:hAnsi="Times New Roman"/>
          <w:color w:val="000000"/>
          <w:sz w:val="20"/>
        </w:rPr>
        <w:t xml:space="preserve">, less than $0.1 million was payable to Fresenius GmbH included in accounts payable and less than $0.1 million payable to Fresenius GmbH included in accrued expenses on the Company’s consolidated balance sheets.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Arrangements with Yale University</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Dr. Niklason serves as an Adjunct Professor in Anesthesia at Yale University. As of December 31, 2025 and 2024, the Company was a party to license agreements with Yale University, as described in </w:t>
      </w:r>
      <w:r>
        <w:rPr>
          <w:rFonts w:ascii="Times New Roman" w:hAnsi="Times New Roman"/>
          <w:color w:val="000000"/>
          <w:sz w:val="20"/>
        </w:rPr>
        <w:t>Note 14 above</w:t>
      </w:r>
      <w:r>
        <w:rPr>
          <w:rFonts w:ascii="Times New Roman" w:hAnsi="Times New Roman"/>
          <w:color w:val="231F20"/>
          <w:sz w:val="20"/>
        </w:rPr>
        <w:t>.</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recognized approximately </w:t>
      </w:r>
      <w:r>
        <w:rPr>
          <w:rFonts w:ascii="Times New Roman" w:hAnsi="Times New Roman"/>
          <w:color w:val="000000"/>
          <w:sz w:val="20"/>
        </w:rPr>
        <w:t>$0.1 million</w:t>
      </w:r>
      <w:r>
        <w:rPr>
          <w:rFonts w:ascii="Times New Roman" w:hAnsi="Times New Roman"/>
          <w:color w:val="231F20"/>
          <w:sz w:val="20"/>
        </w:rPr>
        <w:t xml:space="preserve"> of expense related to these</w:t>
      </w:r>
      <w:r>
        <w:rPr>
          <w:rFonts w:ascii="Times New Roman" w:hAnsi="Times New Roman"/>
          <w:color w:val="000000"/>
          <w:sz w:val="20"/>
        </w:rPr>
        <w:t xml:space="preserve"> during each of the years ended </w:t>
      </w:r>
      <w:r>
        <w:rPr>
          <w:rFonts w:ascii="Times New Roman" w:hAnsi="Times New Roman"/>
          <w:color w:val="231F20"/>
          <w:sz w:val="20"/>
        </w:rPr>
        <w:t xml:space="preserve">December 31, 2025 and 2024. As of December 31, 2025 and 2024, there was no amount and an </w:t>
      </w:r>
      <w:r>
        <w:rPr>
          <w:rFonts w:ascii="Times New Roman" w:hAnsi="Times New Roman"/>
          <w:color w:val="000000"/>
          <w:sz w:val="20"/>
        </w:rPr>
        <w:t>insignificant</w:t>
      </w:r>
      <w:r>
        <w:rPr>
          <w:rFonts w:ascii="Times New Roman" w:hAnsi="Times New Roman"/>
          <w:color w:val="231F20"/>
          <w:sz w:val="20"/>
        </w:rPr>
        <w:t xml:space="preserve"> amount, respectively, payable to Yale University.</w:t>
      </w:r>
    </w:p>
    <w:p>
      <w:pPr>
        <w:pStyle w:val="TextBody"/>
        <w:bidi w:val="0"/>
        <w:spacing w:before="200" w:after="283"/>
        <w:jc w:val="left"/>
        <w:rPr>
          <w:rFonts w:ascii="Times New Roman" w:hAnsi="Times New Roman"/>
          <w:b/>
          <w:color w:val="231F20"/>
          <w:sz w:val="20"/>
        </w:rPr>
      </w:pPr>
      <w:bookmarkStart w:id="42" w:name="section43"/>
      <w:bookmarkEnd w:id="42"/>
      <w:r>
        <w:rPr>
          <w:rFonts w:ascii="Times New Roman" w:hAnsi="Times New Roman"/>
          <w:b/>
          <w:color w:val="231F20"/>
          <w:sz w:val="20"/>
        </w:rPr>
        <w:t>16. Subsequent Events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Sales of Shares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March 19, 2026, the Company entered into certain securities purchase agreements pursuant to which the Company agreed to issue and sell to certain investors in the March 2026 Registered Direct Offering 25,000,000 shares of Common Stock at a price of $0.80 per share. The net proceeds to the Company from the March 2026 Registered Direct Offering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HUMACYTE, INC.</w:t>
      </w:r>
    </w:p>
    <w:p>
      <w:pPr>
        <w:pStyle w:val="TextBody"/>
        <w:bidi w:val="0"/>
        <w:jc w:val="center"/>
        <w:rPr>
          <w:rFonts w:ascii="Times New Roman" w:hAnsi="Times New Roman"/>
          <w:b/>
          <w:color w:val="231F20"/>
          <w:sz w:val="20"/>
        </w:rPr>
      </w:pPr>
      <w:r>
        <w:rPr>
          <w:rFonts w:ascii="Times New Roman" w:hAnsi="Times New Roman"/>
          <w:b/>
          <w:color w:val="231F20"/>
          <w:sz w:val="20"/>
        </w:rPr>
        <w:t>NOTES TO CONSOLIDATED FINANCIAL STATEMENTS</w:t>
      </w:r>
    </w:p>
    <w:p>
      <w:pPr>
        <w:pStyle w:val="TextBody"/>
        <w:bidi w:val="0"/>
        <w:jc w:val="center"/>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approximately $18,400,000, after deducting the placement agent’s fees and estimated expenses payable by the Company. The March 2026 Registered Direct Offering closed on March 20, 2026.</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as a result of the March 2026 Registered Direct Offering described above, the exercise price of the warrant issued to the Lenders in connection with the Loan Agreement was adjusted downward in accordance with the terms of the warrant agreement.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ATM Prospectus Suspension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March 19, 2026, the Company delivered written notice to TD Cowen (as defined in Note 1), that it was suspending and terminating the ATM Prospectus (as defined in Note 10), relating to the sale of up to $60 million of Common Stock, that may be issued and sold pursuant to the Sales Agreement (as defined in Note 10). The Company will not make any further sales of its Common Stock pursuant to the Sales Agreement unless and until a new prospectus, prospectus supplement or registration statement is filed. Other than the suspension and termination of the ATM Prospectus, the Sales Agreement remains in full force and effect.</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p>
      <w:pPr>
        <w:pStyle w:val="TextBody"/>
        <w:bidi w:val="0"/>
        <w:jc w:val="left"/>
        <w:rPr>
          <w:rFonts w:ascii="Times New Roman" w:hAnsi="Times New Roman"/>
          <w:b/>
          <w:color w:val="000000"/>
          <w:sz w:val="20"/>
        </w:rPr>
      </w:pPr>
      <w:bookmarkStart w:id="43" w:name="changes_in_and_disagreements_with_acc"/>
      <w:bookmarkEnd w:id="43"/>
      <w:r>
        <w:rPr>
          <w:rFonts w:ascii="Times New Roman" w:hAnsi="Times New Roman"/>
          <w:b/>
          <w:color w:val="000000"/>
          <w:sz w:val="20"/>
        </w:rPr>
        <w:t>Item 9. Changes in and Disagreements With Accountants on Accounting and Financial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44" w:name="controls_and_procedures"/>
      <w:bookmarkEnd w:id="44"/>
      <w:r>
        <w:rPr>
          <w:rFonts w:ascii="Times New Roman" w:hAnsi="Times New Roman"/>
          <w:b/>
          <w:color w:val="000000"/>
          <w:sz w:val="20"/>
        </w:rPr>
        <w:t>Item 9A. Controls 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2025,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financial statements for external purposes in accordance with U.S. GAAP.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errors and all fraud. Also, projections of any evaluation of effectiveness to future periods are subject to the risk that controls may become inadequate because of changes in conditions, or that the degree of compliance with our policies and procedures may deteriorate. Our management, under the supervision of and with the participation of our Chief Executive Officer and Chief Financial Officer, conducted an evaluation of our internal control over financial reporting based on the framework in Internal Control—Integrated Framework issued in 2013 by the Committee of Sponsoring Organizations of the Treadway Commission. Based on the results of its evaluation, management concluded that our internal control over financial reporting was effective as of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Attestation Report of the Registered Public Accounting Firm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We are a non-accelerated filer. For as long as we remain a non-accelerated filer, we are exempt from the auditor attestation requirement in the assessment of the effectiveness of our internal control over financial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13a-15(f) and 15d-15(f) under the Exchange Act) during the three months ended December 31, 2025 that have materially affected, or are reasonably likely to materially affect, our internal control over financial reporting.</w:t>
      </w:r>
    </w:p>
    <w:p>
      <w:pPr>
        <w:pStyle w:val="TextBody"/>
        <w:bidi w:val="0"/>
        <w:spacing w:before="200" w:after="283"/>
        <w:jc w:val="left"/>
        <w:rPr>
          <w:rFonts w:ascii="Times New Roman" w:hAnsi="Times New Roman"/>
          <w:b/>
          <w:color w:val="000000"/>
          <w:sz w:val="20"/>
        </w:rPr>
      </w:pPr>
      <w:bookmarkStart w:id="45" w:name="other_information"/>
      <w:bookmarkEnd w:id="45"/>
      <w:r>
        <w:rPr>
          <w:rFonts w:ascii="Times New Roman" w:hAnsi="Times New Roman"/>
          <w:b/>
          <w:color w:val="000000"/>
          <w:sz w:val="20"/>
        </w:rPr>
        <w:t>Item 9B.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to the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26, 2026, Todd Pope notified the Company that he intends not to stand for re-election at the Company’s 2026 annual meeting of stockholders. Mr. Pope’s decision was not the result of any disagreement between Mr. Pope and the Company, its management, board of directors or any committee thereof, or with respect to any matter relating to the Company’s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policies or practices. Rather, Mr. Pope’s growing outside professional and business obligations led to his decision not to stand for re-election. Mr. Pope has been a valued member of the Board, and the Company thanks him for his contributions.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13, 2025, Laura E Niklason, the Company’s President and Chief Executive Officer, had a previously disclosed trading arrangement intended to satisfy the affirmative defense conditions of Rule 10b5-1(c) under the Exchange Act automatically terminate in accordance with its terms upon the expiration date of the plan. The trading arrangement provided for the potential sale of up to 200,000 shares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8, 2025, Dale A. Sander, the Company’s Chief Financial Officer, adopted a trading arrangement intended to satisfy the affirmative defense conditions of Rule 10b5-1(c) under the Exchange Act (the “Sander 10b5-1 Plan”). The Sander 10b5-1 Plan provides for the potential sale of up to 311,100 shares of Common Stock that may be received pursuant to equity compensation awards, with the first possible trade date on May 16, 2026. The Sander 10b5-1 Plan terminates automatically on the earlier of the completion of all transactions contemplated by the plan, or June 1, 2027.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8, 2025, Shamik Parikh, the Company’s Chief Medical Officer, adopted a trading arrangement intended to satisfy the affirmative defense conditions of Rule 10b5-1(c) under the Exchange Act (the “Parikh 10b5-1 Plan”). The Parikh 10b5-1 Plan provides for the potential sale of up to 311,100 shares of Common Stock that may be received pursuant to equity compensation awards, with the first possible trade date on May 16, 2026. The Parikh 10b5-1 Plan terminates automatically on the earlier of the completion of all transactions contemplated by the plan, or June 1, 2027.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December 31, 2025, except as described above, no director or officer (as defined in Rule 16a-1(f) under the Exchange Act) of the Company adopted or terminated any “Rule 10b5-1 trading arrangement” or any “non Rule 10b5-1 trading arrangement,” as each term is defined in Item 408(a) of Regulation S-K.</w:t>
      </w:r>
    </w:p>
    <w:p>
      <w:pPr>
        <w:pStyle w:val="TextBody"/>
        <w:bidi w:val="0"/>
        <w:spacing w:before="200" w:after="283"/>
        <w:jc w:val="left"/>
        <w:rPr>
          <w:rFonts w:ascii="Times New Roman" w:hAnsi="Times New Roman"/>
          <w:b/>
          <w:color w:val="000000"/>
          <w:sz w:val="20"/>
        </w:rPr>
      </w:pPr>
      <w:bookmarkStart w:id="46" w:name="disclosure_regarding_for"/>
      <w:bookmarkEnd w:id="46"/>
      <w:r>
        <w:rPr>
          <w:rFonts w:ascii="Times New Roman" w:hAnsi="Times New Roman"/>
          <w:b/>
          <w:color w:val="000000"/>
          <w:sz w:val="20"/>
        </w:rPr>
        <w:t>Item 9C. Disclosure Regarding Foreign Jurisdictions that Prevent Inspections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p>
      <w:pPr>
        <w:pStyle w:val="TextBody"/>
        <w:bidi w:val="0"/>
        <w:jc w:val="center"/>
        <w:rPr>
          <w:rFonts w:ascii="Times New Roman" w:hAnsi="Times New Roman"/>
          <w:b/>
          <w:color w:val="000000"/>
          <w:sz w:val="20"/>
        </w:rPr>
      </w:pPr>
      <w:bookmarkStart w:id="47" w:name="part_iii"/>
      <w:bookmarkEnd w:id="47"/>
      <w:r>
        <w:rPr>
          <w:rFonts w:ascii="Times New Roman" w:hAnsi="Times New Roman"/>
          <w:b/>
          <w:color w:val="000000"/>
          <w:sz w:val="20"/>
        </w:rPr>
        <w:t>Part III</w:t>
      </w:r>
    </w:p>
    <w:p>
      <w:pPr>
        <w:pStyle w:val="TextBody"/>
        <w:bidi w:val="0"/>
        <w:spacing w:before="200" w:after="283"/>
        <w:jc w:val="left"/>
        <w:rPr>
          <w:rFonts w:ascii="Times New Roman" w:hAnsi="Times New Roman"/>
          <w:b/>
          <w:color w:val="231F20"/>
          <w:sz w:val="20"/>
        </w:rPr>
      </w:pPr>
      <w:bookmarkStart w:id="48" w:name="directors_executive_officers"/>
      <w:bookmarkEnd w:id="48"/>
      <w:r>
        <w:rPr>
          <w:rFonts w:ascii="Times New Roman" w:hAnsi="Times New Roman"/>
          <w:b/>
          <w:color w:val="231F20"/>
          <w:sz w:val="20"/>
        </w:rPr>
        <w:t>Item 10. Directors, Executive Officers and Corporate Governance.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Incorporated by reference from the information in our Proxy Statement for our 2026 Annual Meeting of Stockholders, which we will file with the SEC within 120 days of the end of the fiscal year to which this Annual Report on Form 10-K relates.</w:t>
      </w:r>
    </w:p>
    <w:p>
      <w:pPr>
        <w:pStyle w:val="TextBody"/>
        <w:bidi w:val="0"/>
        <w:spacing w:before="200" w:after="283"/>
        <w:jc w:val="left"/>
        <w:rPr>
          <w:rFonts w:ascii="Times New Roman" w:hAnsi="Times New Roman"/>
          <w:b/>
          <w:color w:val="231F20"/>
          <w:sz w:val="20"/>
        </w:rPr>
      </w:pPr>
      <w:bookmarkStart w:id="49" w:name="executive_compensation"/>
      <w:bookmarkEnd w:id="49"/>
      <w:r>
        <w:rPr>
          <w:rFonts w:ascii="Times New Roman" w:hAnsi="Times New Roman"/>
          <w:b/>
          <w:color w:val="231F20"/>
          <w:sz w:val="20"/>
        </w:rPr>
        <w:t>Item 11. Executive Compensation.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Incorporated by reference from the information in our Proxy Statement for our 2026 Annual Meeting of Stockholders, which we will file with the SEC within 120 days of the end of the fiscal year to which this Annual Report on Form 10-K relates.</w:t>
      </w:r>
    </w:p>
    <w:p>
      <w:pPr>
        <w:pStyle w:val="TextBody"/>
        <w:bidi w:val="0"/>
        <w:spacing w:before="200" w:after="283"/>
        <w:jc w:val="left"/>
        <w:rPr>
          <w:rFonts w:ascii="Times New Roman" w:hAnsi="Times New Roman"/>
          <w:sz w:val="20"/>
        </w:rPr>
      </w:pPr>
      <w:bookmarkStart w:id="50" w:name="security_ownership_of_certain"/>
      <w:bookmarkEnd w:id="50"/>
      <w:r>
        <w:rPr>
          <w:rFonts w:ascii="Times New Roman" w:hAnsi="Times New Roman"/>
          <w:b/>
          <w:color w:val="231F20"/>
          <w:sz w:val="20"/>
        </w:rPr>
        <w:t>Item 12. Security Ownership of Certain Beneficial Owners and Management and Related Stockholder Matters.</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Incorporated by reference from the information in our Proxy Statement for our 2026 Annual Meeting of Stockholders, which we will file with the SEC within 120 days of the end of the fiscal year to which this Annual Report on Form 10-K relates.</w:t>
      </w:r>
    </w:p>
    <w:p>
      <w:pPr>
        <w:pStyle w:val="TextBody"/>
        <w:bidi w:val="0"/>
        <w:spacing w:before="200" w:after="283"/>
        <w:jc w:val="left"/>
        <w:rPr>
          <w:rFonts w:ascii="Times New Roman" w:hAnsi="Times New Roman"/>
          <w:b/>
          <w:color w:val="231F20"/>
          <w:sz w:val="20"/>
        </w:rPr>
      </w:pPr>
      <w:bookmarkStart w:id="51" w:name="certain_relationships_and_related"/>
      <w:bookmarkEnd w:id="51"/>
      <w:r>
        <w:rPr>
          <w:rFonts w:ascii="Times New Roman" w:hAnsi="Times New Roman"/>
          <w:b/>
          <w:color w:val="231F20"/>
          <w:sz w:val="20"/>
        </w:rPr>
        <w:t>Item 13. Certain Relationships and Related Transactions, and Director Independence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Incorporated by reference from the information in our Proxy Statement for our 2026 Annual Meeting of Stockholders, which we will file with the SEC within 120 days of the end of the fiscal year to which this Annual Report on Form 10-K relates.</w:t>
      </w:r>
    </w:p>
    <w:p>
      <w:pPr>
        <w:pStyle w:val="TextBody"/>
        <w:bidi w:val="0"/>
        <w:spacing w:before="200" w:after="283"/>
        <w:jc w:val="left"/>
        <w:rPr>
          <w:rFonts w:ascii="Times New Roman" w:hAnsi="Times New Roman"/>
          <w:b/>
          <w:color w:val="231F20"/>
          <w:sz w:val="20"/>
        </w:rPr>
      </w:pPr>
      <w:bookmarkStart w:id="52" w:name="principal_accountant_fees"/>
      <w:bookmarkEnd w:id="52"/>
      <w:r>
        <w:rPr>
          <w:rFonts w:ascii="Times New Roman" w:hAnsi="Times New Roman"/>
          <w:b/>
          <w:color w:val="231F20"/>
          <w:sz w:val="20"/>
        </w:rPr>
        <w:t>Item 14. Principal Accountant Fees and Services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Incorporated by reference from the information in our Proxy Statement for our 2026 Annual Meeting of Stockholders, which we will file with the SEC within 120 days of the end of the fiscal year to which this Annual Report on Form 10-K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p>
      <w:pPr>
        <w:pStyle w:val="TextBody"/>
        <w:bidi w:val="0"/>
        <w:jc w:val="center"/>
        <w:rPr>
          <w:rFonts w:ascii="Times New Roman" w:hAnsi="Times New Roman"/>
          <w:sz w:val="20"/>
        </w:rPr>
      </w:pPr>
      <w:bookmarkStart w:id="53" w:name="part_iv"/>
      <w:bookmarkEnd w:id="5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00" w:after="283"/>
        <w:jc w:val="left"/>
        <w:rPr>
          <w:rFonts w:ascii="Times New Roman" w:hAnsi="Times New Roman"/>
          <w:b/>
          <w:color w:val="231F20"/>
          <w:sz w:val="20"/>
        </w:rPr>
      </w:pPr>
      <w:bookmarkStart w:id="54" w:name="exhibits_and_financial_stat"/>
      <w:bookmarkEnd w:id="54"/>
      <w:r>
        <w:rPr>
          <w:rFonts w:ascii="Times New Roman" w:hAnsi="Times New Roman"/>
          <w:b/>
          <w:color w:val="231F20"/>
          <w:sz w:val="20"/>
        </w:rPr>
        <w:t>Item 15. Exhibits and Financial Statement Schedules.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The following financial statements are included in this Annual Report on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(1) List of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financial statements required by this item are listed in Item 8, “Financial Statements and Supplementary Data” herein.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 List of Financial Statement Schedules: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financial statement schedules have been omitted because they are not applicable, not required or the information required is shown in the financial statements or notes thereto.</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(3) List of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7"/>
        <w:gridCol w:w="146"/>
        <w:gridCol w:w="9402"/>
      </w:tblGrid>
      <w:tr>
        <w:trPr/>
        <w:tc>
          <w:tcPr>
            <w:tcW w:w="6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02" w:type="dxa"/>
            <w:tcBorders/>
            <w:shd w:fill="FFFFFF" w:val="clear"/>
            <w:vAlign w:val="center"/>
          </w:tcPr>
          <w:p>
            <w:pPr>
              <w:pStyle w:val="TableContents"/>
              <w:bidi w:val="0"/>
              <w:spacing w:before="0" w:after="283"/>
              <w:jc w:val="left"/>
              <w:rPr>
                <w:sz w:val="4"/>
                <w:szCs w:val="4"/>
              </w:rPr>
            </w:pPr>
            <w:r>
              <w:rPr>
                <w:sz w:val="4"/>
                <w:szCs w:val="4"/>
              </w:rPr>
            </w:r>
          </w:p>
        </w:tc>
      </w:tr>
      <w:tr>
        <w:trPr/>
        <w:tc>
          <w:tcPr>
            <w:tcW w:w="65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w:anchor="huma-ex3_1.htm">
              <w:r>
                <w:rPr>
                  <w:rStyle w:val="InternetLink"/>
                  <w:rFonts w:ascii="Times New Roman" w:hAnsi="Times New Roman"/>
                  <w:color w:val="0000FF"/>
                  <w:sz w:val="20"/>
                  <w:u w:val="single"/>
                </w:rPr>
                <w:t>Second Amended and Restated Certificate of Incorporation of Humacyte, Inc., as amended.</w:t>
              </w:r>
            </w:hyperlink>
            <w:hyperlink w:anchor="huma-ex3_1.htm">
              <w:r>
                <w:rPr>
                  <w:rStyle w:val="InternetLink"/>
                  <w:rFonts w:ascii="Times New Roman" w:hAnsi="Times New Roman"/>
                  <w:color w:val="0000FF"/>
                  <w:sz w:val="20"/>
                </w:rPr>
                <w:t xml:space="preserve"> </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26">
              <w:r>
                <w:rPr>
                  <w:rStyle w:val="InternetLink"/>
                  <w:rFonts w:ascii="Times New Roman" w:hAnsi="Times New Roman"/>
                  <w:color w:val="0000FF"/>
                  <w:sz w:val="20"/>
                  <w:u w:val="single"/>
                </w:rPr>
                <w:t>Amended and Restated By Laws of Humacyte, Inc. (incorporated by reference to Exhibit 3.2 to Humacyte, Inc.’s Current Report on Form 8–K, filed with the SEC on December 12, 2022).</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27">
              <w:r>
                <w:rPr>
                  <w:rStyle w:val="InternetLink"/>
                  <w:rFonts w:ascii="Times New Roman" w:hAnsi="Times New Roman"/>
                  <w:color w:val="0000FF"/>
                  <w:sz w:val="20"/>
                  <w:u w:val="single"/>
                </w:rPr>
                <w:t>Warrant Agreement, dated September 17, 2020, by and between Alpha Healthcare Acquisition Corp. and Continental Stock Transfer &amp; Trust Company, as warrant agent (incorporated by reference to Exhibit 4.1 to Alpha Healthcare Acquisition Corp.’s Annual Report on Form 10–K/A, filed with the SEC on May 14, 2021).</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28">
              <w:r>
                <w:rPr>
                  <w:rStyle w:val="InternetLink"/>
                  <w:rFonts w:ascii="Times New Roman" w:hAnsi="Times New Roman"/>
                  <w:color w:val="0000FF"/>
                  <w:sz w:val="20"/>
                  <w:u w:val="single"/>
                </w:rPr>
                <w:t>Form of Subscription Agreement (incorporated by reference to Exhibit 10.3 to Humacyte, Inc.’s Registration Statement on S–4/A, filed with the SEC on August 2, 2021).</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29">
              <w:r>
                <w:rPr>
                  <w:rStyle w:val="InternetLink"/>
                  <w:rFonts w:ascii="Times New Roman" w:hAnsi="Times New Roman"/>
                  <w:color w:val="0000FF"/>
                  <w:sz w:val="20"/>
                  <w:u w:val="single"/>
                </w:rPr>
                <w:t>Form of Investor Rights and Lock–up Agreement (incorporated by reference to Exhibit A of Annex A to the proxy statement/prospectus contained in Humacyte, Inc.'s Registration Statement on S-4/A, filed with the SEC on August 2, 2021).</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30">
              <w:r>
                <w:rPr>
                  <w:rStyle w:val="InternetLink"/>
                  <w:rFonts w:ascii="Times New Roman" w:hAnsi="Times New Roman"/>
                  <w:color w:val="0000FF"/>
                  <w:sz w:val="20"/>
                  <w:u w:val="single"/>
                </w:rPr>
                <w:t>Warrant to Purchase Common Stock, dated March 30, 2021 (incorporated by reference to Exhibit 10.6.1 to Humacyte, Inc.’s Registration Statement on S–4/A, filed with the SEC on June 14, 2021).</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31">
              <w:r>
                <w:rPr>
                  <w:rStyle w:val="InternetLink"/>
                  <w:rFonts w:ascii="Times New Roman" w:hAnsi="Times New Roman"/>
                  <w:color w:val="0000FF"/>
                  <w:sz w:val="20"/>
                  <w:u w:val="single"/>
                </w:rPr>
                <w:t>Warrant to Purchase Common Stock, dated March 30, 2021 (incorporated by reference to Exhibit 10.6.2 to Humacyte, Inc.’s Registration Statement on S–4/A, filed with the SEC on June 14, 2021).</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32">
              <w:r>
                <w:rPr>
                  <w:rStyle w:val="InternetLink"/>
                  <w:rFonts w:ascii="Times New Roman" w:hAnsi="Times New Roman"/>
                  <w:color w:val="0000FF"/>
                  <w:sz w:val="20"/>
                  <w:u w:val="single"/>
                </w:rPr>
                <w:t>Form of Common Stock Purchase Warrant (incorporated by reference to Exhibit 4.1 to Humacyte, Inc.’s Current Report on Form 8-K, filed with the SEC on October 7, 2024).</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33">
              <w:r>
                <w:rPr>
                  <w:rStyle w:val="InternetLink"/>
                  <w:rFonts w:ascii="Times New Roman" w:hAnsi="Times New Roman"/>
                  <w:color w:val="0000FF"/>
                  <w:sz w:val="20"/>
                  <w:u w:val="single"/>
                </w:rPr>
                <w:t>Form of Common Stock Purchase Warrant (incorporated by reference to Exhibit 4.1 to Humacyte, Inc.’s Current Report on Form 8-K, filed with the SEC on November 14, 2024).</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Common Stock Purchase Warrant (incorporated by reference to Exhibit 4.1 to Humacyte, Inc.’s Current Report on Form 8-K, filed with the SEC on October 7, 2025).</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35">
              <w:r>
                <w:rPr>
                  <w:rStyle w:val="InternetLink"/>
                  <w:rFonts w:ascii="Times New Roman" w:hAnsi="Times New Roman"/>
                  <w:color w:val="0000FF"/>
                  <w:sz w:val="20"/>
                  <w:u w:val="single"/>
                </w:rPr>
                <w:t>Warrant to Purchase Common Stock, dated December 15, 2025, by and between Humacyte, Inc. and Avenue Venture Opportunities Fund II, L.P. (incorporated by reference to Exhibit 4.1 to Humacyte, Inc.’s Current Report on Form 8-K, filed with the SEC on December 15, 2025).</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40" w:after="40"/>
              <w:jc w:val="left"/>
              <w:rPr/>
            </w:pPr>
            <w:hyperlink r:id="rId36">
              <w:r>
                <w:rPr>
                  <w:rStyle w:val="InternetLink"/>
                  <w:rFonts w:ascii="Times New Roman" w:hAnsi="Times New Roman"/>
                  <w:color w:val="0000FF"/>
                  <w:sz w:val="20"/>
                  <w:u w:val="single"/>
                </w:rPr>
                <w:t>Description of the Company’s securities registered pursuant to Section 12 of the Securities Exchange Act of 1934, as amended, (incorporated by reference to Exhibit 4.6 to Humacyte, Inc.’s Annual Report on Form 10-K filed with the SEC on March 28, 2024).</w:t>
              </w:r>
            </w:hyperlink>
          </w:p>
        </w:tc>
      </w:tr>
      <w:tr>
        <w:trPr/>
        <w:tc>
          <w:tcPr>
            <w:tcW w:w="65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Loan and Security Agreement, dated as of December 15, 2025, by and among Humacyte Global, Inc., as borrower representative and a borrower, Humacyte, Inc. as a borrower, and Avenue Venture Opportunities Fund II, L.P., as lender, administrative agent and collateral agent (incorporated by reference to Exhibit 10.1 to Humacyte, Inc.’s Current Report on Form 8-K, filed with the SEC on December 15, 2025).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146"/>
        <w:gridCol w:w="9382"/>
      </w:tblGrid>
      <w:tr>
        <w:trPr/>
        <w:tc>
          <w:tcPr>
            <w:tcW w:w="6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82" w:type="dxa"/>
            <w:tcBorders/>
            <w:shd w:fill="FFFFFF" w:val="clear"/>
            <w:vAlign w:val="center"/>
          </w:tcPr>
          <w:p>
            <w:pPr>
              <w:pStyle w:val="TableContents"/>
              <w:bidi w:val="0"/>
              <w:spacing w:before="0" w:after="283"/>
              <w:jc w:val="left"/>
              <w:rPr>
                <w:sz w:val="4"/>
                <w:szCs w:val="4"/>
              </w:rPr>
            </w:pPr>
            <w:r>
              <w:rPr>
                <w:sz w:val="4"/>
                <w:szCs w:val="4"/>
              </w:rPr>
            </w:r>
          </w:p>
        </w:tc>
      </w:tr>
      <w:tr>
        <w:trPr/>
        <w:tc>
          <w:tcPr>
            <w:tcW w:w="67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8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Sales Agreement, dated as of December 16, 2025, by and between Humacyte, Inc. and TD Securities (USA) LLC (incorporated by reference to Exhibit 10.1 to Humacyte, Inc.’s Current Report on Form 8-K, filed with the SEC on December 16, 2025).</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39">
              <w:r>
                <w:rPr>
                  <w:rStyle w:val="InternetLink"/>
                  <w:rFonts w:ascii="Times New Roman" w:hAnsi="Times New Roman"/>
                  <w:color w:val="0000FF"/>
                  <w:sz w:val="20"/>
                  <w:u w:val="single"/>
                </w:rPr>
                <w:t>Purchase Agreement, dated as of September 24, 2024, by and between Humacyte, Inc. and Lincoln Park Capital Fund, LLC (incorporated by reference to Exhibit 10.1 to Humacyte Inc.’s Current Report on Form 8-K, filed with the SEC on September 25, 2024).</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0">
              <w:r>
                <w:rPr>
                  <w:rStyle w:val="InternetLink"/>
                  <w:rFonts w:ascii="Times New Roman" w:hAnsi="Times New Roman"/>
                  <w:color w:val="0000FF"/>
                  <w:sz w:val="20"/>
                  <w:u w:val="single"/>
                </w:rPr>
                <w:t>Registration Rights Agreement, dated as of September 24, 2024, by and between Humacyte, Inc. and Lincoln Park Capital Fund, LLC (incorporated by reference to Exhibit 10.2 to Humacyte Inc.’s Current Report on Form 8-K, filed with the SEC on September 25, 2024).</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1">
              <w:r>
                <w:rPr>
                  <w:rStyle w:val="InternetLink"/>
                  <w:rFonts w:ascii="Times New Roman" w:hAnsi="Times New Roman"/>
                  <w:color w:val="0000FF"/>
                  <w:sz w:val="20"/>
                  <w:u w:val="single"/>
                </w:rPr>
                <w:t>Distribution Agreement, dated June 25, 2018, by and between Fresenius Medical Care Holdings, Inc. and Humacyte Global, Inc. (incorporated by reference to Exhibit 10.6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10.5.1˄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2">
              <w:r>
                <w:rPr>
                  <w:rStyle w:val="InternetLink"/>
                  <w:rFonts w:ascii="Times New Roman" w:hAnsi="Times New Roman"/>
                  <w:color w:val="0000FF"/>
                  <w:sz w:val="20"/>
                  <w:u w:val="single"/>
                </w:rPr>
                <w:t>First Amendment to Distribution Agreement, dated October 2, 2019, by and between Fresenius Medical Care Holdings, Inc. and Humacyte Global, Inc. (incorporated by reference to Exhibit 10.6.1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10.5.2˄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3">
              <w:r>
                <w:rPr>
                  <w:rStyle w:val="InternetLink"/>
                  <w:rFonts w:ascii="Times New Roman" w:hAnsi="Times New Roman"/>
                  <w:color w:val="0000FF"/>
                  <w:sz w:val="20"/>
                  <w:u w:val="single"/>
                </w:rPr>
                <w:t>Second Amendment to Distribution Agreement, effective as of February 16, 2021, by and between Fresenius Medical Care Holdings, Inc. and Humacyte Global, Inc. (incorporated by reference to Exhibit 10.6.2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4">
              <w:r>
                <w:rPr>
                  <w:rStyle w:val="InternetLink"/>
                  <w:rFonts w:ascii="Times New Roman" w:hAnsi="Times New Roman"/>
                  <w:color w:val="0000FF"/>
                  <w:sz w:val="20"/>
                  <w:u w:val="single"/>
                </w:rPr>
                <w:t>Exclusive License Agreement, dated August 13, 2019, by and between Yale University and Humacyte Global, Inc. (incorporated by reference to Exhibit 10.9 to Humacyte, Inc.’s Registration Statement on S–4/A, filed with the SEC on June 14,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5">
              <w:r>
                <w:rPr>
                  <w:rStyle w:val="InternetLink"/>
                  <w:rFonts w:ascii="Times New Roman" w:hAnsi="Times New Roman"/>
                  <w:color w:val="0000FF"/>
                  <w:sz w:val="20"/>
                  <w:u w:val="single"/>
                </w:rPr>
                <w:t>Exclusive License Agreement, dated August 25, 2019, by and between Yale University and Humacyte Global, Inc. (incorporated by reference to Exhibit 10.10 to Humacyte, Inc.’s Registration Statement on S–4/A, filed with the SEC on June 14,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6">
              <w:r>
                <w:rPr>
                  <w:rStyle w:val="InternetLink"/>
                  <w:rFonts w:ascii="Times New Roman" w:hAnsi="Times New Roman"/>
                  <w:color w:val="0000FF"/>
                  <w:sz w:val="20"/>
                  <w:u w:val="single"/>
                </w:rPr>
                <w:t>Exclusive Patent License Agreement, dated March 14, 2006, between Duke University and Humacyte Global, Inc. (incorporated by reference to Exhibit 10.10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7">
              <w:r>
                <w:rPr>
                  <w:rStyle w:val="InternetLink"/>
                  <w:rFonts w:ascii="Times New Roman" w:hAnsi="Times New Roman"/>
                  <w:color w:val="0000FF"/>
                  <w:sz w:val="20"/>
                  <w:u w:val="single"/>
                </w:rPr>
                <w:t>First Amendment to Exclusive Patent License Agreement, dated February 25, 2011, between Duke University and Humacyte Global, Inc. (incorporated by reference to Exhibit 10.10.1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8">
              <w:r>
                <w:rPr>
                  <w:rStyle w:val="InternetLink"/>
                  <w:rFonts w:ascii="Times New Roman" w:hAnsi="Times New Roman"/>
                  <w:color w:val="0000FF"/>
                  <w:sz w:val="20"/>
                  <w:u w:val="single"/>
                </w:rPr>
                <w:t>Second Amendment to Exclusive Patent License Agreement, dated April 24, 2014, between Duke University and Humacyte Global, Inc. (incorporated by reference to Exhibit 10.10.2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49">
              <w:r>
                <w:rPr>
                  <w:rStyle w:val="InternetLink"/>
                  <w:rFonts w:ascii="Times New Roman" w:hAnsi="Times New Roman"/>
                  <w:color w:val="0000FF"/>
                  <w:sz w:val="20"/>
                  <w:u w:val="single"/>
                </w:rPr>
                <w:t>Third Amendment to Exclusive Patent License Agreement, dated June 26, 2015, between Duke University and Humacyte Global, Inc. (incorporated by reference to Exhibit 10.10.3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50">
              <w:r>
                <w:rPr>
                  <w:rStyle w:val="InternetLink"/>
                  <w:rFonts w:ascii="Times New Roman" w:hAnsi="Times New Roman"/>
                  <w:color w:val="0000FF"/>
                  <w:sz w:val="20"/>
                  <w:u w:val="single"/>
                </w:rPr>
                <w:t>Fourth Amendment to Exclusive Patent License Agreement, dated January 2, 2018, between Duke University and Humacyte Global, Inc. (incorporated by reference to Exhibit 10.10.4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51">
              <w:r>
                <w:rPr>
                  <w:rStyle w:val="InternetLink"/>
                  <w:rFonts w:ascii="Times New Roman" w:hAnsi="Times New Roman"/>
                  <w:color w:val="0000FF"/>
                  <w:sz w:val="20"/>
                  <w:u w:val="single"/>
                </w:rPr>
                <w:t>Fifth Amendment to Exclusive Patent License Agreement, dated December 31, 2019, between Duke University and Humacyte Global, Inc. (incorporated by reference to Exhibit 10.10.5 to Humacyte, Inc.’s Registration Statement on S–4, filed with the SEC on March 23, 2021).</w:t>
              </w:r>
            </w:hyperlink>
          </w:p>
        </w:tc>
      </w:tr>
      <w:tr>
        <w:trPr/>
        <w:tc>
          <w:tcPr>
            <w:tcW w:w="677"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382" w:type="dxa"/>
            <w:tcBorders/>
            <w:tcMar>
              <w:top w:w="0" w:type="dxa"/>
              <w:left w:w="0" w:type="dxa"/>
              <w:bottom w:w="0" w:type="dxa"/>
              <w:right w:w="0" w:type="dxa"/>
            </w:tcMar>
            <w:vAlign w:val="center"/>
          </w:tcPr>
          <w:p>
            <w:pPr>
              <w:pStyle w:val="TableContents"/>
              <w:bidi w:val="0"/>
              <w:spacing w:before="40" w:after="40"/>
              <w:jc w:val="left"/>
              <w:rPr/>
            </w:pPr>
            <w:hyperlink r:id="rId52">
              <w:r>
                <w:rPr>
                  <w:rStyle w:val="InternetLink"/>
                  <w:rFonts w:ascii="Times New Roman" w:hAnsi="Times New Roman"/>
                  <w:color w:val="0000FF"/>
                  <w:sz w:val="20"/>
                  <w:u w:val="single"/>
                </w:rPr>
                <w:t>Sixth Amendment to Exclusive Patent License Agreement, dated January 10, 2022, between Duke University and Humacyte Global, Inc. (incorporated by reference to Exhibit 10.7.6 to Humacyte, Inc.’s Annual Report on Form 10-K filed with the SEC on March 29, 2022).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83" w:type="dxa"/>
            <w:tcBorders/>
            <w:shd w:fill="FFFFFF" w:val="clear"/>
            <w:vAlign w:val="center"/>
          </w:tcPr>
          <w:p>
            <w:pPr>
              <w:pStyle w:val="TableContents"/>
              <w:bidi w:val="0"/>
              <w:spacing w:before="0" w:after="283"/>
              <w:jc w:val="left"/>
              <w:rPr>
                <w:sz w:val="4"/>
                <w:szCs w:val="4"/>
              </w:rPr>
            </w:pPr>
            <w:r>
              <w:rPr>
                <w:sz w:val="4"/>
                <w:szCs w:val="4"/>
              </w:rPr>
            </w:r>
          </w:p>
        </w:tc>
      </w:tr>
      <w:tr>
        <w:trPr/>
        <w:tc>
          <w:tcPr>
            <w:tcW w:w="77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3">
              <w:r>
                <w:rPr>
                  <w:rStyle w:val="InternetLink"/>
                  <w:rFonts w:ascii="Times New Roman" w:hAnsi="Times New Roman"/>
                  <w:color w:val="0000FF"/>
                  <w:sz w:val="20"/>
                  <w:u w:val="single"/>
                </w:rPr>
                <w:t>Supply Agreement, dated January 9, 2014, between SeraCare Life Sciences, Inc. and Humacyte Global, Inc. (incorporated by reference to Exhibit 10.11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10.9.1˄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4">
              <w:r>
                <w:rPr>
                  <w:rStyle w:val="InternetLink"/>
                  <w:rFonts w:ascii="Times New Roman" w:hAnsi="Times New Roman"/>
                  <w:color w:val="0000FF"/>
                  <w:sz w:val="20"/>
                  <w:u w:val="single"/>
                </w:rPr>
                <w:t>First Amendment to Supply Agreement, dated October 12, 2018, between SeraCare Life Sciences, Inc. and Humacyte Global, Inc. (incorporated by reference to Exhibit 10.11.1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10.9.2˄*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5">
              <w:r>
                <w:rPr>
                  <w:rStyle w:val="InternetLink"/>
                  <w:rFonts w:ascii="Times New Roman" w:hAnsi="Times New Roman"/>
                  <w:color w:val="0000FF"/>
                  <w:sz w:val="20"/>
                  <w:u w:val="single"/>
                </w:rPr>
                <w:t>Second Amendment to Supply Agreement, dated March 24, 2021, between SeraCare Life Sciences, Inc. and Humacyte Global, Inc. (incorporated by reference to Exhibit 10.12.2 to Humacyte, Inc.’s Registration Statement on S–4/A, filed with the SEC on June 14,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6">
              <w:r>
                <w:rPr>
                  <w:rStyle w:val="InternetLink"/>
                  <w:rFonts w:ascii="Times New Roman" w:hAnsi="Times New Roman"/>
                  <w:color w:val="0000FF"/>
                  <w:sz w:val="20"/>
                  <w:u w:val="single"/>
                </w:rPr>
                <w:t>Supply Agreement, dated June 1, 2020, between Confluent Medical Technologies and Humacyte Global, Inc. (incorporated by reference to Exhibit 10.13 to Humacyte, Inc.’s Registration Statement on S–4/A, filed with the SEC on June 14,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7">
              <w:r>
                <w:rPr>
                  <w:rStyle w:val="InternetLink"/>
                  <w:rFonts w:ascii="Times New Roman" w:hAnsi="Times New Roman"/>
                  <w:color w:val="0000FF"/>
                  <w:sz w:val="20"/>
                  <w:u w:val="single"/>
                </w:rPr>
                <w:t>Executive Employment Agreement, dated February 3, 2021, between Laura Niklason, M.D., Ph.D. and Humacyte Global, Inc. (incorporated by reference to Exhibit 10.13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8">
              <w:r>
                <w:rPr>
                  <w:rStyle w:val="InternetLink"/>
                  <w:rFonts w:ascii="Times New Roman" w:hAnsi="Times New Roman"/>
                  <w:color w:val="0000FF"/>
                  <w:sz w:val="20"/>
                  <w:u w:val="single"/>
                </w:rPr>
                <w:t>Executive Employment Agreement, dated May 18, 2021, between Dale Sander and Humacyte, Inc. (incorporated by reference to Exhibit 10.11 to Humacyte, Inc.’s Annual Report on Form 10-K, filed with the SEC on March 24, 2023).</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59">
              <w:r>
                <w:rPr>
                  <w:rStyle w:val="InternetLink"/>
                  <w:rFonts w:ascii="Times New Roman" w:hAnsi="Times New Roman"/>
                  <w:color w:val="0000FF"/>
                  <w:sz w:val="20"/>
                  <w:u w:val="single"/>
                </w:rPr>
                <w:t>Humacyte, Inc. 2021 Long–Term Incentive Plan (incorporated by reference to Exhibit 10.4 to Humacyte, Inc.’s Current Report on Form 8–K, filed with the SEC on August 27,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0">
              <w:r>
                <w:rPr>
                  <w:rStyle w:val="InternetLink"/>
                  <w:rFonts w:ascii="Times New Roman" w:hAnsi="Times New Roman"/>
                  <w:color w:val="0000FF"/>
                  <w:sz w:val="20"/>
                  <w:u w:val="single"/>
                </w:rPr>
                <w:t>Form of Stock Option Agreement under Humacyte, Inc. 2021 Long–Term Incentive Plan (incorporated by reference to Exhibit 10.4.1 to Humacyte, Inc.’s Current Report on Form 8–K, filed with the SEC on August 27,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1">
              <w:r>
                <w:rPr>
                  <w:rStyle w:val="InternetLink"/>
                  <w:rFonts w:ascii="Times New Roman" w:hAnsi="Times New Roman"/>
                  <w:color w:val="0000FF"/>
                  <w:sz w:val="20"/>
                  <w:u w:val="single"/>
                </w:rPr>
                <w:t>Humacyte, Inc. 2021 Employee Stock Purchase Plan (incorporated by reference to Exhibit 10.5 to Humacyte, Inc.’s Current Report on Form 8–K, filed with the SEC on August 27,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2">
              <w:r>
                <w:rPr>
                  <w:rStyle w:val="InternetLink"/>
                  <w:rFonts w:ascii="Times New Roman" w:hAnsi="Times New Roman"/>
                  <w:color w:val="0000FF"/>
                  <w:sz w:val="20"/>
                  <w:u w:val="single"/>
                </w:rPr>
                <w:t>Humacyte, Inc. Annual Bonus Plan (incorporated by reference to Exhibit 10.8 to Humacyte, Inc.’s Current Report on Form 8–K, filed with the SEC on August 27,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3">
              <w:r>
                <w:rPr>
                  <w:rStyle w:val="InternetLink"/>
                  <w:rFonts w:ascii="Times New Roman" w:hAnsi="Times New Roman"/>
                  <w:color w:val="0000FF"/>
                  <w:sz w:val="20"/>
                  <w:u w:val="single"/>
                </w:rPr>
                <w:t>Humacyte, Inc. 2005 Stock Option Plan (incorporated by reference to Exhibit 10.18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4">
              <w:r>
                <w:rPr>
                  <w:rStyle w:val="InternetLink"/>
                  <w:rFonts w:ascii="Times New Roman" w:hAnsi="Times New Roman"/>
                  <w:color w:val="0000FF"/>
                  <w:sz w:val="20"/>
                  <w:u w:val="single"/>
                </w:rPr>
                <w:t>First Amendment of Humacyte, Inc. 2005 Stock Option Plan, dated March 31, 2008 (incorporated by reference to Exhibit 10.18.1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5">
              <w:r>
                <w:rPr>
                  <w:rStyle w:val="InternetLink"/>
                  <w:rFonts w:ascii="Times New Roman" w:hAnsi="Times New Roman"/>
                  <w:color w:val="0000FF"/>
                  <w:sz w:val="20"/>
                  <w:u w:val="single"/>
                </w:rPr>
                <w:t>Second Amendment of Humacyte, Inc. 2005 Stock Option Plan, dated October 28, 2011 (incorporated by reference to Exhibit 10.18.2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6">
              <w:r>
                <w:rPr>
                  <w:rStyle w:val="InternetLink"/>
                  <w:rFonts w:ascii="Times New Roman" w:hAnsi="Times New Roman"/>
                  <w:color w:val="0000FF"/>
                  <w:sz w:val="20"/>
                  <w:u w:val="single"/>
                </w:rPr>
                <w:t>Third Amendment of Humacyte, Inc. 2005 Stock Option Plan, dated November 22, 2013 (incorporated by reference to Exhibit 10.18.3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7">
              <w:r>
                <w:rPr>
                  <w:rStyle w:val="InternetLink"/>
                  <w:rFonts w:ascii="Times New Roman" w:hAnsi="Times New Roman"/>
                  <w:color w:val="0000FF"/>
                  <w:sz w:val="20"/>
                  <w:u w:val="single"/>
                </w:rPr>
                <w:t>Form of Incentive Stock Option Agreement under Humacyte, Inc. 2005 Stock Option Plan (incorporated by reference to Exhibit 10.18.4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8">
              <w:r>
                <w:rPr>
                  <w:rStyle w:val="InternetLink"/>
                  <w:rFonts w:ascii="Times New Roman" w:hAnsi="Times New Roman"/>
                  <w:color w:val="0000FF"/>
                  <w:sz w:val="20"/>
                  <w:u w:val="single"/>
                </w:rPr>
                <w:t>Form of Nonqualified Stock Option Agreement under Humacyte, Inc. 2005 Stock Option Plan (incorporated by reference to Exhibit 10.18.5 to Humacyte, Inc.’s Registration Statement on S–4, filed with the SEC on March 23, 2021).</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83" w:type="dxa"/>
            <w:tcBorders/>
            <w:shd w:fill="FFFFFF" w:val="clear"/>
            <w:vAlign w:val="center"/>
          </w:tcPr>
          <w:p>
            <w:pPr>
              <w:pStyle w:val="TableContents"/>
              <w:bidi w:val="0"/>
              <w:spacing w:before="0" w:after="283"/>
              <w:jc w:val="left"/>
              <w:rPr>
                <w:sz w:val="4"/>
                <w:szCs w:val="4"/>
              </w:rPr>
            </w:pPr>
            <w:r>
              <w:rPr>
                <w:sz w:val="4"/>
                <w:szCs w:val="4"/>
              </w:rPr>
            </w:r>
          </w:p>
        </w:tc>
      </w:tr>
      <w:tr>
        <w:trPr/>
        <w:tc>
          <w:tcPr>
            <w:tcW w:w="77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69">
              <w:r>
                <w:rPr>
                  <w:rStyle w:val="InternetLink"/>
                  <w:rFonts w:ascii="Times New Roman" w:hAnsi="Times New Roman"/>
                  <w:color w:val="0000FF"/>
                  <w:sz w:val="20"/>
                  <w:u w:val="single"/>
                </w:rPr>
                <w:t>Humacyte, Inc. 2015 Omnibus Incentive Plan (incorporated by reference to Exhibit 10.19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10.17.1+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0">
              <w:r>
                <w:rPr>
                  <w:rStyle w:val="InternetLink"/>
                  <w:rFonts w:ascii="Times New Roman" w:hAnsi="Times New Roman"/>
                  <w:color w:val="0000FF"/>
                  <w:sz w:val="20"/>
                  <w:u w:val="single"/>
                </w:rPr>
                <w:t>First Amendment to Humacyte, Inc. 2015 Omnibus Incentive Plan, dated February 23, 2018 (incorporated by reference to Exhibit 10.19.1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10.17.2+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1">
              <w:r>
                <w:rPr>
                  <w:rStyle w:val="InternetLink"/>
                  <w:rFonts w:ascii="Times New Roman" w:hAnsi="Times New Roman"/>
                  <w:color w:val="0000FF"/>
                  <w:sz w:val="20"/>
                  <w:u w:val="single"/>
                </w:rPr>
                <w:t>Second Amendment to Humacyte, Inc. 2015 Omnibus Incentive Plan, dated June 6, 2018 (incorporated by reference to Exhibit 10.19.2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10.17.3+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2">
              <w:r>
                <w:rPr>
                  <w:rStyle w:val="InternetLink"/>
                  <w:rFonts w:ascii="Times New Roman" w:hAnsi="Times New Roman"/>
                  <w:color w:val="0000FF"/>
                  <w:sz w:val="20"/>
                  <w:u w:val="single"/>
                </w:rPr>
                <w:t>Form of Incentive Stock Option Agreement under Humacyte, Inc. 2015 Omnibus Incentive Plan (incorporated by reference to Exhibit 10.19.3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10.17.4+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3">
              <w:r>
                <w:rPr>
                  <w:rStyle w:val="InternetLink"/>
                  <w:rFonts w:ascii="Times New Roman" w:hAnsi="Times New Roman"/>
                  <w:color w:val="0000FF"/>
                  <w:sz w:val="20"/>
                  <w:u w:val="single"/>
                </w:rPr>
                <w:t>Form of Nonqualified Stock Option Agreement under Humacyte, Inc. 2015 Omnibus Incentive Plan (incorporated by reference to Exhibit 10.19.4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4">
              <w:r>
                <w:rPr>
                  <w:rStyle w:val="InternetLink"/>
                  <w:rFonts w:ascii="Times New Roman" w:hAnsi="Times New Roman"/>
                  <w:color w:val="0000FF"/>
                  <w:sz w:val="20"/>
                  <w:u w:val="single"/>
                </w:rPr>
                <w:t>Form of Indemnity Agreement by and between Humacyte, Inc. and each of its directors and executive officers (incorporated by reference to Exhibit 10.23 to Humacyte, Inc.’s Registration Statement on S–4/A, filed with the SEC on July 1,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5">
              <w:r>
                <w:rPr>
                  <w:rStyle w:val="InternetLink"/>
                  <w:rFonts w:ascii="Times New Roman" w:hAnsi="Times New Roman"/>
                  <w:color w:val="0000FF"/>
                  <w:sz w:val="20"/>
                  <w:u w:val="single"/>
                </w:rPr>
                <w:t>Lease Agreement, dated December 31, 2015, between ARE–NC Region No. 5, LLC and Humacyte, Inc. (incorporated by reference to Exhibit 10.22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6">
              <w:r>
                <w:rPr>
                  <w:rStyle w:val="InternetLink"/>
                  <w:rFonts w:ascii="Times New Roman" w:hAnsi="Times New Roman"/>
                  <w:color w:val="0000FF"/>
                  <w:sz w:val="20"/>
                  <w:u w:val="single"/>
                </w:rPr>
                <w:t>First Amendment to Lease, dated September 30, 2016, between ARE–NC Region No. 5, LLC and Humacyte, Inc. (incorporated by reference to Exhibit 10.22.1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7">
              <w:r>
                <w:rPr>
                  <w:rStyle w:val="InternetLink"/>
                  <w:rFonts w:ascii="Times New Roman" w:hAnsi="Times New Roman"/>
                  <w:color w:val="0000FF"/>
                  <w:sz w:val="20"/>
                  <w:u w:val="single"/>
                </w:rPr>
                <w:t>Second Amendment to Lease, dated February 8, 2017, between ARE–NC Region No. 5, LLC and Humacyte, Inc. (incorporated by reference to Exhibit 10.22.2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8">
              <w:r>
                <w:rPr>
                  <w:rStyle w:val="InternetLink"/>
                  <w:rFonts w:ascii="Times New Roman" w:hAnsi="Times New Roman"/>
                  <w:color w:val="0000FF"/>
                  <w:sz w:val="20"/>
                  <w:u w:val="single"/>
                </w:rPr>
                <w:t>Third Amendment to Lease, dated April 21, 2017, between ARE–NC Region No. 5, LLC and Humacyte, Inc. (incorporated by reference to Exhibit 10.22.3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79">
              <w:r>
                <w:rPr>
                  <w:rStyle w:val="InternetLink"/>
                  <w:rFonts w:ascii="Times New Roman" w:hAnsi="Times New Roman"/>
                  <w:color w:val="0000FF"/>
                  <w:sz w:val="20"/>
                  <w:u w:val="single"/>
                </w:rPr>
                <w:t>Fourth Amendment to Lease, dated October 31, 2017, between ARE–NC Region No. 5, LLC and Humacyte, Inc. (incorporated by reference to Exhibit 10.22.4 to Humacyte, Inc.’s Registration Statement on S–4, filed with the SEC on March 23, 2021).</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Fifth Amendment to Lease, dated September 4, 2019, between ARE–NC Region No. 5, LLC and Humacyte, Inc. (incorporated by reference to Exhibit 10.2 to Humacyte, Inc.’s Quarterly Report on Form 10-Q, filed with the SEC on November 12, 2025).</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Sixth Amendment to Lease, dated September 29, 2025, between ARE–NC Region No. 5, LLC and Humacyte, Inc. (incorporated by reference to Exhibit 10.3 to Humacyte, Inc.’s Quarterly Report on Form 10-Q, filed with the SEC on November 12, 2025).</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r:id="rId82">
              <w:r>
                <w:rPr>
                  <w:rStyle w:val="InternetLink"/>
                  <w:rFonts w:ascii="Times New Roman" w:hAnsi="Times New Roman"/>
                  <w:color w:val="0000FF"/>
                  <w:sz w:val="20"/>
                  <w:u w:val="single"/>
                </w:rPr>
                <w:t>Insider Trading Policy (incorporated by reference to Exhibit 19.1 to Humacyte, Inc.’s Annual Report on Form 10-K, filed with the SEC on March 31, 2025).</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w:anchor="huma-ex21_1.htm">
              <w:r>
                <w:rPr>
                  <w:rStyle w:val="InternetLink"/>
                  <w:rFonts w:ascii="Times New Roman" w:hAnsi="Times New Roman"/>
                  <w:color w:val="0000FF"/>
                  <w:sz w:val="20"/>
                  <w:u w:val="single"/>
                </w:rPr>
                <w:t>Subsidiaries of the Registrant</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left"/>
              <w:rPr/>
            </w:pPr>
            <w:hyperlink w:anchor="huma-ex23_1.htm">
              <w:r>
                <w:rPr>
                  <w:rStyle w:val="InternetLink"/>
                  <w:rFonts w:ascii="Times New Roman" w:hAnsi="Times New Roman"/>
                  <w:color w:val="0000FF"/>
                  <w:sz w:val="20"/>
                  <w:u w:val="single"/>
                </w:rPr>
                <w:t>Consent of PricewaterhouseCoopers LLP.</w:t>
              </w:r>
            </w:hyperlink>
          </w:p>
        </w:tc>
      </w:tr>
      <w:tr>
        <w:trPr/>
        <w:tc>
          <w:tcPr>
            <w:tcW w:w="77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83" w:type="dxa"/>
            <w:tcBorders/>
            <w:tcMar>
              <w:top w:w="0" w:type="dxa"/>
              <w:left w:w="0" w:type="dxa"/>
              <w:bottom w:w="0" w:type="dxa"/>
              <w:right w:w="0" w:type="dxa"/>
            </w:tcMar>
            <w:vAlign w:val="center"/>
          </w:tcPr>
          <w:p>
            <w:pPr>
              <w:pStyle w:val="TableContents"/>
              <w:bidi w:val="0"/>
              <w:spacing w:before="40" w:after="40"/>
              <w:jc w:val="both"/>
              <w:rPr/>
            </w:pPr>
            <w:hyperlink w:anchor="huma-ex31_1.htm">
              <w:r>
                <w:rPr>
                  <w:rStyle w:val="InternetLink"/>
                  <w:rFonts w:ascii="Times New Roman" w:hAnsi="Times New Roman"/>
                  <w:color w:val="0000FF"/>
                  <w:sz w:val="20"/>
                  <w:u w:val="single"/>
                </w:rPr>
                <w:t>Certification of Chief Executive Officer pursuant to Rules 13a-14(a) and 15d-14(a) under the Securities Exchange Act of 1934, as adopted pursuant to Section 302 of the Sarbanes-Oxley Act of 2002</w:t>
              </w:r>
            </w:hyperlink>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52"/>
        <w:gridCol w:w="146"/>
        <w:gridCol w:w="9407"/>
      </w:tblGrid>
      <w:tr>
        <w:trPr/>
        <w:tc>
          <w:tcPr>
            <w:tcW w:w="6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07" w:type="dxa"/>
            <w:tcBorders/>
            <w:shd w:fill="FFFFFF" w:val="clear"/>
            <w:vAlign w:val="center"/>
          </w:tcPr>
          <w:p>
            <w:pPr>
              <w:pStyle w:val="TableContents"/>
              <w:bidi w:val="0"/>
              <w:spacing w:before="0" w:after="283"/>
              <w:jc w:val="left"/>
              <w:rPr>
                <w:sz w:val="4"/>
                <w:szCs w:val="4"/>
              </w:rPr>
            </w:pPr>
            <w:r>
              <w:rPr>
                <w:sz w:val="4"/>
                <w:szCs w:val="4"/>
              </w:rPr>
            </w:r>
          </w:p>
        </w:tc>
      </w:tr>
      <w:tr>
        <w:trPr/>
        <w:tc>
          <w:tcPr>
            <w:tcW w:w="65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5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7" w:type="dxa"/>
            <w:tcBorders/>
            <w:tcMar>
              <w:top w:w="0" w:type="dxa"/>
              <w:left w:w="0" w:type="dxa"/>
              <w:bottom w:w="0" w:type="dxa"/>
              <w:right w:w="0" w:type="dxa"/>
            </w:tcMar>
            <w:vAlign w:val="center"/>
          </w:tcPr>
          <w:p>
            <w:pPr>
              <w:pStyle w:val="TableContents"/>
              <w:bidi w:val="0"/>
              <w:spacing w:before="40" w:after="40"/>
              <w:jc w:val="both"/>
              <w:rPr/>
            </w:pPr>
            <w:hyperlink w:anchor="huma-ex31_2.htm">
              <w:r>
                <w:rPr>
                  <w:rStyle w:val="InternetLink"/>
                  <w:rFonts w:ascii="Times New Roman" w:hAnsi="Times New Roman"/>
                  <w:color w:val="0000FF"/>
                  <w:sz w:val="20"/>
                  <w:u w:val="single"/>
                </w:rPr>
                <w:t>Certification of Chief Financial Officer pursuant to Rules 13a-14(a) and 15d-14(a) under the Securities Exchange Act of 1934, as adopted pursuant to Section 302 of the Sarbanes-Oxley Act of 2002</w:t>
              </w:r>
            </w:hyperlink>
            <w:r>
              <w:rPr>
                <w:rFonts w:ascii="Times New Roman" w:hAnsi="Times New Roman"/>
                <w:color w:val="000000"/>
                <w:sz w:val="20"/>
              </w:rPr>
              <w:t>.</w:t>
            </w:r>
          </w:p>
        </w:tc>
      </w:tr>
      <w:tr>
        <w:trPr/>
        <w:tc>
          <w:tcPr>
            <w:tcW w:w="65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7" w:type="dxa"/>
            <w:tcBorders/>
            <w:tcMar>
              <w:top w:w="0" w:type="dxa"/>
              <w:left w:w="0" w:type="dxa"/>
              <w:bottom w:w="0" w:type="dxa"/>
              <w:right w:w="0" w:type="dxa"/>
            </w:tcMar>
            <w:vAlign w:val="center"/>
          </w:tcPr>
          <w:p>
            <w:pPr>
              <w:pStyle w:val="TableContents"/>
              <w:bidi w:val="0"/>
              <w:spacing w:before="40" w:after="40"/>
              <w:jc w:val="both"/>
              <w:rPr/>
            </w:pPr>
            <w:hyperlink w:anchor="huma-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65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7" w:type="dxa"/>
            <w:tcBorders/>
            <w:tcMar>
              <w:top w:w="0" w:type="dxa"/>
              <w:left w:w="0" w:type="dxa"/>
              <w:bottom w:w="0" w:type="dxa"/>
              <w:right w:w="0" w:type="dxa"/>
            </w:tcMar>
            <w:vAlign w:val="center"/>
          </w:tcPr>
          <w:p>
            <w:pPr>
              <w:pStyle w:val="TableContents"/>
              <w:bidi w:val="0"/>
              <w:spacing w:before="40" w:after="40"/>
              <w:jc w:val="both"/>
              <w:rPr/>
            </w:pPr>
            <w:hyperlink w:anchor="huma-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r>
              <w:rPr>
                <w:rFonts w:ascii="Times New Roman" w:hAnsi="Times New Roman"/>
                <w:color w:val="000000"/>
                <w:sz w:val="20"/>
              </w:rPr>
              <w:t>.</w:t>
            </w:r>
          </w:p>
        </w:tc>
      </w:tr>
      <w:tr>
        <w:trPr/>
        <w:tc>
          <w:tcPr>
            <w:tcW w:w="65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7" w:type="dxa"/>
            <w:tcBorders/>
            <w:tcMar>
              <w:top w:w="0" w:type="dxa"/>
              <w:left w:w="0" w:type="dxa"/>
              <w:bottom w:w="0" w:type="dxa"/>
              <w:right w:w="0" w:type="dxa"/>
            </w:tcMar>
            <w:vAlign w:val="center"/>
          </w:tcPr>
          <w:p>
            <w:pPr>
              <w:pStyle w:val="TableContents"/>
              <w:bidi w:val="0"/>
              <w:spacing w:before="40" w:after="40"/>
              <w:jc w:val="left"/>
              <w:rPr/>
            </w:pPr>
            <w:hyperlink r:id="rId83">
              <w:r>
                <w:rPr>
                  <w:rStyle w:val="InternetLink"/>
                  <w:rFonts w:ascii="Times New Roman" w:hAnsi="Times New Roman"/>
                  <w:color w:val="0000FF"/>
                  <w:sz w:val="20"/>
                  <w:u w:val="single"/>
                </w:rPr>
                <w:t>Humacyte, Inc. Compensation Clawback Policy,</w:t>
              </w:r>
            </w:hyperlink>
            <w:hyperlink r:id="rId84">
              <w:r>
                <w:rPr>
                  <w:rStyle w:val="InternetLink"/>
                  <w:rFonts w:ascii="Times New Roman" w:hAnsi="Times New Roman"/>
                  <w:color w:val="0000FF"/>
                  <w:sz w:val="20"/>
                </w:rPr>
                <w:t xml:space="preserve"> </w:t>
              </w:r>
            </w:hyperlink>
            <w:hyperlink r:id="rId85">
              <w:r>
                <w:rPr>
                  <w:rStyle w:val="InternetLink"/>
                  <w:rFonts w:ascii="Times New Roman" w:hAnsi="Times New Roman"/>
                  <w:color w:val="0000FF"/>
                  <w:sz w:val="20"/>
                  <w:u w:val="single"/>
                </w:rPr>
                <w:t>(incorporated by reference to Exhibit 97 to Humacyte, Inc.’s Annual Report on Form 10-K filed with the SEC on March 28, 2024).</w:t>
              </w:r>
            </w:hyperlink>
          </w:p>
        </w:tc>
      </w:tr>
      <w:tr>
        <w:trPr/>
        <w:tc>
          <w:tcPr>
            <w:tcW w:w="65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7"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following materials from Humacyte, Inc.’s Annual Report on Form 10-K for the year ended December 31, 2025, formatted in Inline XBRL (Inline eXtensible Business Reporting Language): (i) Consolidated Balance Sheets as of December 31, 2025 and 2024, (ii) Consolidated Statements of Operations and Comprehensive Loss for the years ended December 31, 2025 and 2024, (iii) Consolidated Statements of Changes in Stockholders’ Equity (Deficit) for the years ended December 31, 2025 and 2024, (iv) Consolidated Statements of Cash Flows for the years ended December 31, 2025 and 2024, and (v) Notes to Consolidated Financial Statements.</w:t>
            </w:r>
          </w:p>
        </w:tc>
      </w:tr>
      <w:tr>
        <w:trPr/>
        <w:tc>
          <w:tcPr>
            <w:tcW w:w="65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07"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Filed herewith.</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Certain personally identifiable information, marked by brackets and asterisks, has been omitted from this exhibit pursuant to Item 601(a)(6) of Regulation S-K.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Annexes, schedules and exhibits have been omitted pursuant to Item 601(b)(2) of Regulation S-K. The registrant agrees to furnish supplementally a copy of any omitted attachment to the Securities and Exchange Commission on a confidential basis upon request.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Certain confidential information contained in this exhibit, market by brackets, has been omitted because the information (i) is not material and (ii) is the type of information the company both customarily and actually treats as private or confidential.</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Management contract or compensatory plan or arrangement.</w:t>
      </w:r>
    </w:p>
    <w:p>
      <w:pPr>
        <w:pStyle w:val="TextBody"/>
        <w:bidi w:val="0"/>
        <w:spacing w:before="200" w:after="283"/>
        <w:jc w:val="left"/>
        <w:rPr>
          <w:rFonts w:ascii="Times New Roman" w:hAnsi="Times New Roman"/>
          <w:b/>
          <w:color w:val="231F20"/>
          <w:sz w:val="20"/>
        </w:rPr>
      </w:pPr>
      <w:bookmarkStart w:id="55" w:name="form10k_summary"/>
      <w:bookmarkEnd w:id="55"/>
      <w:r>
        <w:rPr>
          <w:rFonts w:ascii="Times New Roman" w:hAnsi="Times New Roman"/>
          <w:b/>
          <w:color w:val="231F20"/>
          <w:sz w:val="20"/>
        </w:rPr>
        <w:t>Item 16. Form 10-K Summary.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pPr>
      <w:r>
        <w:rPr/>
        <w:t> </w:t>
      </w:r>
    </w:p>
    <w:p>
      <w:pPr>
        <w:pStyle w:val="TextBody"/>
        <w:bidi w:val="0"/>
        <w:jc w:val="center"/>
        <w:rPr>
          <w:rFonts w:ascii="Times New Roman" w:hAnsi="Times New Roman"/>
          <w:b/>
          <w:color w:val="231F20"/>
          <w:sz w:val="20"/>
        </w:rPr>
      </w:pPr>
      <w:bookmarkStart w:id="56" w:name="signatures"/>
      <w:bookmarkEnd w:id="56"/>
      <w:r>
        <w:rPr>
          <w:rFonts w:ascii="Times New Roman" w:hAnsi="Times New Roman"/>
          <w:b/>
          <w:color w:val="231F20"/>
          <w:sz w:val="20"/>
        </w:rPr>
        <w:t>SIGNATURES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Pursuant to the requirements of Section 13 or 15(d) of the Securities Act of 1934, as amended, the registrant has duly caused this Annual Report on Form 10-K to be signed on its behalf by the undersigned, thereunto duly authorized.</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1891"/>
        <w:gridCol w:w="406"/>
        <w:gridCol w:w="370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HUMACYTE,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Laura E. Niklason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Laura E. Niklason, M.D., Ph.D.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Date: March 27,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Pursuant to the requirements of the Securities Exchange Act of 1934, as amended, this Annual Report has been signed below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9"/>
        <w:gridCol w:w="146"/>
        <w:gridCol w:w="5707"/>
        <w:gridCol w:w="146"/>
        <w:gridCol w:w="1315"/>
        <w:gridCol w:w="192"/>
      </w:tblGrid>
      <w:tr>
        <w:trPr/>
        <w:tc>
          <w:tcPr>
            <w:tcW w:w="2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Laura E. Niklason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E. Niklason,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Dale A. Sander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Chief Corporate Development Officer and Treasurer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Dale A. Sander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Kathleen Sebelius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Sebelius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Bamforth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Bamforth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Emery N. Brown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Emery N. Brown,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T. Constantino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T. Constantino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Brady W. Dougan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Brady W. Dougan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 Bruce Green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Bruce Green,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Anthony Jones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Anthony Jones,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M. Pope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M. Pope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Diane Seimetz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Diane Seimetz,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Max Wallace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 Wallace, J.D.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Susan Windham-Bannister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2026</w:t>
            </w:r>
          </w:p>
        </w:tc>
        <w:tc>
          <w:tcPr>
            <w:tcW w:w="192" w:type="dxa"/>
            <w:tcBorders/>
          </w:tcPr>
          <w:p>
            <w:pPr>
              <w:pStyle w:val="TableContents"/>
              <w:bidi w:val="0"/>
              <w:spacing w:before="0" w:after="283"/>
              <w:jc w:val="left"/>
              <w:rPr>
                <w:sz w:val="4"/>
                <w:szCs w:val="4"/>
              </w:rPr>
            </w:pPr>
            <w:r>
              <w:rPr>
                <w:sz w:val="4"/>
                <w:szCs w:val="4"/>
              </w:rPr>
            </w:r>
          </w:p>
        </w:tc>
      </w:tr>
      <w:tr>
        <w:trPr/>
        <w:tc>
          <w:tcPr>
            <w:tcW w:w="2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Windham-Bannister,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190</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b/>
          <w:color w:val="000000"/>
          <w:sz w:val="20"/>
        </w:rPr>
      </w:pPr>
      <w:bookmarkStart w:id="57" w:name="huma-ex3_1.htm"/>
      <w:bookmarkStart w:id="58" w:name="kshumaex3_1"/>
      <w:bookmarkEnd w:id="57"/>
      <w:bookmarkEnd w:id="58"/>
      <w:r>
        <w:rPr>
          <w:rFonts w:ascii="Times New Roman" w:hAnsi="Times New Roman"/>
          <w:b/>
          <w:color w:val="000000"/>
          <w:sz w:val="20"/>
        </w:rPr>
        <w:t>Exhibit 3.1</w:t>
      </w:r>
      <w:r>
        <w:br w:type="page"/>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SECOND AMENDED AND RESTATED CERTIFICATE OF INCORPORATION OF</w:t>
      </w:r>
    </w:p>
    <w:p>
      <w:pPr>
        <w:pStyle w:val="TextBody"/>
        <w:bidi w:val="0"/>
        <w:jc w:val="center"/>
        <w:rPr>
          <w:rFonts w:ascii="Times New Roman" w:hAnsi="Times New Roman"/>
          <w:b/>
          <w:color w:val="000000"/>
          <w:sz w:val="20"/>
        </w:rPr>
      </w:pPr>
      <w:r>
        <w:rPr>
          <w:rFonts w:ascii="Times New Roman" w:hAnsi="Times New Roman"/>
          <w:b/>
          <w:color w:val="000000"/>
          <w:sz w:val="20"/>
        </w:rPr>
        <w:t>ALPHA HEALTHCARE ACQUISITION CORP.</w:t>
      </w:r>
    </w:p>
    <w:p>
      <w:pPr>
        <w:pStyle w:val="TextBody"/>
        <w:bidi w:val="0"/>
        <w:jc w:val="left"/>
        <w:rPr/>
      </w:pPr>
      <w:r>
        <w:rPr/>
        <w:t> </w:t>
      </w:r>
    </w:p>
    <w:p>
      <w:pPr>
        <w:pStyle w:val="TextBody"/>
        <w:bidi w:val="0"/>
        <w:spacing w:before="1" w:after="283"/>
        <w:jc w:val="center"/>
        <w:rPr>
          <w:rFonts w:ascii="Times New Roman" w:hAnsi="Times New Roman"/>
          <w:color w:val="000000"/>
          <w:sz w:val="20"/>
        </w:rPr>
      </w:pPr>
      <w:r>
        <w:rPr>
          <w:rFonts w:ascii="Times New Roman" w:hAnsi="Times New Roman"/>
          <w:color w:val="000000"/>
          <w:sz w:val="20"/>
        </w:rPr>
        <w:t>August 26, 2021</w:t>
      </w:r>
    </w:p>
    <w:p>
      <w:pPr>
        <w:pStyle w:val="TextBody"/>
        <w:bidi w:val="0"/>
        <w:spacing w:before="228" w:after="283"/>
        <w:jc w:val="left"/>
        <w:rPr>
          <w:rFonts w:ascii="Times New Roman" w:hAnsi="Times New Roman"/>
          <w:sz w:val="20"/>
        </w:rPr>
      </w:pPr>
      <w:r>
        <w:rPr>
          <w:rFonts w:ascii="Times New Roman" w:hAnsi="Times New Roman"/>
          <w:color w:val="000000"/>
          <w:sz w:val="20"/>
        </w:rPr>
        <w:t>Alpha Healthcare Acquisition Corp., a corporation organized and existing under the laws of the State of Delaware (the “</w:t>
      </w:r>
      <w:r>
        <w:rPr>
          <w:rFonts w:ascii="Times New Roman" w:hAnsi="Times New Roman"/>
          <w:b/>
          <w:i/>
          <w:color w:val="000000"/>
          <w:sz w:val="20"/>
        </w:rPr>
        <w:t>Corporation</w:t>
      </w:r>
      <w:r>
        <w:rPr>
          <w:rFonts w:ascii="Times New Roman" w:hAnsi="Times New Roman"/>
          <w:color w:val="000000"/>
          <w:sz w:val="20"/>
        </w:rPr>
        <w:t>”), DOES HEREBY CERTIFY AS FOLLOWS:</w:t>
      </w:r>
    </w:p>
    <w:p>
      <w:pPr>
        <w:pStyle w:val="TextBody"/>
        <w:bidi w:val="0"/>
        <w:spacing w:before="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name of the Corporation is “</w:t>
      </w:r>
      <w:r>
        <w:rPr>
          <w:rFonts w:ascii="Times New Roman" w:hAnsi="Times New Roman"/>
          <w:b/>
          <w:i/>
          <w:color w:val="000000"/>
          <w:sz w:val="20"/>
        </w:rPr>
        <w:t>Alpha Healthcare Acquisition Corp.</w:t>
      </w:r>
      <w:r>
        <w:rPr>
          <w:color w:val="000000"/>
        </w:rPr>
        <w:t>”</w:t>
      </w:r>
      <w:r>
        <w:rPr>
          <w:rFonts w:ascii="Times New Roman" w:hAnsi="Times New Roman"/>
          <w:color w:val="000000"/>
          <w:sz w:val="20"/>
        </w:rPr>
        <w:t>. The original certificate of incorporation of the Corporation was filed with the Secretary of State of the State of Delaware on July 1, 2020 (the “</w:t>
      </w:r>
      <w:r>
        <w:rPr>
          <w:rFonts w:ascii="Times New Roman" w:hAnsi="Times New Roman"/>
          <w:b/>
          <w:i/>
          <w:color w:val="000000"/>
          <w:sz w:val="20"/>
        </w:rPr>
        <w:t>Original Certificate</w:t>
      </w:r>
      <w:r>
        <w:rPr>
          <w:color w:val="000000"/>
        </w:rPr>
        <w:t>”</w:t>
      </w:r>
      <w:r>
        <w:rPr>
          <w:rFonts w:ascii="Times New Roman" w:hAnsi="Times New Roman"/>
          <w:color w:val="000000"/>
          <w:sz w:val="20"/>
        </w:rPr>
        <w:t>). The Corporation filed an amended and restated certificate of incorporation with the Secretary of State of the State of Delaware on September 17, 2020 (the “</w:t>
      </w:r>
      <w:r>
        <w:rPr>
          <w:rFonts w:ascii="Times New Roman" w:hAnsi="Times New Roman"/>
          <w:b/>
          <w:i/>
          <w:color w:val="000000"/>
          <w:sz w:val="20"/>
        </w:rPr>
        <w:t>Existing Certificate</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rPr>
        <w:t>This Second Amended and Restated Certificate of Incorporation (the “</w:t>
      </w:r>
      <w:r>
        <w:rPr>
          <w:rFonts w:ascii="Times New Roman" w:hAnsi="Times New Roman"/>
          <w:b/>
          <w:i/>
          <w:color w:val="000000"/>
          <w:sz w:val="20"/>
        </w:rPr>
        <w:t>Amended and Restated Certificate</w:t>
      </w:r>
      <w:r>
        <w:rPr>
          <w:color w:val="000000"/>
        </w:rPr>
        <w:t>”</w:t>
      </w:r>
      <w:r>
        <w:rPr>
          <w:rFonts w:ascii="Times New Roman" w:hAnsi="Times New Roman"/>
          <w:color w:val="000000"/>
          <w:sz w:val="20"/>
        </w:rPr>
        <w:t>), which both restates and amends the provisions of the Existing Certificate, was duly adopted in accordance with Sections 242 and 245 of the General Corporation Law of the State of Delaware, as amended from time to time (the “</w:t>
      </w:r>
      <w:r>
        <w:rPr>
          <w:rFonts w:ascii="Times New Roman" w:hAnsi="Times New Roman"/>
          <w:b/>
          <w:i/>
          <w:color w:val="000000"/>
          <w:sz w:val="20"/>
        </w:rPr>
        <w:t>DGCL</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This Amended and Restated Certificate shall become effective on the date of filing with Secretary of State of Delaware.</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text of the Existing Certificate is hereby restated and amended in its entirety to read as follows:</w:t>
      </w:r>
    </w:p>
    <w:p>
      <w:pPr>
        <w:pStyle w:val="Heading1"/>
        <w:bidi w:val="0"/>
        <w:spacing w:before="229" w:after="283"/>
        <w:jc w:val="center"/>
        <w:rPr>
          <w:rFonts w:ascii="Times New Roman" w:hAnsi="Times New Roman"/>
          <w:color w:val="000000"/>
          <w:sz w:val="20"/>
        </w:rPr>
      </w:pPr>
      <w:r>
        <w:rPr>
          <w:rFonts w:ascii="Times New Roman" w:hAnsi="Times New Roman"/>
          <w:color w:val="000000"/>
          <w:sz w:val="20"/>
        </w:rPr>
        <w:t>ARTICLE I NAME</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The name of the corporation is Humacyte, Inc. (the “</w:t>
      </w:r>
      <w:r>
        <w:rPr>
          <w:rFonts w:ascii="Times New Roman" w:hAnsi="Times New Roman"/>
          <w:b/>
          <w:i/>
          <w:color w:val="000000"/>
          <w:sz w:val="20"/>
        </w:rPr>
        <w:t>Corporation</w:t>
      </w:r>
      <w:r>
        <w:rPr>
          <w:rFonts w:ascii="Times New Roman" w:hAnsi="Times New Roman"/>
          <w:color w:val="000000"/>
          <w:sz w:val="20"/>
        </w:rPr>
        <w:t>”).</w:t>
      </w:r>
    </w:p>
    <w:p>
      <w:pPr>
        <w:pStyle w:val="Heading1"/>
        <w:bidi w:val="0"/>
        <w:spacing w:before="229" w:after="283"/>
        <w:jc w:val="center"/>
        <w:rPr>
          <w:rFonts w:ascii="Times New Roman" w:hAnsi="Times New Roman"/>
          <w:color w:val="000000"/>
          <w:sz w:val="20"/>
        </w:rPr>
      </w:pPr>
      <w:r>
        <w:rPr>
          <w:rFonts w:ascii="Times New Roman" w:hAnsi="Times New Roman"/>
          <w:color w:val="000000"/>
          <w:sz w:val="20"/>
        </w:rPr>
        <w:t>ARTICLE II PURPOSE</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purpose of the Corporation is to engage in any lawful act or activity for which corporations may be organized under the DGCL.</w:t>
      </w:r>
    </w:p>
    <w:p>
      <w:pPr>
        <w:pStyle w:val="Heading1"/>
        <w:bidi w:val="0"/>
        <w:spacing w:before="230" w:after="283"/>
        <w:jc w:val="center"/>
        <w:rPr>
          <w:rFonts w:ascii="Times New Roman" w:hAnsi="Times New Roman"/>
          <w:color w:val="000000"/>
          <w:sz w:val="20"/>
        </w:rPr>
      </w:pPr>
      <w:r>
        <w:rPr>
          <w:rFonts w:ascii="Times New Roman" w:hAnsi="Times New Roman"/>
          <w:color w:val="000000"/>
          <w:sz w:val="20"/>
        </w:rPr>
        <w:t>ARTICLE III REGISTERED AGENT</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pStyle w:val="Heading1"/>
        <w:bidi w:val="0"/>
        <w:spacing w:before="230" w:after="283"/>
        <w:jc w:val="center"/>
        <w:rPr>
          <w:rFonts w:ascii="Times New Roman" w:hAnsi="Times New Roman"/>
          <w:color w:val="000000"/>
          <w:sz w:val="20"/>
        </w:rPr>
      </w:pPr>
      <w:r>
        <w:rPr>
          <w:rFonts w:ascii="Times New Roman" w:hAnsi="Times New Roman"/>
          <w:color w:val="000000"/>
          <w:sz w:val="20"/>
        </w:rPr>
        <w:t>ARTICLE IV CAPITALIZATION</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4.1 </w:t>
      </w: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each with a par value of $0.0001 per share, which the Corporation is authorized to issue is 270,000,000 shares, consisting of (a) 250,000,000 shares of common stock (the “</w:t>
      </w:r>
      <w:r>
        <w:rPr>
          <w:rFonts w:ascii="Times New Roman" w:hAnsi="Times New Roman"/>
          <w:b/>
          <w:i/>
          <w:color w:val="000000"/>
          <w:sz w:val="20"/>
        </w:rPr>
        <w:t>Common Stock</w:t>
      </w:r>
      <w:r>
        <w:rPr>
          <w:rFonts w:ascii="Times New Roman" w:hAnsi="Times New Roman"/>
          <w:color w:val="000000"/>
          <w:sz w:val="20"/>
        </w:rPr>
        <w:t>”) and (b) 20,000,000 shares of preferred stock (the “</w:t>
      </w:r>
      <w:r>
        <w:rPr>
          <w:rFonts w:ascii="Times New Roman" w:hAnsi="Times New Roman"/>
          <w:b/>
          <w:i/>
          <w:color w:val="000000"/>
          <w:sz w:val="20"/>
        </w:rPr>
        <w:t>Preferred Stock</w:t>
      </w:r>
      <w:r>
        <w:rPr>
          <w:rFonts w:ascii="Times New Roman" w:hAnsi="Times New Roman"/>
          <w:color w:val="000000"/>
          <w:sz w:val="20"/>
        </w:rPr>
        <w:t>”).</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4.2 </w:t>
      </w:r>
      <w:r>
        <w:rPr>
          <w:rFonts w:ascii="Times New Roman" w:hAnsi="Times New Roman"/>
          <w:color w:val="000000"/>
          <w:sz w:val="20"/>
          <w:u w:val="single"/>
        </w:rPr>
        <w:t>Preferred Stock.</w:t>
      </w:r>
      <w:r>
        <w:rPr>
          <w:rFonts w:ascii="Times New Roman" w:hAnsi="Times New Roman"/>
          <w:color w:val="000000"/>
          <w:sz w:val="20"/>
        </w:rPr>
        <w:t xml:space="preserve"> The Board of Directors of the Corporation (the “</w:t>
      </w:r>
      <w:r>
        <w:rPr>
          <w:rFonts w:ascii="Times New Roman" w:hAnsi="Times New Roman"/>
          <w:b/>
          <w:i/>
          <w:color w:val="000000"/>
          <w:sz w:val="20"/>
        </w:rPr>
        <w:t>Board</w:t>
      </w:r>
      <w:r>
        <w:rPr>
          <w:rFonts w:ascii="Times New Roman" w:hAnsi="Times New Roman"/>
          <w:color w:val="000000"/>
          <w:sz w:val="20"/>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0"/>
        </w:rPr>
        <w:t>such series and any qualifications, limitations and restrictions thereof, as shall be stated in the resolution or resolutions adopted by the Board providing for the issuance of such series and included in a certificate of designation (a “</w:t>
      </w:r>
      <w:r>
        <w:rPr>
          <w:rFonts w:ascii="Times New Roman" w:hAnsi="Times New Roman"/>
          <w:b/>
          <w:i/>
          <w:color w:val="000000"/>
          <w:sz w:val="20"/>
        </w:rPr>
        <w:t>Preferred Stock Designation</w:t>
      </w:r>
      <w:r>
        <w:rPr>
          <w:rFonts w:ascii="Times New Roman" w:hAnsi="Times New Roman"/>
          <w:color w:val="000000"/>
          <w:sz w:val="20"/>
        </w:rPr>
        <w:t>”) filed pursuant to the DGCL, and the Board is hereby expressly vested with the authority to the full extent provided by law, now or hereafter, to adopt any such resolution or resolutions.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4.3 </w:t>
      </w:r>
      <w:r>
        <w:rPr>
          <w:rFonts w:ascii="Times New Roman" w:hAnsi="Times New Roman"/>
          <w:color w:val="000000"/>
          <w:sz w:val="20"/>
          <w:u w:val="single"/>
        </w:rPr>
        <w:t>Common Stock</w:t>
      </w:r>
      <w:r>
        <w:rPr>
          <w:rFonts w:ascii="Times New Roman" w:hAnsi="Times New Roman"/>
          <w:color w:val="000000"/>
          <w:sz w:val="20"/>
        </w:rPr>
        <w:t>.</w:t>
      </w:r>
    </w:p>
    <w:p>
      <w:pPr>
        <w:pStyle w:val="TextBody"/>
        <w:bidi w:val="0"/>
        <w:spacing w:before="228"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28" w:after="283"/>
        <w:jc w:val="left"/>
        <w:rPr/>
      </w:pPr>
      <w:r>
        <w:rPr>
          <w:rFonts w:ascii="Times New Roman" w:hAnsi="Times New Roman"/>
          <w:i/>
          <w:color w:val="000000"/>
          <w:sz w:val="20"/>
        </w:rPr>
        <w:t>Voting</w:t>
      </w:r>
      <w:r>
        <w:rPr>
          <w:rFonts w:ascii="Times New Roman" w:hAnsi="Times New Roman"/>
          <w:color w:val="000000"/>
          <w:sz w:val="20"/>
        </w:rPr>
        <w: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Except as otherwise required by law or this Amended and Restated Certificate (including any Preferred Stock Designation), the holders of the Common Stock shall exclusively possess all voting power with respect to the Corporation.</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Common Stock are entitled to vote.</w:t>
      </w:r>
    </w:p>
    <w:p>
      <w:pPr>
        <w:pStyle w:val="TextBody"/>
        <w:bidi w:val="0"/>
        <w:spacing w:before="3"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Except as otherwise required by law or this Amended and Restated Certificate (including any Preferred Stock Designation), at any annual or special meeting of the stockholders of the Corporation, holders of Common Stock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Common Stock shall not be entitled to vote on any amendment to this Amended and Restated Certificate (including any amendment to any Preferred Stock Designation) that relates solely to the terms of one or more outstanding series of Preferred Stock if the holders of such affected series of Preferred Stock are entitled exclusively, either separately or together with the holders of one or more other such series, to vote thereon pursuant to this Amended and Restated Certificate (including any Preferred Stock Designation) or the DGCL.</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i/>
          <w:color w:val="000000"/>
          <w:sz w:val="20"/>
        </w:rPr>
        <w:t>Dividends</w:t>
      </w:r>
      <w:r>
        <w:rPr>
          <w:rFonts w:ascii="Times New Roman" w:hAnsi="Times New Roman"/>
          <w:color w:val="000000"/>
          <w:sz w:val="20"/>
        </w:rPr>
        <w:t>. Subject to applicable law, the rights, if any, of the holders of any outstanding series of the Preferred Stock,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i/>
          <w:color w:val="000000"/>
          <w:sz w:val="20"/>
        </w:rPr>
        <w:t>Liquidation, Dissolution or Winding Up of the Corporation</w:t>
      </w:r>
      <w:r>
        <w:rPr>
          <w:rFonts w:ascii="Times New Roman" w:hAnsi="Times New Roman"/>
          <w:color w:val="000000"/>
          <w:sz w:val="20"/>
        </w:rPr>
        <w:t>. Subject to applicable law, the rights, if any, of the holders of any 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held by them.</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4.4 </w:t>
      </w:r>
      <w:r>
        <w:rPr>
          <w:rFonts w:ascii="Times New Roman" w:hAnsi="Times New Roman"/>
          <w:color w:val="000000"/>
          <w:sz w:val="20"/>
          <w:u w:val="single"/>
        </w:rPr>
        <w:t>Rights and Options</w:t>
      </w:r>
      <w:r>
        <w:rPr>
          <w:rFonts w:ascii="Times New Roman" w:hAnsi="Times New Roman"/>
          <w:color w:val="000000"/>
          <w:sz w:val="20"/>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pStyle w:val="Heading1"/>
        <w:bidi w:val="0"/>
        <w:spacing w:before="228" w:after="283"/>
        <w:jc w:val="left"/>
        <w:rPr>
          <w:rFonts w:ascii="Times New Roman" w:hAnsi="Times New Roman"/>
          <w:color w:val="000000"/>
          <w:sz w:val="20"/>
        </w:rPr>
      </w:pPr>
      <w:r>
        <w:rPr>
          <w:rFonts w:ascii="Times New Roman" w:hAnsi="Times New Roman"/>
          <w:color w:val="000000"/>
          <w:sz w:val="20"/>
        </w:rPr>
        <w:t>ARTICLE V BOARD OF DIRECTORS</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5.1 </w:t>
      </w:r>
      <w:r>
        <w:rPr>
          <w:rFonts w:ascii="Times New Roman" w:hAnsi="Times New Roman"/>
          <w:color w:val="000000"/>
          <w:sz w:val="20"/>
          <w:u w:val="single"/>
        </w:rPr>
        <w:t>Board Powers</w:t>
      </w:r>
      <w:r>
        <w:rPr>
          <w:rFonts w:ascii="Times New Roman" w:hAnsi="Times New Roman"/>
          <w:color w:val="000000"/>
          <w:sz w:val="20"/>
        </w:rPr>
        <w:t>. The business and affairs of the Corporation shall be managed by, or under the direction of, the Board. In addition to the powers and authority expressly conferred upon the Board by statute, this Amended and Restated Certificate or the Bylaws of the Corporation (“</w:t>
      </w:r>
      <w:r>
        <w:rPr>
          <w:rFonts w:ascii="Times New Roman" w:hAnsi="Times New Roman"/>
          <w:b/>
          <w:i/>
          <w:color w:val="000000"/>
          <w:sz w:val="20"/>
        </w:rPr>
        <w:t>Bylaws</w:t>
      </w:r>
      <w:r>
        <w:rPr>
          <w:rFonts w:ascii="Times New Roman" w:hAnsi="Times New Roman"/>
          <w:color w:val="000000"/>
          <w:sz w:val="20"/>
        </w:rPr>
        <w:t>”), the Board is hereby empowered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exercise all such powers and do all such acts and things as may be exercised or done by the Corporation, subject, nevertheless, to the provisions of the DGCL, this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5.2 </w:t>
      </w:r>
      <w:r>
        <w:rPr>
          <w:rFonts w:ascii="Times New Roman" w:hAnsi="Times New Roman"/>
          <w:color w:val="000000"/>
          <w:sz w:val="20"/>
          <w:u w:val="single"/>
        </w:rPr>
        <w:t>Number, Election and Term</w:t>
      </w:r>
      <w:r>
        <w:rPr>
          <w:rFonts w:ascii="Times New Roman" w:hAnsi="Times New Roman"/>
          <w:color w:val="000000"/>
          <w:sz w:val="20"/>
        </w:rPr>
        <w:t>.</w:t>
      </w:r>
    </w:p>
    <w:p>
      <w:pPr>
        <w:pStyle w:val="TextBody"/>
        <w:bidi w:val="0"/>
        <w:spacing w:before="228"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28" w:after="283"/>
        <w:jc w:val="left"/>
        <w:rPr>
          <w:rFonts w:ascii="Times New Roman" w:hAnsi="Times New Roman"/>
          <w:color w:val="000000"/>
          <w:sz w:val="20"/>
        </w:rPr>
      </w:pPr>
      <w:r>
        <w:rPr>
          <w:rFonts w:ascii="Times New Roman" w:hAnsi="Times New Roman"/>
          <w:color w:val="000000"/>
          <w:sz w:val="20"/>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pStyle w:val="TextBody"/>
        <w:bidi w:val="0"/>
        <w:spacing w:before="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 xml:space="preserve">Subject to </w:t>
      </w:r>
      <w:r>
        <w:rPr>
          <w:rFonts w:ascii="Times New Roman" w:hAnsi="Times New Roman"/>
          <w:color w:val="000000"/>
          <w:sz w:val="20"/>
          <w:u w:val="single"/>
        </w:rPr>
        <w:t>Section 5.5</w:t>
      </w:r>
      <w:r>
        <w:rPr>
          <w:color w:val="000000"/>
        </w:rPr>
        <w:t xml:space="preserve"> </w:t>
      </w:r>
      <w:r>
        <w:rPr>
          <w:rFonts w:ascii="Times New Roman" w:hAnsi="Times New Roman"/>
          <w:color w:val="000000"/>
          <w:sz w:val="20"/>
        </w:rPr>
        <w:t xml:space="preserve">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 w:hAnsi="Times New Roman"/>
          <w:color w:val="000000"/>
          <w:sz w:val="20"/>
          <w:u w:val="single"/>
        </w:rPr>
        <w:t>Section 5.5</w:t>
      </w:r>
      <w:r>
        <w:rPr>
          <w:color w:val="000000"/>
        </w:rPr>
        <w:t xml:space="preserve"> </w:t>
      </w:r>
      <w:r>
        <w:rPr>
          <w:rFonts w:ascii="Times New Roman" w:hAnsi="Times New Roman"/>
          <w:color w:val="000000"/>
          <w:sz w:val="20"/>
        </w:rPr>
        <w:t>hereof, if the number of directors that constitute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 xml:space="preserve">Subject to </w:t>
      </w:r>
      <w:r>
        <w:rPr>
          <w:rFonts w:ascii="Times New Roman" w:hAnsi="Times New Roman"/>
          <w:color w:val="000000"/>
          <w:sz w:val="20"/>
          <w:u w:val="single"/>
        </w:rPr>
        <w:t>Section 5.5</w:t>
      </w:r>
      <w:r>
        <w:rPr>
          <w:color w:val="000000"/>
        </w:rPr>
        <w:t xml:space="preserve"> </w:t>
      </w:r>
      <w:r>
        <w:rPr>
          <w:rFonts w:ascii="Times New Roman" w:hAnsi="Times New Roman"/>
          <w:color w:val="000000"/>
          <w:sz w:val="20"/>
        </w:rPr>
        <w:t>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Unless and except to the extent that the Bylaws shall so require, the election of directors need not be by written ballot. The holders of shares of Common Stock shall not have cumulative voting rights with regard to election of directors.</w:t>
      </w:r>
    </w:p>
    <w:p>
      <w:pPr>
        <w:pStyle w:val="TextBody"/>
        <w:bidi w:val="0"/>
        <w:spacing w:before="230" w:after="283"/>
        <w:jc w:val="left"/>
        <w:rPr>
          <w:rFonts w:ascii="Times New Roman" w:hAnsi="Times New Roman"/>
          <w:sz w:val="20"/>
        </w:rPr>
      </w:pPr>
      <w:r>
        <w:rPr>
          <w:rFonts w:ascii="Times New Roman" w:hAnsi="Times New Roman"/>
          <w:color w:val="000000"/>
          <w:sz w:val="20"/>
        </w:rPr>
        <w:t xml:space="preserve">Section 5.3 </w:t>
      </w:r>
      <w:r>
        <w:rPr>
          <w:rFonts w:ascii="Times New Roman" w:hAnsi="Times New Roman"/>
          <w:color w:val="000000"/>
          <w:sz w:val="20"/>
          <w:u w:val="single"/>
        </w:rPr>
        <w:t>Newly Created Directorships and Vacancies</w:t>
      </w:r>
      <w:r>
        <w:rPr>
          <w:rFonts w:ascii="Times New Roman" w:hAnsi="Times New Roman"/>
          <w:color w:val="000000"/>
          <w:sz w:val="20"/>
        </w:rPr>
        <w:t xml:space="preserve">. Subject to </w:t>
      </w:r>
      <w:r>
        <w:rPr>
          <w:rFonts w:ascii="Times New Roman" w:hAnsi="Times New Roman"/>
          <w:color w:val="000000"/>
          <w:sz w:val="20"/>
          <w:u w:val="single"/>
        </w:rPr>
        <w:t>Section 5.5</w:t>
      </w:r>
      <w:r>
        <w:rPr>
          <w:rFonts w:ascii="Times New Roman" w:hAnsi="Times New Roman"/>
          <w:color w:val="000000"/>
          <w:sz w:val="20"/>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5.4 </w:t>
      </w:r>
      <w:r>
        <w:rPr>
          <w:rFonts w:ascii="Times New Roman" w:hAnsi="Times New Roman"/>
          <w:color w:val="000000"/>
          <w:sz w:val="20"/>
          <w:u w:val="single"/>
        </w:rPr>
        <w:t>Removal</w:t>
      </w:r>
      <w:r>
        <w:rPr>
          <w:rFonts w:ascii="Times New Roman" w:hAnsi="Times New Roman"/>
          <w:color w:val="000000"/>
          <w:sz w:val="20"/>
        </w:rPr>
        <w:t xml:space="preserve">. Subject to </w:t>
      </w:r>
      <w:r>
        <w:rPr>
          <w:rFonts w:ascii="Times New Roman" w:hAnsi="Times New Roman"/>
          <w:color w:val="000000"/>
          <w:sz w:val="20"/>
          <w:u w:val="single"/>
        </w:rPr>
        <w:t>Section 5.5</w:t>
      </w:r>
      <w:r>
        <w:rPr>
          <w:rFonts w:ascii="Times New Roman" w:hAnsi="Times New Roman"/>
          <w:color w:val="000000"/>
          <w:sz w:val="20"/>
        </w:rPr>
        <w:t xml:space="preserve"> hereof, any or all of the directors may be removed from office at any time, but only for cause and only by the affirmative vote of holders of at least sixty-six and two -thirds percent (66 2/3%) of the voting power of the then outstanding shares of capital stock of the Corporation entitled to vote generally in the election of directors, voting together as a single class.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Section 5.5 </w:t>
      </w:r>
      <w:r>
        <w:rPr>
          <w:rFonts w:ascii="Times New Roman" w:hAnsi="Times New Roman"/>
          <w:color w:val="000000"/>
          <w:sz w:val="20"/>
          <w:u w:val="single"/>
        </w:rPr>
        <w:t>Preferred Stock - Directors</w:t>
      </w:r>
      <w:r>
        <w:rPr>
          <w:rFonts w:ascii="Times New Roman" w:hAnsi="Times New Roman"/>
          <w:color w:val="000000"/>
          <w:sz w:val="20"/>
        </w:rPr>
        <w:t xml:space="preserve">. Notwithstanding any other provision of this </w:t>
      </w:r>
      <w:r>
        <w:rPr>
          <w:rFonts w:ascii="Times New Roman" w:hAnsi="Times New Roman"/>
          <w:i/>
          <w:color w:val="000000"/>
          <w:sz w:val="20"/>
        </w:rPr>
        <w:t>Article V</w:t>
      </w:r>
      <w:r>
        <w:rPr>
          <w:rFonts w:ascii="Times New Roman" w:hAnsi="Times New Roman"/>
          <w:color w:val="000000"/>
          <w:sz w:val="20"/>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hAnsi="Times New Roman"/>
          <w:i/>
          <w:color w:val="000000"/>
          <w:sz w:val="20"/>
        </w:rPr>
        <w:t xml:space="preserve">Article V </w:t>
      </w:r>
      <w:r>
        <w:rPr>
          <w:rFonts w:ascii="Times New Roman" w:hAnsi="Times New Roman"/>
          <w:color w:val="000000"/>
          <w:sz w:val="20"/>
        </w:rPr>
        <w:t>unless expressly provided by such terms.</w:t>
      </w:r>
    </w:p>
    <w:p>
      <w:pPr>
        <w:pStyle w:val="Heading1"/>
        <w:bidi w:val="0"/>
        <w:spacing w:before="229" w:after="283"/>
        <w:jc w:val="center"/>
        <w:rPr>
          <w:rFonts w:ascii="Times New Roman" w:hAnsi="Times New Roman"/>
          <w:color w:val="000000"/>
          <w:sz w:val="20"/>
        </w:rPr>
      </w:pPr>
      <w:r>
        <w:rPr>
          <w:rFonts w:ascii="Times New Roman" w:hAnsi="Times New Roman"/>
          <w:color w:val="000000"/>
          <w:sz w:val="20"/>
        </w:rPr>
        <w:t>ARTICLE VI BYLAWS</w:t>
      </w:r>
    </w:p>
    <w:p>
      <w:pPr>
        <w:pStyle w:val="TextBody"/>
        <w:bidi w:val="0"/>
        <w:spacing w:before="2"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ARTICLE VII</w:t>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SPECIAL MEETINGS OF STOCKHOLDERS; ADVANCE NOTICE; NO ACTION BY WRITTEN CONSENT</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7.1 </w:t>
      </w:r>
      <w:r>
        <w:rPr>
          <w:rFonts w:ascii="Times New Roman" w:hAnsi="Times New Roman"/>
          <w:color w:val="000000"/>
          <w:sz w:val="20"/>
          <w:u w:val="single"/>
        </w:rPr>
        <w:t>Special Meetings</w:t>
      </w:r>
      <w:r>
        <w:rPr>
          <w:rFonts w:ascii="Times New Roman" w:hAnsi="Times New Roman"/>
          <w:color w:val="000000"/>
          <w:sz w:val="20"/>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7.2 </w:t>
      </w:r>
      <w:r>
        <w:rPr>
          <w:rFonts w:ascii="Times New Roman" w:hAnsi="Times New Roman"/>
          <w:color w:val="000000"/>
          <w:sz w:val="20"/>
          <w:u w:val="single"/>
        </w:rPr>
        <w:t>Advance Notice</w:t>
      </w:r>
      <w:r>
        <w:rPr>
          <w:rFonts w:ascii="Times New Roman" w:hAnsi="Times New Roman"/>
          <w:color w:val="000000"/>
          <w:sz w:val="20"/>
        </w:rPr>
        <w:t>. Advance notice of stockholder nominations for the election of directors and of business to be brought by stockholders before any meeting of the stockholders of the Corporation shall be given in the manner provided in the Bylaws.</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7.3 </w:t>
      </w:r>
      <w:r>
        <w:rPr>
          <w:rFonts w:ascii="Times New Roman" w:hAnsi="Times New Roman"/>
          <w:color w:val="000000"/>
          <w:sz w:val="20"/>
          <w:u w:val="single"/>
        </w:rPr>
        <w:t>No Action by Written Consent</w:t>
      </w:r>
      <w:r>
        <w:rPr>
          <w:rFonts w:ascii="Times New Roman" w:hAnsi="Times New Roman"/>
          <w:color w:val="000000"/>
          <w:sz w:val="20"/>
        </w:rPr>
        <w:t>. Any action required or permitted to be taken by the stockholders of the Corporation must be effected by a duly called annual or special meeting of such stockholders and may not be effected by written consent of the stockholders.</w:t>
      </w:r>
    </w:p>
    <w:p>
      <w:pPr>
        <w:pStyle w:val="TextBody"/>
        <w:bidi w:val="0"/>
        <w:spacing w:before="2" w:after="283"/>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ARTICLE VIII</w:t>
      </w:r>
    </w:p>
    <w:p>
      <w:pPr>
        <w:pStyle w:val="TextBody"/>
        <w:bidi w:val="0"/>
        <w:jc w:val="center"/>
        <w:rPr>
          <w:rFonts w:ascii="Times New Roman" w:hAnsi="Times New Roman"/>
          <w:b/>
          <w:color w:val="000000"/>
          <w:sz w:val="20"/>
        </w:rPr>
      </w:pPr>
      <w:r>
        <w:rPr>
          <w:rFonts w:ascii="Times New Roman" w:hAnsi="Times New Roman"/>
          <w:b/>
          <w:color w:val="000000"/>
          <w:sz w:val="20"/>
        </w:rPr>
        <w:t>LIMITED LIABILITY; INDEMNIFICATION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8.1 </w:t>
      </w:r>
      <w:r>
        <w:rPr>
          <w:rFonts w:ascii="Times New Roman" w:hAnsi="Times New Roman"/>
          <w:color w:val="000000"/>
          <w:sz w:val="20"/>
          <w:u w:val="single"/>
        </w:rPr>
        <w:t>Limitation of Director Liability</w:t>
      </w:r>
      <w:r>
        <w:rPr>
          <w:rFonts w:ascii="Times New Roman" w:hAnsi="Times New Roman"/>
          <w:color w:val="000000"/>
          <w:sz w:val="20"/>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they violated their duty of loyalty to the Corporation or its stockholders, acted in bad faith, knowingly or intentionally violated the law, authorized unlawful payments of dividends, unlawful stock purchases or unlawful redemptions, or derived improper personal benefit from their actions as directors. Any amendment, modification or repeal of the foregoing sentence shall not adversely affect any right or protection of a director of the Corporation hereunder in respect of any act or omission occurring prior to the time of such amendment, modification or repeal.</w:t>
      </w:r>
    </w:p>
    <w:p>
      <w:pPr>
        <w:pStyle w:val="TextBody"/>
        <w:bidi w:val="0"/>
        <w:spacing w:before="229" w:after="283"/>
        <w:jc w:val="left"/>
        <w:rPr>
          <w:rFonts w:ascii="Times New Roman" w:hAnsi="Times New Roman"/>
          <w:sz w:val="20"/>
        </w:rPr>
      </w:pPr>
      <w:r>
        <w:rPr>
          <w:rFonts w:ascii="Times New Roman" w:hAnsi="Times New Roman"/>
          <w:color w:val="000000"/>
          <w:sz w:val="20"/>
        </w:rPr>
        <w:t xml:space="preserve">Section 8.2 </w:t>
      </w:r>
      <w:r>
        <w:rPr>
          <w:rFonts w:ascii="Times New Roman" w:hAnsi="Times New Roman"/>
          <w:color w:val="000000"/>
          <w:sz w:val="20"/>
          <w:u w:val="single"/>
        </w:rPr>
        <w:t>Indemnification and Advancement of Expenses</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80" w:after="283"/>
        <w:jc w:val="left"/>
        <w:rPr/>
      </w:pPr>
      <w:r>
        <w:rPr>
          <w:rFonts w:ascii="Times New Roman" w:hAnsi="Times New Roman"/>
          <w:color w:val="000000"/>
          <w:sz w:val="20"/>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b/>
          <w:i/>
          <w:color w:val="000000"/>
          <w:sz w:val="20"/>
        </w:rPr>
        <w:t>proceeding</w:t>
      </w:r>
      <w:r>
        <w:rPr>
          <w:color w:val="000000"/>
        </w:rPr>
        <w:t>”</w:t>
      </w:r>
      <w:r>
        <w:rPr>
          <w:rFonts w:ascii="Times New Roman" w:hAnsi="Times New Roman"/>
          <w:color w:val="000000"/>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hAnsi="Times New Roman"/>
          <w:b/>
          <w:i/>
          <w:color w:val="000000"/>
          <w:sz w:val="20"/>
        </w:rPr>
        <w:t>indemnitee</w:t>
      </w:r>
      <w:r>
        <w:rPr>
          <w:color w:val="000000"/>
        </w:rPr>
        <w:t>”</w:t>
      </w:r>
      <w:r>
        <w:rPr>
          <w:rFonts w:ascii="Times New Roman" w:hAnsi="Times New Roman"/>
          <w:color w:val="000000"/>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 xml:space="preserve">or otherwise. The rights to indemnification and advancement of expenses conferred by 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 xml:space="preserve">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hAnsi="Times New Roman"/>
          <w:color w:val="000000"/>
          <w:sz w:val="20"/>
          <w:u w:val="single"/>
        </w:rPr>
        <w:t>Section 8.2(a)</w:t>
      </w:r>
      <w:r>
        <w:rPr>
          <w:rFonts w:ascii="Times New Roman" w:hAnsi="Times New Roman"/>
          <w:color w:val="000000"/>
          <w:sz w:val="20"/>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 xml:space="preserve">The rights to indemnification and advancement of expenses conferred on any indemnitee by this </w:t>
      </w:r>
      <w:r>
        <w:rPr>
          <w:rFonts w:ascii="Times New Roman" w:hAnsi="Times New Roman"/>
          <w:color w:val="000000"/>
          <w:sz w:val="20"/>
          <w:u w:val="single"/>
        </w:rPr>
        <w:t>Section</w:t>
      </w:r>
    </w:p>
    <w:p>
      <w:pPr>
        <w:pStyle w:val="TextBody"/>
        <w:bidi w:val="0"/>
        <w:jc w:val="left"/>
        <w:rPr>
          <w:rFonts w:ascii="Times New Roman" w:hAnsi="Times New Roman"/>
          <w:sz w:val="20"/>
        </w:rPr>
      </w:pPr>
      <w:r>
        <w:rPr>
          <w:rFonts w:ascii="Times New Roman" w:hAnsi="Times New Roman"/>
          <w:color w:val="000000"/>
          <w:sz w:val="20"/>
          <w:u w:val="single"/>
        </w:rPr>
        <w:t>8.2</w:t>
      </w:r>
      <w:r>
        <w:rPr>
          <w:rFonts w:ascii="Times New Roman" w:hAnsi="Times New Roman"/>
          <w:color w:val="000000"/>
          <w:sz w:val="20"/>
        </w:rPr>
        <w:t xml:space="preserve"> shall not be exclusive of any other rights that any indemnitee may have or hereafter acquire under law, this Amended and Restated Certificate, the Bylaws, an agreement, vote of stockholders or disinterested directors, or otherwise.</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 xml:space="preserve">Any repeal or amendment of 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 xml:space="preserve">by the stockholders of the Corporation or by changes in law, or the adoption of any other provision of this Amended and Restated Certificate inconsistent with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u w:val="single"/>
        </w:rPr>
        <w:t>8.2</w:t>
      </w:r>
      <w:r>
        <w:rPr>
          <w:rFonts w:ascii="Times New Roman" w:hAnsi="Times New Roman"/>
          <w:color w:val="000000"/>
          <w:sz w:val="20"/>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29" w:after="283"/>
        <w:jc w:val="left"/>
        <w:rPr/>
      </w:pPr>
      <w:r>
        <w:rPr>
          <w:rFonts w:ascii="Times New Roman" w:hAnsi="Times New Roman"/>
          <w:color w:val="000000"/>
          <w:sz w:val="20"/>
        </w:rPr>
        <w:t xml:space="preserve">This </w:t>
      </w:r>
      <w:r>
        <w:rPr>
          <w:rFonts w:ascii="Times New Roman" w:hAnsi="Times New Roman"/>
          <w:color w:val="000000"/>
          <w:sz w:val="20"/>
          <w:u w:val="single"/>
        </w:rPr>
        <w:t>Section 8.2</w:t>
      </w:r>
      <w:r>
        <w:rPr>
          <w:color w:val="000000"/>
        </w:rPr>
        <w:t xml:space="preserve"> </w:t>
      </w:r>
      <w:r>
        <w:rPr>
          <w:rFonts w:ascii="Times New Roman" w:hAnsi="Times New Roman"/>
          <w:color w:val="000000"/>
          <w:sz w:val="20"/>
        </w:rPr>
        <w:t>shall not limit the right of the Corporation, to the extent and in the manner authorized or permitted by law, to indemnify and to advance expenses to persons other than indemnitees.</w:t>
      </w:r>
    </w:p>
    <w:p>
      <w:pPr>
        <w:pStyle w:val="TextBody"/>
        <w:bidi w:val="0"/>
        <w:spacing w:before="1" w:after="283"/>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ARTICLE IX</w:t>
      </w:r>
    </w:p>
    <w:p>
      <w:pPr>
        <w:pStyle w:val="TextBody"/>
        <w:bidi w:val="0"/>
        <w:jc w:val="center"/>
        <w:rPr>
          <w:rFonts w:ascii="Times New Roman" w:hAnsi="Times New Roman"/>
          <w:b/>
          <w:color w:val="000000"/>
          <w:sz w:val="20"/>
        </w:rPr>
      </w:pPr>
      <w:r>
        <w:rPr>
          <w:rFonts w:ascii="Times New Roman" w:hAnsi="Times New Roman"/>
          <w:b/>
          <w:color w:val="000000"/>
          <w:sz w:val="20"/>
        </w:rPr>
        <w:t>AMENDMENT OF AMENDED AND RESTATED CERTIFICATE OF INCORPORATION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hAnsi="Times New Roman"/>
          <w:i/>
          <w:color w:val="000000"/>
          <w:sz w:val="20"/>
        </w:rPr>
        <w:t>Article VIII</w:t>
      </w:r>
      <w:r>
        <w:rPr>
          <w:rFonts w:ascii="Times New Roman" w:hAnsi="Times New Roman"/>
          <w:color w:val="000000"/>
          <w:sz w:val="20"/>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hAnsi="Times New Roman"/>
          <w:i/>
          <w:color w:val="000000"/>
          <w:sz w:val="20"/>
        </w:rPr>
        <w:t>Article XI</w:t>
      </w:r>
      <w:r>
        <w:rPr>
          <w:rFonts w:ascii="Times New Roman" w:hAnsi="Times New Roman"/>
          <w:color w:val="000000"/>
          <w:sz w:val="20"/>
        </w:rPr>
        <w:t>. Notwithstanding any other provisions of this Amended and Restated Certificate of Incorporation or any provision of applicable law which might otherwise permit a lesser vote, but in addition to any affirmative vote of the holders of any particular class or series of the capital stock of the Corporation required by law or by this Amended and Restated Certificate of Incorporation or any certificate of designation filed with respect to a series of Preferred Stock, the affirmative vote of (i) two-thirds (2/3) of the directors then in office and (ii) the holders of at least sixty -six and two-thirds percent (66 2/3%) of the then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outstanding shares of capital stock of the Corporation entitled to vote generally in the election of directors, voting together as a single class, shall be required to amend, alter, change or repeal </w:t>
      </w:r>
      <w:r>
        <w:rPr>
          <w:rFonts w:ascii="Times New Roman" w:hAnsi="Times New Roman"/>
          <w:i/>
          <w:color w:val="000000"/>
          <w:sz w:val="20"/>
        </w:rPr>
        <w:t xml:space="preserve">Article V </w:t>
      </w:r>
      <w:r>
        <w:rPr>
          <w:rFonts w:ascii="Times New Roman" w:hAnsi="Times New Roman"/>
          <w:color w:val="000000"/>
          <w:sz w:val="20"/>
        </w:rPr>
        <w:t xml:space="preserve">and </w:t>
      </w:r>
      <w:r>
        <w:rPr>
          <w:rFonts w:ascii="Times New Roman" w:hAnsi="Times New Roman"/>
          <w:i/>
          <w:color w:val="000000"/>
          <w:sz w:val="20"/>
        </w:rPr>
        <w:t>Article IX</w:t>
      </w:r>
      <w:r>
        <w:rPr>
          <w:rFonts w:ascii="Times New Roman" w:hAnsi="Times New Roman"/>
          <w:color w:val="000000"/>
          <w:sz w:val="20"/>
        </w:rPr>
        <w:t>.</w:t>
      </w:r>
    </w:p>
    <w:p>
      <w:pPr>
        <w:pStyle w:val="TextBody"/>
        <w:bidi w:val="0"/>
        <w:spacing w:before="8" w:after="283"/>
        <w:jc w:val="left"/>
        <w:rPr/>
      </w:pPr>
      <w:r>
        <w:rPr/>
        <w:t> </w:t>
      </w:r>
    </w:p>
    <w:p>
      <w:pPr>
        <w:pStyle w:val="Heading1"/>
        <w:bidi w:val="0"/>
        <w:spacing w:before="1" w:after="283"/>
        <w:jc w:val="center"/>
        <w:rPr>
          <w:rFonts w:ascii="Times New Roman" w:hAnsi="Times New Roman"/>
          <w:color w:val="000000"/>
          <w:sz w:val="20"/>
        </w:rPr>
      </w:pPr>
      <w:r>
        <w:rPr>
          <w:rFonts w:ascii="Times New Roman" w:hAnsi="Times New Roman"/>
          <w:color w:val="000000"/>
          <w:sz w:val="20"/>
        </w:rPr>
        <w:t>ARTICLE X</w:t>
      </w:r>
    </w:p>
    <w:p>
      <w:pPr>
        <w:pStyle w:val="TextBody"/>
        <w:bidi w:val="0"/>
        <w:jc w:val="center"/>
        <w:rPr>
          <w:rFonts w:ascii="Times New Roman" w:hAnsi="Times New Roman"/>
          <w:b/>
          <w:color w:val="000000"/>
          <w:sz w:val="20"/>
        </w:rPr>
      </w:pPr>
      <w:r>
        <w:rPr>
          <w:rFonts w:ascii="Times New Roman" w:hAnsi="Times New Roman"/>
          <w:b/>
          <w:color w:val="000000"/>
          <w:sz w:val="20"/>
        </w:rPr>
        <w:t>EXCLUSIVE FORUM FOR CERTAIN LAWSUITS; CONSENT TO JURISDICTION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10.1 </w:t>
      </w:r>
      <w:r>
        <w:rPr>
          <w:rFonts w:ascii="Times New Roman" w:hAnsi="Times New Roman"/>
          <w:color w:val="000000"/>
          <w:sz w:val="20"/>
          <w:u w:val="single"/>
        </w:rPr>
        <w:t>Forum</w:t>
      </w:r>
      <w:r>
        <w:rPr>
          <w:rFonts w:ascii="Times New Roman" w:hAnsi="Times New Roman"/>
          <w:color w:val="000000"/>
          <w:sz w:val="20"/>
        </w:rPr>
        <w:t>. Subject to the last sentence in this Section 10.1,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10.1 will not apply to suits brought to enforce any liability or duty created by the Securities Exchange Act of 1934, as amended,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10.2 </w:t>
      </w:r>
      <w:r>
        <w:rPr>
          <w:rFonts w:ascii="Times New Roman" w:hAnsi="Times New Roman"/>
          <w:color w:val="000000"/>
          <w:sz w:val="20"/>
          <w:u w:val="single"/>
        </w:rPr>
        <w:t>Consent to Jurisdiction</w:t>
      </w:r>
      <w:r>
        <w:rPr>
          <w:rFonts w:ascii="Times New Roman" w:hAnsi="Times New Roman"/>
          <w:color w:val="000000"/>
          <w:sz w:val="20"/>
        </w:rPr>
        <w:t>. If any action the subject matter of which is within the scope of Section 10.1 immediately above is filed in a court other than a court located within the State of Delaware (a “</w:t>
      </w:r>
      <w:r>
        <w:rPr>
          <w:rFonts w:ascii="Times New Roman" w:hAnsi="Times New Roman"/>
          <w:b/>
          <w:i/>
          <w:color w:val="000000"/>
          <w:sz w:val="20"/>
        </w:rPr>
        <w:t>Foreign Action</w:t>
      </w:r>
      <w:r>
        <w:rPr>
          <w:rFonts w:ascii="Times New Roman" w:hAnsi="Times New Roman"/>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Section 10.1 immediately above (an “</w:t>
      </w:r>
      <w:r>
        <w:rPr>
          <w:rFonts w:ascii="Times New Roman" w:hAnsi="Times New Roman"/>
          <w:b/>
          <w:i/>
          <w:color w:val="000000"/>
          <w:sz w:val="20"/>
        </w:rPr>
        <w:t>FSC Enforcement Action</w:t>
      </w:r>
      <w:r>
        <w:rPr>
          <w:rFonts w:ascii="Times New Roman" w:hAnsi="Times New Roman"/>
          <w:color w:val="000000"/>
          <w:sz w:val="20"/>
        </w:rPr>
        <w:t>”) and</w:t>
      </w:r>
    </w:p>
    <w:p>
      <w:pPr>
        <w:pStyle w:val="TextBody"/>
        <w:bidi w:val="0"/>
        <w:jc w:val="left"/>
        <w:rPr>
          <w:rFonts w:ascii="Times New Roman" w:hAnsi="Times New Roman"/>
          <w:color w:val="000000"/>
          <w:sz w:val="20"/>
        </w:rPr>
      </w:pPr>
      <w:r>
        <w:rPr>
          <w:rFonts w:ascii="Times New Roman" w:hAnsi="Times New Roman"/>
          <w:color w:val="000000"/>
          <w:sz w:val="20"/>
        </w:rPr>
        <w:t>(ii) having service of process made upon such stockholder in any such FSC Enforcement Action by service upon such stockholder’s counsel in the Foreign Action as agent for such stockholder.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10.3 </w:t>
      </w:r>
      <w:r>
        <w:rPr>
          <w:rFonts w:ascii="Times New Roman" w:hAnsi="Times New Roman"/>
          <w:color w:val="000000"/>
          <w:sz w:val="20"/>
          <w:u w:val="single"/>
        </w:rPr>
        <w:t>Severability</w:t>
      </w:r>
      <w:r>
        <w:rPr>
          <w:rFonts w:ascii="Times New Roman" w:hAnsi="Times New Roman"/>
          <w:color w:val="000000"/>
          <w:sz w:val="20"/>
        </w:rPr>
        <w:t xml:space="preserve">. If any provision or provisions of this </w:t>
      </w:r>
      <w:r>
        <w:rPr>
          <w:rFonts w:ascii="Times New Roman" w:hAnsi="Times New Roman"/>
          <w:i/>
          <w:color w:val="000000"/>
          <w:sz w:val="20"/>
        </w:rPr>
        <w:t xml:space="preserve">Article X </w:t>
      </w:r>
      <w:r>
        <w:rPr>
          <w:rFonts w:ascii="Times New Roman" w:hAnsi="Times New Roman"/>
          <w:color w:val="000000"/>
          <w:sz w:val="20"/>
        </w:rPr>
        <w:t xml:space="preserve">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hAnsi="Times New Roman"/>
          <w:i/>
          <w:color w:val="000000"/>
          <w:sz w:val="20"/>
        </w:rPr>
        <w:t xml:space="preserve">Article X </w:t>
      </w:r>
      <w:r>
        <w:rPr>
          <w:rFonts w:ascii="Times New Roman" w:hAnsi="Times New Roman"/>
          <w:color w:val="000000"/>
          <w:sz w:val="20"/>
        </w:rPr>
        <w:t xml:space="preserve">(including, without limitation, each portion of any sentence of this </w:t>
      </w:r>
      <w:r>
        <w:rPr>
          <w:rFonts w:ascii="Times New Roman" w:hAnsi="Times New Roman"/>
          <w:i/>
          <w:color w:val="000000"/>
          <w:sz w:val="20"/>
        </w:rPr>
        <w:t xml:space="preserve">Article X </w:t>
      </w:r>
      <w:r>
        <w:rPr>
          <w:rFonts w:ascii="Times New Roman" w:hAnsi="Times New Roman"/>
          <w:color w:val="000000"/>
          <w:sz w:val="20"/>
        </w:rPr>
        <w:t xml:space="preserve">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hAnsi="Times New Roman"/>
          <w:i/>
          <w:color w:val="000000"/>
          <w:sz w:val="20"/>
        </w:rPr>
        <w:t>Article X</w:t>
      </w:r>
      <w:r>
        <w:rPr>
          <w:rFonts w:ascii="Times New Roman" w:hAnsi="Times New Roman"/>
          <w:color w:val="000000"/>
          <w:sz w:val="20"/>
        </w:rPr>
        <w:t>.</w:t>
      </w:r>
    </w:p>
    <w:p>
      <w:pPr>
        <w:pStyle w:val="TextBody"/>
        <w:bidi w:val="0"/>
        <w:spacing w:before="230" w:after="283"/>
        <w:jc w:val="left"/>
        <w:rPr>
          <w:rFonts w:ascii="Times New Roman" w:hAnsi="Times New Roman"/>
          <w:sz w:val="20"/>
        </w:rPr>
      </w:pPr>
      <w:r>
        <w:rPr>
          <w:rFonts w:ascii="Times New Roman" w:hAnsi="Times New Roman"/>
          <w:color w:val="000000"/>
          <w:sz w:val="20"/>
        </w:rPr>
        <w:t xml:space="preserve">Section 10.4 </w:t>
      </w:r>
      <w:r>
        <w:rPr>
          <w:rFonts w:ascii="Times New Roman" w:hAnsi="Times New Roman"/>
          <w:color w:val="000000"/>
          <w:sz w:val="20"/>
          <w:u w:val="single"/>
        </w:rPr>
        <w:t>Deemed Notice</w:t>
      </w:r>
      <w:r>
        <w:rPr>
          <w:rFonts w:ascii="Times New Roman" w:hAnsi="Times New Roman"/>
          <w:color w:val="000000"/>
          <w:sz w:val="20"/>
        </w:rPr>
        <w:t xml:space="preserve">. Any person or entity purchasing or otherwise acquiring or holding any interest in any security of the Corporation shall be deemed to have notice of and consented to this </w:t>
      </w:r>
      <w:r>
        <w:rPr>
          <w:rFonts w:ascii="Times New Roman" w:hAnsi="Times New Roman"/>
          <w:i/>
          <w:color w:val="000000"/>
          <w:sz w:val="20"/>
        </w:rPr>
        <w:t>Article X</w:t>
      </w:r>
      <w:r>
        <w:rPr>
          <w:rFonts w:ascii="Times New Roman" w:hAnsi="Times New Roman"/>
          <w:color w:val="000000"/>
          <w:sz w:val="20"/>
        </w:rPr>
        <w:t>.</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IN WITNESS WHEREOF, Alpha Healthcare Acquisition Corp. has caused this Amended and Restated Certificate to be duly executed and acknowledged in its name and on its behalf by an authorized officer as of the date first set forth above.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jc w:val="left"/>
        <w:rPr/>
      </w:pPr>
      <w:r>
        <w:rPr/>
        <w:t> </w:t>
      </w:r>
    </w:p>
    <w:tbl>
      <w:tblPr>
        <w:tblW w:w="4322" w:type="dxa"/>
        <w:jc w:val="left"/>
        <w:tblInd w:w="0" w:type="dxa"/>
        <w:tblLayout w:type="fixed"/>
        <w:tblCellMar>
          <w:top w:w="28" w:type="dxa"/>
          <w:left w:w="28" w:type="dxa"/>
          <w:bottom w:w="28" w:type="dxa"/>
          <w:right w:w="28" w:type="dxa"/>
        </w:tblCellMar>
      </w:tblPr>
      <w:tblGrid>
        <w:gridCol w:w="692"/>
        <w:gridCol w:w="178"/>
        <w:gridCol w:w="3452"/>
      </w:tblGrid>
      <w:tr>
        <w:trPr/>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ind w:left="0" w:right="0" w:firstLine="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ind w:left="0" w:right="0" w:firstLine="78"/>
              <w:jc w:val="left"/>
              <w:rPr>
                <w:rFonts w:ascii="Times New Roman" w:hAnsi="Times New Roman"/>
                <w:sz w:val="20"/>
              </w:rPr>
            </w:pPr>
            <w:r>
              <w:rPr>
                <w:rFonts w:ascii="Times New Roman" w:hAnsi="Times New Roman"/>
                <w:b/>
                <w:color w:val="000000"/>
                <w:sz w:val="20"/>
              </w:rPr>
              <w:t>ALPHA HEALTHCARE ACQUISITION CORP</w:t>
            </w:r>
            <w:r>
              <w:rPr>
                <w:rFonts w:ascii="Times New Roman" w:hAnsi="Times New Roman"/>
                <w:color w:val="000000"/>
                <w:sz w:val="20"/>
              </w:rPr>
              <w:t>.</w:t>
            </w:r>
          </w:p>
        </w:tc>
      </w:tr>
      <w:tr>
        <w:trPr/>
        <w:tc>
          <w:tcPr>
            <w:tcW w:w="692" w:type="dxa"/>
            <w:tcBorders/>
            <w:tcMar>
              <w:top w:w="0" w:type="dxa"/>
              <w:left w:w="0" w:type="dxa"/>
              <w:bottom w:w="0" w:type="dxa"/>
              <w:right w:w="0" w:type="dxa"/>
            </w:tcMar>
            <w:vAlign w:val="center"/>
          </w:tcPr>
          <w:p>
            <w:pPr>
              <w:pStyle w:val="TableContents"/>
              <w:bidi w:val="0"/>
              <w:spacing w:before="0" w:after="283"/>
              <w:ind w:left="0" w:right="0" w:firstLine="1"/>
              <w:jc w:val="left"/>
              <w:rPr>
                <w:rFonts w:ascii="Times New Roman" w:hAnsi="Times New Roman"/>
                <w:color w:val="000000"/>
                <w:sz w:val="20"/>
              </w:rPr>
            </w:pPr>
            <w:r>
              <w:rPr>
                <w:rFonts w:ascii="Times New Roman" w:hAnsi="Times New Roman"/>
                <w:color w:val="000000"/>
                <w:sz w:val="20"/>
              </w:rPr>
              <w:t>By:</w:t>
            </w:r>
          </w:p>
        </w:tc>
        <w:tc>
          <w:tcPr>
            <w:tcW w:w="3630" w:type="dxa"/>
            <w:gridSpan w:val="2"/>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0"/>
                <w:u w:val="single"/>
              </w:rPr>
            </w:pPr>
            <w:r>
              <w:rPr>
                <w:rFonts w:ascii="Times New Roman" w:hAnsi="Times New Roman"/>
                <w:color w:val="000000"/>
                <w:sz w:val="20"/>
                <w:u w:val="single"/>
              </w:rPr>
              <w:t>/s/ Rajiv Shukla</w:t>
            </w:r>
          </w:p>
        </w:tc>
      </w:tr>
      <w:tr>
        <w:trPr/>
        <w:tc>
          <w:tcPr>
            <w:tcW w:w="870" w:type="dxa"/>
            <w:gridSpan w:val="2"/>
            <w:tcBorders/>
            <w:tcMar>
              <w:top w:w="0" w:type="dxa"/>
              <w:left w:w="0" w:type="dxa"/>
              <w:bottom w:w="0" w:type="dxa"/>
              <w:right w:w="0" w:type="dxa"/>
            </w:tcMar>
            <w:vAlign w:val="center"/>
          </w:tcPr>
          <w:p>
            <w:pPr>
              <w:pStyle w:val="TableContents"/>
              <w:bidi w:val="0"/>
              <w:spacing w:before="10" w:after="283"/>
              <w:ind w:left="0" w:right="0" w:firstLine="1"/>
              <w:jc w:val="left"/>
              <w:rPr>
                <w:rFonts w:ascii="Times New Roman" w:hAnsi="Times New Roman"/>
                <w:color w:val="000000"/>
                <w:sz w:val="20"/>
              </w:rPr>
            </w:pPr>
            <w:r>
              <w:rPr>
                <w:rFonts w:ascii="Times New Roman" w:hAnsi="Times New Roman"/>
                <w:color w:val="000000"/>
                <w:sz w:val="20"/>
              </w:rPr>
              <w:t>Name:</w:t>
            </w:r>
          </w:p>
        </w:tc>
        <w:tc>
          <w:tcPr>
            <w:tcW w:w="3452" w:type="dxa"/>
            <w:tcBorders/>
            <w:tcMar>
              <w:top w:w="0" w:type="dxa"/>
              <w:left w:w="0" w:type="dxa"/>
              <w:bottom w:w="0" w:type="dxa"/>
              <w:right w:w="0" w:type="dxa"/>
            </w:tcMar>
            <w:vAlign w:val="center"/>
          </w:tcPr>
          <w:p>
            <w:pPr>
              <w:pStyle w:val="TableContents"/>
              <w:bidi w:val="0"/>
              <w:spacing w:before="10" w:after="283"/>
              <w:ind w:left="0" w:right="0" w:firstLine="54"/>
              <w:jc w:val="left"/>
              <w:rPr>
                <w:rFonts w:ascii="Times New Roman" w:hAnsi="Times New Roman"/>
                <w:color w:val="000000"/>
                <w:sz w:val="20"/>
              </w:rPr>
            </w:pPr>
            <w:r>
              <w:rPr>
                <w:rFonts w:ascii="Times New Roman" w:hAnsi="Times New Roman"/>
                <w:color w:val="000000"/>
                <w:sz w:val="20"/>
              </w:rPr>
              <w:t>Rajiv Shukla</w:t>
            </w:r>
          </w:p>
        </w:tc>
      </w:tr>
      <w:tr>
        <w:trPr/>
        <w:tc>
          <w:tcPr>
            <w:tcW w:w="870" w:type="dxa"/>
            <w:gridSpan w:val="2"/>
            <w:tcBorders/>
            <w:tcMar>
              <w:top w:w="0" w:type="dxa"/>
              <w:left w:w="0" w:type="dxa"/>
              <w:bottom w:w="0" w:type="dxa"/>
              <w:right w:w="0" w:type="dxa"/>
            </w:tcMar>
            <w:vAlign w:val="center"/>
          </w:tcPr>
          <w:p>
            <w:pPr>
              <w:pStyle w:val="TableContents"/>
              <w:bidi w:val="0"/>
              <w:spacing w:before="0" w:after="283"/>
              <w:ind w:left="0" w:right="0" w:firstLine="34"/>
              <w:jc w:val="left"/>
              <w:rPr>
                <w:rFonts w:ascii="Times New Roman" w:hAnsi="Times New Roman"/>
                <w:color w:val="000000"/>
                <w:sz w:val="20"/>
              </w:rPr>
            </w:pPr>
            <w:r>
              <w:rPr>
                <w:rFonts w:ascii="Times New Roman" w:hAnsi="Times New Roman"/>
                <w:color w:val="000000"/>
                <w:sz w:val="20"/>
              </w:rPr>
              <w:t>Title:</w:t>
            </w:r>
          </w:p>
        </w:tc>
        <w:tc>
          <w:tcPr>
            <w:tcW w:w="3452" w:type="dxa"/>
            <w:tcBorders/>
            <w:tcMar>
              <w:top w:w="0" w:type="dxa"/>
              <w:left w:w="0" w:type="dxa"/>
              <w:bottom w:w="0" w:type="dxa"/>
              <w:right w:w="0" w:type="dxa"/>
            </w:tcMar>
            <w:vAlign w:val="center"/>
          </w:tcPr>
          <w:p>
            <w:pPr>
              <w:pStyle w:val="TableContents"/>
              <w:bidi w:val="0"/>
              <w:spacing w:before="0" w:after="283"/>
              <w:ind w:left="0" w:right="0" w:firstLine="34"/>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79" w:after="283"/>
        <w:ind w:left="3027" w:right="3028" w:hanging="0"/>
        <w:jc w:val="center"/>
        <w:rPr>
          <w:rFonts w:ascii="Times New Roman" w:hAnsi="Times New Roman"/>
          <w:b/>
          <w:color w:val="000000"/>
          <w:sz w:val="24"/>
        </w:rPr>
      </w:pPr>
      <w:r>
        <w:rPr>
          <w:rFonts w:ascii="Times New Roman" w:hAnsi="Times New Roman"/>
          <w:b/>
          <w:color w:val="000000"/>
          <w:sz w:val="24"/>
        </w:rPr>
        <w:t>CERTIFICATE OF AMENDMENT TO THE</w:t>
      </w:r>
    </w:p>
    <w:p>
      <w:pPr>
        <w:pStyle w:val="TextBody"/>
        <w:bidi w:val="0"/>
        <w:ind w:left="2803" w:right="2800" w:hanging="0"/>
        <w:jc w:val="center"/>
        <w:rPr>
          <w:rFonts w:ascii="Times New Roman" w:hAnsi="Times New Roman"/>
          <w:b/>
          <w:color w:val="000000"/>
          <w:sz w:val="24"/>
        </w:rPr>
      </w:pPr>
      <w:r>
        <w:rPr>
          <w:rFonts w:ascii="Times New Roman" w:hAnsi="Times New Roman"/>
          <w:b/>
          <w:color w:val="000000"/>
          <w:sz w:val="24"/>
        </w:rPr>
        <w:t>SECOND AMENDED AND RESTATED CERTIFICATE OF INCORPORATION OF</w:t>
      </w:r>
    </w:p>
    <w:p>
      <w:pPr>
        <w:pStyle w:val="TextBody"/>
        <w:bidi w:val="0"/>
        <w:ind w:left="293" w:right="297" w:hanging="0"/>
        <w:jc w:val="center"/>
        <w:rPr>
          <w:rFonts w:ascii="Times New Roman" w:hAnsi="Times New Roman"/>
          <w:b/>
          <w:color w:val="000000"/>
          <w:sz w:val="24"/>
        </w:rPr>
      </w:pPr>
      <w:r>
        <w:rPr>
          <w:rFonts w:ascii="Times New Roman" w:hAnsi="Times New Roman"/>
          <w:b/>
          <w:color w:val="000000"/>
          <w:sz w:val="24"/>
        </w:rPr>
        <w:t>HUMACYTE, INC.</w:t>
      </w:r>
    </w:p>
    <w:p>
      <w:pPr>
        <w:pStyle w:val="TextBody"/>
        <w:bidi w:val="0"/>
        <w:spacing w:before="240" w:after="283"/>
        <w:ind w:left="360" w:right="356" w:firstLine="720"/>
        <w:jc w:val="both"/>
        <w:rPr>
          <w:rFonts w:ascii="Times New Roman" w:hAnsi="Times New Roman"/>
          <w:sz w:val="20"/>
        </w:rPr>
      </w:pPr>
      <w:r>
        <w:rPr>
          <w:rFonts w:ascii="Times New Roman" w:hAnsi="Times New Roman"/>
          <w:color w:val="000000"/>
          <w:sz w:val="24"/>
        </w:rPr>
        <w:t>Humacyte, Inc. (the “</w:t>
      </w:r>
      <w:r>
        <w:rPr>
          <w:rFonts w:ascii="Times New Roman" w:hAnsi="Times New Roman"/>
          <w:b/>
          <w:i/>
          <w:color w:val="000000"/>
          <w:sz w:val="24"/>
        </w:rPr>
        <w:t>Corporation</w:t>
      </w:r>
      <w:r>
        <w:rPr>
          <w:rFonts w:ascii="Times New Roman" w:hAnsi="Times New Roman"/>
          <w:color w:val="000000"/>
          <w:sz w:val="20"/>
        </w:rPr>
        <w:t>”</w:t>
      </w:r>
      <w:r>
        <w:rPr>
          <w:rFonts w:ascii="Times New Roman" w:hAnsi="Times New Roman"/>
          <w:color w:val="000000"/>
          <w:sz w:val="24"/>
        </w:rPr>
        <w:t>), a corporation duly organized and existing under the General Corporation Law of the State of Delaware (the “</w:t>
      </w:r>
      <w:r>
        <w:rPr>
          <w:rFonts w:ascii="Times New Roman" w:hAnsi="Times New Roman"/>
          <w:b/>
          <w:i/>
          <w:color w:val="000000"/>
          <w:sz w:val="24"/>
        </w:rPr>
        <w:t>DGCL</w:t>
      </w:r>
      <w:r>
        <w:rPr>
          <w:rFonts w:ascii="Times New Roman" w:hAnsi="Times New Roman"/>
          <w:color w:val="000000"/>
          <w:sz w:val="20"/>
        </w:rPr>
        <w:t>”</w:t>
      </w:r>
      <w:r>
        <w:rPr>
          <w:rFonts w:ascii="Times New Roman" w:hAnsi="Times New Roman"/>
          <w:color w:val="000000"/>
          <w:sz w:val="24"/>
        </w:rPr>
        <w:t>), does hereby certify that:</w:t>
      </w:r>
    </w:p>
    <w:p>
      <w:pPr>
        <w:pStyle w:val="TextBody"/>
        <w:bidi w:val="0"/>
        <w:spacing w:before="240" w:after="283"/>
        <w:ind w:left="360" w:right="356" w:firstLine="720"/>
        <w:jc w:val="both"/>
        <w:rPr>
          <w:rFonts w:ascii="Times New Roman" w:hAnsi="Times New Roman"/>
          <w:sz w:val="20"/>
        </w:rPr>
      </w:pPr>
      <w:r>
        <w:rPr>
          <w:rFonts w:ascii="Times New Roman" w:hAnsi="Times New Roman"/>
          <w:color w:val="000000"/>
          <w:sz w:val="24"/>
        </w:rPr>
        <w:t>FIRST: The original certificate of incorporation of the Corporation was filed with the Secretary of State of the State of Delaware on July 1, 2020. The Corporation filed an amended and restated certificate of incorporation with the Secretary of State of the State of Delaware on September 17, 2020. The Corporation filed a second amended and restated certificate of incorporation with the Secretary of State of the State of Delaware on August 26, 2021 (the “</w:t>
      </w:r>
      <w:r>
        <w:rPr>
          <w:rFonts w:ascii="Times New Roman" w:hAnsi="Times New Roman"/>
          <w:b/>
          <w:i/>
          <w:color w:val="000000"/>
          <w:sz w:val="24"/>
        </w:rPr>
        <w:t>Second Amended and Restated Certificate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59" w:right="357" w:firstLine="720"/>
        <w:jc w:val="both"/>
        <w:rPr>
          <w:rFonts w:ascii="Times New Roman" w:hAnsi="Times New Roman"/>
          <w:color w:val="000000"/>
          <w:sz w:val="24"/>
        </w:rPr>
      </w:pPr>
      <w:r>
        <w:rPr>
          <w:rFonts w:ascii="Times New Roman" w:hAnsi="Times New Roman"/>
          <w:color w:val="000000"/>
          <w:sz w:val="24"/>
        </w:rPr>
        <w:t>SECOND: The amendment to the Second Amended and Restated Certificate set forth below was duly adopted by the board of directors and the stockholders of the Corporation in accordance with Sections 228 and 242 of the DGCL.</w:t>
      </w:r>
    </w:p>
    <w:p>
      <w:pPr>
        <w:pStyle w:val="TextBody"/>
        <w:bidi w:val="0"/>
        <w:spacing w:before="240" w:after="283"/>
        <w:ind w:left="359" w:right="360" w:firstLine="720"/>
        <w:jc w:val="both"/>
        <w:rPr>
          <w:rFonts w:ascii="Times New Roman" w:hAnsi="Times New Roman"/>
          <w:color w:val="000000"/>
          <w:sz w:val="24"/>
        </w:rPr>
      </w:pPr>
      <w:r>
        <w:rPr>
          <w:rFonts w:ascii="Times New Roman" w:hAnsi="Times New Roman"/>
          <w:color w:val="000000"/>
          <w:sz w:val="24"/>
        </w:rPr>
        <w:t>THIRD: Section 4.1 of Article IV of the Second Amended and Restated Certificate is hereby amended and restated in its entirety to read as follows:</w:t>
      </w:r>
    </w:p>
    <w:p>
      <w:pPr>
        <w:pStyle w:val="TextBody"/>
        <w:bidi w:val="0"/>
        <w:spacing w:before="240" w:after="283"/>
        <w:ind w:left="360" w:right="357" w:hanging="0"/>
        <w:jc w:val="both"/>
        <w:rPr/>
      </w:pPr>
      <w:r>
        <w:rPr>
          <w:color w:val="000000"/>
        </w:rPr>
        <w:t>“</w:t>
      </w:r>
      <w:r>
        <w:rPr>
          <w:rFonts w:ascii="Times New Roman" w:hAnsi="Times New Roman"/>
          <w:color w:val="000000"/>
          <w:sz w:val="24"/>
        </w:rPr>
        <w:t xml:space="preserve">Section 4.1 </w:t>
      </w:r>
      <w:r>
        <w:rPr>
          <w:rFonts w:ascii="Times New Roman" w:hAnsi="Times New Roman"/>
          <w:color w:val="000000"/>
          <w:sz w:val="24"/>
          <w:u w:val="single"/>
        </w:rPr>
        <w:t>Authorized Capital Stock</w:t>
      </w:r>
      <w:r>
        <w:rPr>
          <w:rFonts w:ascii="Times New Roman" w:hAnsi="Times New Roman"/>
          <w:color w:val="000000"/>
          <w:sz w:val="24"/>
        </w:rPr>
        <w:t>. The total number of shares of all classes of capital stock, each with a par value of $0.0001 per share, which the Corporation is authorized to issue is 370,000,000 shares, consisting of (a) 350,000,000 shares of common stock (the “</w:t>
      </w:r>
      <w:r>
        <w:rPr>
          <w:rFonts w:ascii="Times New Roman" w:hAnsi="Times New Roman"/>
          <w:b/>
          <w:i/>
          <w:color w:val="000000"/>
          <w:sz w:val="24"/>
        </w:rPr>
        <w:t>Common Stock</w:t>
      </w:r>
      <w:r>
        <w:rPr>
          <w:rFonts w:ascii="Times New Roman" w:hAnsi="Times New Roman"/>
          <w:color w:val="000000"/>
          <w:sz w:val="20"/>
        </w:rPr>
        <w:t>”</w:t>
      </w:r>
      <w:r>
        <w:rPr>
          <w:rFonts w:ascii="Times New Roman" w:hAnsi="Times New Roman"/>
          <w:color w:val="000000"/>
          <w:sz w:val="24"/>
        </w:rPr>
        <w:t>) and (b) 20,000,000 shares of preferred stock (the “</w:t>
      </w:r>
      <w:r>
        <w:rPr>
          <w:rFonts w:ascii="Times New Roman" w:hAnsi="Times New Roman"/>
          <w:b/>
          <w:i/>
          <w:color w:val="000000"/>
          <w:sz w:val="24"/>
        </w:rPr>
        <w:t>Preferred Stock</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59" w:right="357" w:firstLine="720"/>
        <w:jc w:val="both"/>
        <w:rPr>
          <w:rFonts w:ascii="Times New Roman" w:hAnsi="Times New Roman"/>
          <w:color w:val="000000"/>
          <w:sz w:val="24"/>
        </w:rPr>
      </w:pPr>
      <w:r>
        <w:rPr>
          <w:rFonts w:ascii="Times New Roman" w:hAnsi="Times New Roman"/>
          <w:color w:val="000000"/>
          <w:sz w:val="24"/>
        </w:rPr>
        <w:t>FOURTH: This Certificate of Amendment to the Second Amended and Restated Certificate shall be effective upon filing with the Secretary of State of the State of Delaware. Except as herein amended, all other provisions of the Second Amended and Restated Certificate remain in full force and effect.</w:t>
      </w:r>
    </w:p>
    <w:p>
      <w:pPr>
        <w:pStyle w:val="TextBody"/>
        <w:bidi w:val="0"/>
        <w:jc w:val="left"/>
        <w:rPr/>
      </w:pPr>
      <w:r>
        <w:rPr/>
        <w:t> </w:t>
      </w:r>
    </w:p>
    <w:p>
      <w:pPr>
        <w:pStyle w:val="TextBody"/>
        <w:bidi w:val="0"/>
        <w:spacing w:before="204" w:after="283"/>
        <w:jc w:val="left"/>
        <w:rPr/>
      </w:pPr>
      <w:r>
        <w:rPr/>
        <w:t> </w:t>
      </w:r>
    </w:p>
    <w:p>
      <w:pPr>
        <w:pStyle w:val="TextBody"/>
        <w:bidi w:val="0"/>
        <w:spacing w:before="1" w:after="283"/>
        <w:ind w:left="3183" w:right="3183" w:hanging="0"/>
        <w:jc w:val="center"/>
        <w:rPr>
          <w:rFonts w:ascii="Times New Roman" w:hAnsi="Times New Roman"/>
          <w:color w:val="000000"/>
          <w:sz w:val="24"/>
        </w:rPr>
      </w:pPr>
      <w:r>
        <w:rPr>
          <w:rFonts w:ascii="Times New Roman" w:hAnsi="Times New Roman"/>
          <w:color w:val="000000"/>
          <w:sz w:val="24"/>
        </w:rPr>
        <w:t>* * * *</w:t>
      </w:r>
    </w:p>
    <w:p>
      <w:pPr>
        <w:pStyle w:val="TextBody"/>
        <w:bidi w:val="0"/>
        <w:spacing w:before="216" w:after="283"/>
        <w:jc w:val="left"/>
        <w:rPr/>
      </w:pPr>
      <w:r>
        <w:rPr/>
        <w:t> </w:t>
      </w:r>
    </w:p>
    <w:p>
      <w:pPr>
        <w:pStyle w:val="TextBody"/>
        <w:bidi w:val="0"/>
        <w:jc w:val="left"/>
        <w:rPr/>
      </w:pPr>
      <w:r>
        <w:rPr/>
        <w:t> </w:t>
      </w:r>
    </w:p>
    <w:p>
      <w:pPr>
        <w:pStyle w:val="TextBody"/>
        <w:bidi w:val="0"/>
        <w:spacing w:before="13" w:after="283"/>
        <w:jc w:val="left"/>
        <w:rPr/>
      </w:pPr>
      <w:r>
        <w:rPr/>
        <w:t> </w:t>
      </w:r>
    </w:p>
    <w:p>
      <w:pPr>
        <w:pStyle w:val="TextBody"/>
        <w:bidi w:val="0"/>
        <w:ind w:left="360" w:right="475" w:firstLine="7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Corporation has caused this Certificate of Amendment to be executed by the undersigned authorized officer as of the 10th day of June,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1"/>
        <w:jc w:val="left"/>
        <w:rPr/>
      </w:pPr>
      <w:r>
        <w:rPr/>
        <w:t> </w:t>
      </w:r>
    </w:p>
    <w:tbl>
      <w:tblPr>
        <w:tblW w:w="6669" w:type="dxa"/>
        <w:jc w:val="left"/>
        <w:tblInd w:w="0" w:type="dxa"/>
        <w:tblLayout w:type="fixed"/>
        <w:tblCellMar>
          <w:top w:w="28" w:type="dxa"/>
          <w:left w:w="28" w:type="dxa"/>
          <w:bottom w:w="28" w:type="dxa"/>
          <w:right w:w="28" w:type="dxa"/>
        </w:tblCellMar>
      </w:tblPr>
      <w:tblGrid>
        <w:gridCol w:w="492"/>
        <w:gridCol w:w="6177"/>
      </w:tblGrid>
      <w:tr>
        <w:trPr/>
        <w:tc>
          <w:tcPr>
            <w:tcW w:w="492" w:type="dxa"/>
            <w:tcBorders/>
            <w:vAlign w:val="center"/>
          </w:tcPr>
          <w:p>
            <w:pPr>
              <w:pStyle w:val="TableContents"/>
              <w:bidi w:val="0"/>
              <w:spacing w:before="0" w:after="283"/>
              <w:jc w:val="left"/>
              <w:rPr>
                <w:sz w:val="4"/>
                <w:szCs w:val="4"/>
              </w:rPr>
            </w:pPr>
            <w:r>
              <w:rPr>
                <w:sz w:val="4"/>
                <w:szCs w:val="4"/>
              </w:rPr>
            </w:r>
          </w:p>
        </w:tc>
        <w:tc>
          <w:tcPr>
            <w:tcW w:w="6177"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92" w:type="dxa"/>
            <w:tcBorders/>
            <w:tcMar>
              <w:top w:w="0" w:type="dxa"/>
              <w:left w:w="0" w:type="dxa"/>
              <w:bottom w:w="0" w:type="dxa"/>
              <w:right w:w="0" w:type="dxa"/>
            </w:tcMar>
            <w:vAlign w:val="center"/>
          </w:tcPr>
          <w:p>
            <w:pPr>
              <w:pStyle w:val="TableContents"/>
              <w:bidi w:val="0"/>
              <w:spacing w:before="0" w:after="283"/>
              <w:ind w:left="0" w:right="0" w:firstLine="26"/>
              <w:jc w:val="left"/>
              <w:rPr>
                <w:rFonts w:ascii="Times New Roman" w:hAnsi="Times New Roman"/>
                <w:color w:val="000000"/>
                <w:sz w:val="24"/>
              </w:rPr>
            </w:pPr>
            <w:r>
              <w:rPr>
                <w:rFonts w:ascii="Times New Roman" w:hAnsi="Times New Roman"/>
                <w:color w:val="000000"/>
                <w:sz w:val="24"/>
              </w:rPr>
              <w:t>By:</w:t>
            </w:r>
          </w:p>
        </w:tc>
        <w:tc>
          <w:tcPr>
            <w:tcW w:w="6177" w:type="dxa"/>
            <w:tcBorders>
              <w:bottom w:val="single" w:sz="8" w:space="0" w:color="000000"/>
            </w:tcBorders>
            <w:tcMar>
              <w:top w:w="0" w:type="dxa"/>
              <w:left w:w="0" w:type="dxa"/>
              <w:right w:w="0" w:type="dxa"/>
            </w:tcMar>
            <w:vAlign w:val="center"/>
          </w:tcPr>
          <w:p>
            <w:pPr>
              <w:pStyle w:val="TableContents"/>
              <w:bidi w:val="0"/>
              <w:spacing w:before="0" w:after="283"/>
              <w:ind w:left="0" w:right="0" w:firstLine="26"/>
              <w:jc w:val="left"/>
              <w:rPr>
                <w:rFonts w:ascii="Times New Roman" w:hAnsi="Times New Roman"/>
                <w:color w:val="000000"/>
                <w:sz w:val="24"/>
              </w:rPr>
            </w:pPr>
            <w:r>
              <w:rPr>
                <w:rFonts w:ascii="Times New Roman" w:hAnsi="Times New Roman"/>
                <w:color w:val="000000"/>
                <w:sz w:val="24"/>
              </w:rPr>
              <w:t>/s/ Dale Sander</w:t>
            </w:r>
          </w:p>
        </w:tc>
      </w:tr>
      <w:tr>
        <w:trPr/>
        <w:tc>
          <w:tcPr>
            <w:tcW w:w="492" w:type="dxa"/>
            <w:tcBorders/>
            <w:tcMar>
              <w:top w:w="0" w:type="dxa"/>
              <w:left w:w="0" w:type="dxa"/>
              <w:bottom w:w="0" w:type="dxa"/>
              <w:right w:w="0" w:type="dxa"/>
            </w:tcMar>
            <w:vAlign w:val="center"/>
          </w:tcPr>
          <w:p>
            <w:pPr>
              <w:pStyle w:val="TableContents"/>
              <w:bidi w:val="0"/>
              <w:spacing w:before="0" w:after="283"/>
              <w:ind w:left="0" w:right="0" w:firstLine="26"/>
              <w:jc w:val="left"/>
              <w:rPr/>
            </w:pPr>
            <w:r>
              <w:rPr/>
              <w:t> </w:t>
            </w:r>
          </w:p>
        </w:tc>
        <w:tc>
          <w:tcPr>
            <w:tcW w:w="6177" w:type="dxa"/>
            <w:tcBorders/>
            <w:tcMar>
              <w:top w:w="0" w:type="dxa"/>
              <w:left w:w="0" w:type="dxa"/>
              <w:bottom w:w="0" w:type="dxa"/>
              <w:right w:w="0" w:type="dxa"/>
            </w:tcMar>
            <w:vAlign w:val="center"/>
          </w:tcPr>
          <w:p>
            <w:pPr>
              <w:pStyle w:val="TableContents"/>
              <w:bidi w:val="0"/>
              <w:spacing w:before="30" w:after="283"/>
              <w:ind w:left="0" w:right="0" w:firstLine="26"/>
              <w:jc w:val="left"/>
              <w:rPr>
                <w:rFonts w:ascii="Times New Roman" w:hAnsi="Times New Roman"/>
                <w:color w:val="000000"/>
                <w:sz w:val="24"/>
              </w:rPr>
            </w:pPr>
            <w:r>
              <w:rPr>
                <w:rFonts w:ascii="Times New Roman" w:hAnsi="Times New Roman"/>
                <w:color w:val="000000"/>
                <w:sz w:val="24"/>
              </w:rPr>
              <w:t>Dale Sander</w:t>
            </w:r>
          </w:p>
        </w:tc>
      </w:tr>
      <w:tr>
        <w:trPr/>
        <w:tc>
          <w:tcPr>
            <w:tcW w:w="492" w:type="dxa"/>
            <w:tcBorders/>
            <w:tcMar>
              <w:top w:w="0" w:type="dxa"/>
              <w:left w:w="0" w:type="dxa"/>
              <w:bottom w:w="0" w:type="dxa"/>
              <w:right w:w="0" w:type="dxa"/>
            </w:tcMar>
            <w:vAlign w:val="center"/>
          </w:tcPr>
          <w:p>
            <w:pPr>
              <w:pStyle w:val="TableContents"/>
              <w:bidi w:val="0"/>
              <w:spacing w:before="0" w:after="283"/>
              <w:ind w:left="0" w:right="0" w:firstLine="26"/>
              <w:jc w:val="left"/>
              <w:rPr/>
            </w:pPr>
            <w:r>
              <w:rPr/>
              <w:t> </w:t>
            </w:r>
          </w:p>
        </w:tc>
        <w:tc>
          <w:tcPr>
            <w:tcW w:w="6177" w:type="dxa"/>
            <w:tcBorders/>
            <w:tcMar>
              <w:top w:w="0" w:type="dxa"/>
              <w:left w:w="0" w:type="dxa"/>
              <w:bottom w:w="0" w:type="dxa"/>
              <w:right w:w="0" w:type="dxa"/>
            </w:tcMar>
            <w:vAlign w:val="center"/>
          </w:tcPr>
          <w:p>
            <w:pPr>
              <w:pStyle w:val="TableContents"/>
              <w:bidi w:val="0"/>
              <w:spacing w:before="25" w:after="283"/>
              <w:ind w:left="0" w:right="0" w:firstLine="26"/>
              <w:jc w:val="left"/>
              <w:rPr>
                <w:rFonts w:ascii="Times New Roman" w:hAnsi="Times New Roman"/>
                <w:color w:val="000000"/>
                <w:sz w:val="24"/>
              </w:rPr>
            </w:pPr>
            <w:r>
              <w:rPr>
                <w:rFonts w:ascii="Times New Roman" w:hAnsi="Times New Roman"/>
                <w:color w:val="000000"/>
                <w:sz w:val="24"/>
              </w:rPr>
              <w:t>Chief Financial Officer, Chief Corporate Officer, and Treasurer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4" w:after="283"/>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the Certificate of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9" w:name="huma-ex21_1.htm"/>
      <w:bookmarkStart w:id="60" w:name="kshumaex21_1"/>
      <w:bookmarkEnd w:id="59"/>
      <w:bookmarkEnd w:id="60"/>
      <w:r>
        <w:rPr/>
        <w:t> </w:t>
      </w:r>
      <w:r>
        <w:br w:type="page"/>
      </w:r>
    </w:p>
    <w:p>
      <w:pPr>
        <w:pStyle w:val="TextBody"/>
        <w:bidi w:val="0"/>
        <w:jc w:val="right"/>
        <w:rPr>
          <w:rFonts w:ascii="Times New Roman" w:hAnsi="Times New Roman"/>
          <w:b/>
          <w:color w:val="000000"/>
          <w:sz w:val="24"/>
        </w:rPr>
      </w:pPr>
      <w:bookmarkStart w:id="61" w:name="section1"/>
      <w:bookmarkEnd w:id="61"/>
      <w:r>
        <w:rPr>
          <w:rFonts w:ascii="Times New Roman" w:hAnsi="Times New Roman"/>
          <w:b/>
          <w:color w:val="000000"/>
          <w:sz w:val="24"/>
        </w:rPr>
        <w:t>Exhibit 21.1</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Subsidiaries of Humacyte, Inc.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Humacyte Global, Inc.</w:t>
      </w:r>
    </w:p>
    <w:p>
      <w:pPr>
        <w:pStyle w:val="TextBody"/>
        <w:bidi w:val="0"/>
        <w:jc w:val="left"/>
        <w:rPr>
          <w:rFonts w:ascii="Times New Roman" w:hAnsi="Times New Roman"/>
          <w:color w:val="000000"/>
          <w:sz w:val="24"/>
        </w:rPr>
      </w:pPr>
      <w:r>
        <w:rPr>
          <w:rFonts w:ascii="Times New Roman" w:hAnsi="Times New Roman"/>
          <w:color w:val="000000"/>
          <w:sz w:val="24"/>
        </w:rPr>
        <w:t>Humacyte Europe Limited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2" w:name="huma-ex23_1.htm"/>
      <w:bookmarkStart w:id="63" w:name="kshumaex23_1"/>
      <w:bookmarkEnd w:id="62"/>
      <w:bookmarkEnd w:id="63"/>
      <w:r>
        <w:rPr/>
        <w:t> </w:t>
      </w:r>
      <w:r>
        <w:br w:type="page"/>
      </w:r>
    </w:p>
    <w:p>
      <w:pPr>
        <w:pStyle w:val="TextBody"/>
        <w:bidi w:val="0"/>
        <w:jc w:val="right"/>
        <w:rPr>
          <w:rFonts w:ascii="Times New Roman" w:hAnsi="Times New Roman"/>
          <w:b/>
          <w:color w:val="000000"/>
          <w:sz w:val="24"/>
        </w:rPr>
      </w:pPr>
      <w:bookmarkStart w:id="64" w:name="section11"/>
      <w:bookmarkEnd w:id="64"/>
      <w:r>
        <w:rPr>
          <w:rFonts w:ascii="Times New Roman" w:hAnsi="Times New Roman"/>
          <w:b/>
          <w:color w:val="000000"/>
          <w:sz w:val="24"/>
        </w:rPr>
        <w:t>Exhibit 23.1</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CONSENT OF INDEPENDENT REGISTERED PUBLIC ACCOUNTING FIRM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hereby consent to the incorporation by reference in the Registration Statements on Form S-3 (Nos. 333-290231, 333-272550, and 333-267222) and Form S-8 (Nos. 333-286271, 333-278296 and 333-260561) of Humacyte, Inc. of our report dated March 27, 2026 relating to the financial statements, which appears in this Form 10-K.</w:t>
      </w:r>
    </w:p>
    <w:p>
      <w:pPr>
        <w:pStyle w:val="TextBody"/>
        <w:bidi w:val="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PricewaterhouseCoopers LLP</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Raleigh, North Carolina</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March 27,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5" w:name="huma-ex31_1.htm"/>
      <w:bookmarkStart w:id="66" w:name="kshumaex31_1"/>
      <w:bookmarkEnd w:id="65"/>
      <w:bookmarkEnd w:id="66"/>
      <w:r>
        <w:rPr/>
        <w:t> </w:t>
      </w:r>
      <w:r>
        <w:br w:type="page"/>
      </w:r>
    </w:p>
    <w:p>
      <w:pPr>
        <w:pStyle w:val="TextBody"/>
        <w:bidi w:val="0"/>
        <w:jc w:val="right"/>
        <w:rPr>
          <w:rFonts w:ascii="Times New Roman" w:hAnsi="Times New Roman"/>
          <w:b/>
          <w:color w:val="000000"/>
          <w:sz w:val="24"/>
        </w:rPr>
      </w:pPr>
      <w:bookmarkStart w:id="67" w:name="section12"/>
      <w:bookmarkEnd w:id="67"/>
      <w:r>
        <w:rPr>
          <w:rFonts w:ascii="Times New Roman" w:hAnsi="Times New Roman"/>
          <w:b/>
          <w:color w:val="000000"/>
          <w:sz w:val="24"/>
        </w:rPr>
        <w:t>Exhibit 31.1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Laura E. Niklason, certify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have reviewed this Annual Report on Form 10-K of Humacyte, Inc.;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Any fraud, whether or not material, that involves management or other employees who have a significant role in the registrant’s internal control over financial reporting.</w:t>
      </w:r>
    </w:p>
    <w:tbl>
      <w:tblPr>
        <w:tblW w:w="7144" w:type="dxa"/>
        <w:jc w:val="left"/>
        <w:tblInd w:w="0" w:type="dxa"/>
        <w:tblLayout w:type="fixed"/>
        <w:tblCellMar>
          <w:top w:w="28" w:type="dxa"/>
          <w:left w:w="28" w:type="dxa"/>
          <w:bottom w:w="28" w:type="dxa"/>
          <w:right w:w="28" w:type="dxa"/>
        </w:tblCellMar>
      </w:tblPr>
      <w:tblGrid>
        <w:gridCol w:w="2206"/>
        <w:gridCol w:w="451"/>
        <w:gridCol w:w="736"/>
        <w:gridCol w:w="3751"/>
      </w:tblGrid>
      <w:tr>
        <w:trPr/>
        <w:tc>
          <w:tcPr>
            <w:tcW w:w="2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Date: March 27, 2026</w:t>
            </w:r>
          </w:p>
        </w:tc>
        <w:tc>
          <w:tcPr>
            <w:tcW w:w="4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By:</w:t>
            </w:r>
          </w:p>
        </w:tc>
        <w:tc>
          <w:tcPr>
            <w:tcW w:w="4487"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/s/ Laura E. Niklason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4"/>
              </w:rPr>
            </w:pPr>
            <w:r>
              <w:rPr>
                <w:rFonts w:ascii="Times New Roman" w:hAnsi="Times New Roman"/>
                <w:color w:val="000000"/>
                <w:sz w:val="24"/>
              </w:rPr>
              <w:t>Name:</w:t>
            </w:r>
          </w:p>
        </w:tc>
        <w:tc>
          <w:tcPr>
            <w:tcW w:w="375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4"/>
              </w:rPr>
            </w:pPr>
            <w:r>
              <w:rPr>
                <w:rFonts w:ascii="Times New Roman" w:hAnsi="Times New Roman"/>
                <w:color w:val="000000"/>
                <w:sz w:val="24"/>
              </w:rPr>
              <w:t>Laura E. Niklason, M.D., Ph.D.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Title:</w:t>
            </w:r>
          </w:p>
        </w:tc>
        <w:tc>
          <w:tcPr>
            <w:tcW w:w="3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8" w:name="huma-ex31_2.htm"/>
      <w:bookmarkStart w:id="69" w:name="kshumaex31_2"/>
      <w:bookmarkEnd w:id="68"/>
      <w:bookmarkEnd w:id="69"/>
      <w:r>
        <w:rPr/>
        <w:t> </w:t>
      </w:r>
      <w:r>
        <w:br w:type="page"/>
      </w:r>
    </w:p>
    <w:p>
      <w:pPr>
        <w:pStyle w:val="TextBody"/>
        <w:bidi w:val="0"/>
        <w:jc w:val="right"/>
        <w:rPr>
          <w:rFonts w:ascii="Times New Roman" w:hAnsi="Times New Roman"/>
          <w:b/>
          <w:color w:val="000000"/>
          <w:sz w:val="24"/>
        </w:rPr>
      </w:pPr>
      <w:bookmarkStart w:id="70" w:name="section13"/>
      <w:bookmarkEnd w:id="70"/>
      <w:r>
        <w:rPr>
          <w:rFonts w:ascii="Times New Roman" w:hAnsi="Times New Roman"/>
          <w:b/>
          <w:color w:val="000000"/>
          <w:sz w:val="24"/>
        </w:rPr>
        <w:t>Exhibit 31.2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Dale A. Sander, certify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have reviewed this Annual Report on Form 10-K of Humacyte, Inc.;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30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300"/>
        <w:jc w:val="both"/>
        <w:rPr>
          <w:rFonts w:ascii="Times New Roman" w:hAnsi="Times New Roman"/>
          <w:color w:val="000000"/>
          <w:sz w:val="24"/>
        </w:rPr>
      </w:pPr>
      <w:r>
        <w:rPr>
          <w:rFonts w:ascii="Times New Roman" w:hAnsi="Times New Roman"/>
          <w:color w:val="000000"/>
          <w:sz w:val="24"/>
        </w:rPr>
        <w:t>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2080"/>
        <w:gridCol w:w="446"/>
        <w:gridCol w:w="731"/>
        <w:gridCol w:w="6948"/>
      </w:tblGrid>
      <w:tr>
        <w:trPr/>
        <w:tc>
          <w:tcPr>
            <w:tcW w:w="20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948" w:type="dxa"/>
            <w:tcBorders/>
            <w:vAlign w:val="center"/>
          </w:tcPr>
          <w:p>
            <w:pPr>
              <w:pStyle w:val="TableContents"/>
              <w:bidi w:val="0"/>
              <w:spacing w:before="0" w:after="283"/>
              <w:jc w:val="left"/>
              <w:rPr>
                <w:sz w:val="4"/>
                <w:szCs w:val="4"/>
              </w:rPr>
            </w:pPr>
            <w:r>
              <w:rPr>
                <w:sz w:val="4"/>
                <w:szCs w:val="4"/>
              </w:rPr>
            </w:r>
          </w:p>
        </w:tc>
      </w:tr>
      <w:tr>
        <w:trPr/>
        <w:tc>
          <w:tcPr>
            <w:tcW w:w="208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Date: March 27, 2026</w:t>
            </w:r>
          </w:p>
        </w:tc>
        <w:tc>
          <w:tcPr>
            <w:tcW w:w="4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By:</w:t>
            </w:r>
          </w:p>
        </w:tc>
        <w:tc>
          <w:tcPr>
            <w:tcW w:w="7679"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color w:val="000000"/>
              </w:rPr>
            </w:pPr>
            <w:r>
              <w:rPr>
                <w:color w:val="000000"/>
              </w:rPr>
              <w:t> </w:t>
            </w:r>
            <w:r>
              <w:rPr>
                <w:rFonts w:ascii="Times New Roman" w:hAnsi="Times New Roman"/>
                <w:color w:val="000000"/>
                <w:sz w:val="24"/>
              </w:rPr>
              <w:t>/s/ Dale A. Sander</w:t>
            </w:r>
          </w:p>
        </w:tc>
      </w:tr>
      <w:tr>
        <w:trPr/>
        <w:tc>
          <w:tcPr>
            <w:tcW w:w="2080"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4"/>
              </w:rPr>
            </w:pPr>
            <w:r>
              <w:rPr>
                <w:rFonts w:ascii="Times New Roman" w:hAnsi="Times New Roman"/>
                <w:color w:val="000000"/>
                <w:sz w:val="24"/>
              </w:rPr>
              <w:t>Name:</w:t>
            </w:r>
          </w:p>
        </w:tc>
        <w:tc>
          <w:tcPr>
            <w:tcW w:w="6948"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4"/>
              </w:rPr>
            </w:pPr>
            <w:r>
              <w:rPr>
                <w:rFonts w:ascii="Times New Roman" w:hAnsi="Times New Roman"/>
                <w:color w:val="000000"/>
                <w:sz w:val="24"/>
              </w:rPr>
              <w:t>Dale A. Sander</w:t>
            </w:r>
          </w:p>
        </w:tc>
      </w:tr>
      <w:tr>
        <w:trPr/>
        <w:tc>
          <w:tcPr>
            <w:tcW w:w="2080"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Title:</w:t>
            </w:r>
          </w:p>
        </w:tc>
        <w:tc>
          <w:tcPr>
            <w:tcW w:w="694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4"/>
              </w:rPr>
            </w:pPr>
            <w:r>
              <w:rPr>
                <w:rFonts w:ascii="Times New Roman" w:hAnsi="Times New Roman"/>
                <w:color w:val="000000"/>
                <w:sz w:val="24"/>
              </w:rPr>
              <w:t>Chief Financial Officer, Chief Corporate Development Officer and Treasurer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1" w:name="huma-ex32_1.htm"/>
      <w:bookmarkStart w:id="72" w:name="kshumaex32_1"/>
      <w:bookmarkEnd w:id="71"/>
      <w:bookmarkEnd w:id="72"/>
      <w:r>
        <w:rPr/>
        <w:t> </w:t>
      </w:r>
      <w:r>
        <w:br w:type="page"/>
      </w:r>
    </w:p>
    <w:p>
      <w:pPr>
        <w:pStyle w:val="TextBody"/>
        <w:bidi w:val="0"/>
        <w:jc w:val="right"/>
        <w:rPr>
          <w:rFonts w:ascii="Times New Roman" w:hAnsi="Times New Roman"/>
          <w:b/>
          <w:color w:val="000000"/>
          <w:sz w:val="24"/>
        </w:rPr>
      </w:pPr>
      <w:bookmarkStart w:id="73" w:name="section14"/>
      <w:bookmarkEnd w:id="73"/>
      <w:r>
        <w:rPr>
          <w:rFonts w:ascii="Times New Roman" w:hAnsi="Times New Roman"/>
          <w:b/>
          <w:color w:val="000000"/>
          <w:sz w:val="24"/>
        </w:rPr>
        <w:t>Exhibit 32.1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 connection with the Annual Report on Form 10-K of Humacyte, Inc. (the “Company”) for the fiscal year ended </w:t>
      </w:r>
      <w:r>
        <w:rPr>
          <w:rFonts w:ascii="Times New Roman" w:hAnsi="Times New Roman"/>
          <w:color w:val="231F20"/>
          <w:sz w:val="24"/>
        </w:rPr>
        <w:t>December 31, 2025</w:t>
      </w:r>
      <w:r>
        <w:rPr>
          <w:rFonts w:ascii="Times New Roman" w:hAnsi="Times New Roman"/>
          <w:color w:val="000000"/>
          <w:sz w:val="20"/>
        </w:rPr>
        <w:t xml:space="preserve"> </w:t>
      </w:r>
      <w:r>
        <w:rPr>
          <w:rFonts w:ascii="Times New Roman" w:hAnsi="Times New Roman"/>
          <w:color w:val="000000"/>
          <w:sz w:val="24"/>
        </w:rPr>
        <w:t>(the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left"/>
        <w:rPr/>
      </w:pPr>
      <w:r>
        <w:rPr/>
        <w:t> </w:t>
      </w:r>
    </w:p>
    <w:tbl>
      <w:tblPr>
        <w:tblW w:w="7144" w:type="dxa"/>
        <w:jc w:val="left"/>
        <w:tblInd w:w="0" w:type="dxa"/>
        <w:tblLayout w:type="fixed"/>
        <w:tblCellMar>
          <w:top w:w="28" w:type="dxa"/>
          <w:left w:w="28" w:type="dxa"/>
          <w:bottom w:w="28" w:type="dxa"/>
          <w:right w:w="28" w:type="dxa"/>
        </w:tblCellMar>
      </w:tblPr>
      <w:tblGrid>
        <w:gridCol w:w="2206"/>
        <w:gridCol w:w="451"/>
        <w:gridCol w:w="736"/>
        <w:gridCol w:w="3751"/>
      </w:tblGrid>
      <w:tr>
        <w:trPr/>
        <w:tc>
          <w:tcPr>
            <w:tcW w:w="2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March 27,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48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Laura E. Niklason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Laura E. Niklason, M.D., Ph.D.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4" w:name="huma-ex32_2.htm"/>
      <w:bookmarkStart w:id="75" w:name="kshumaex32_2"/>
      <w:bookmarkEnd w:id="74"/>
      <w:bookmarkEnd w:id="75"/>
      <w:r>
        <w:rPr/>
        <w:t> </w:t>
      </w:r>
      <w:r>
        <w:br w:type="page"/>
      </w:r>
    </w:p>
    <w:p>
      <w:pPr>
        <w:pStyle w:val="TextBody"/>
        <w:bidi w:val="0"/>
        <w:jc w:val="right"/>
        <w:rPr>
          <w:rFonts w:ascii="Times New Roman" w:hAnsi="Times New Roman"/>
          <w:b/>
          <w:color w:val="000000"/>
          <w:sz w:val="24"/>
        </w:rPr>
      </w:pPr>
      <w:bookmarkStart w:id="76" w:name="section15"/>
      <w:bookmarkEnd w:id="76"/>
      <w:r>
        <w:rPr>
          <w:rFonts w:ascii="Times New Roman" w:hAnsi="Times New Roman"/>
          <w:b/>
          <w:color w:val="000000"/>
          <w:sz w:val="24"/>
        </w:rPr>
        <w:t>Exhibit 32.2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 connection with the Annual Report on Form 10-K of Humacyte, Inc. (the “Company”) for the fiscal year ended </w:t>
      </w:r>
      <w:r>
        <w:rPr>
          <w:rFonts w:ascii="Times New Roman" w:hAnsi="Times New Roman"/>
          <w:color w:val="231F20"/>
          <w:sz w:val="24"/>
        </w:rPr>
        <w:t>December 31, 2025</w:t>
      </w:r>
      <w:r>
        <w:rPr>
          <w:rFonts w:ascii="Times New Roman" w:hAnsi="Times New Roman"/>
          <w:color w:val="000000"/>
          <w:sz w:val="20"/>
        </w:rPr>
        <w:t xml:space="preserve"> </w:t>
      </w:r>
      <w:r>
        <w:rPr>
          <w:rFonts w:ascii="Times New Roman" w:hAnsi="Times New Roman"/>
          <w:color w:val="000000"/>
          <w:sz w:val="24"/>
        </w:rPr>
        <w:t>(the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0"/>
        <w:gridCol w:w="446"/>
        <w:gridCol w:w="731"/>
        <w:gridCol w:w="6948"/>
      </w:tblGrid>
      <w:tr>
        <w:trPr/>
        <w:tc>
          <w:tcPr>
            <w:tcW w:w="20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948" w:type="dxa"/>
            <w:tcBorders/>
            <w:vAlign w:val="center"/>
          </w:tcPr>
          <w:p>
            <w:pPr>
              <w:pStyle w:val="TableContents"/>
              <w:bidi w:val="0"/>
              <w:spacing w:before="0" w:after="283"/>
              <w:jc w:val="left"/>
              <w:rPr>
                <w:sz w:val="4"/>
                <w:szCs w:val="4"/>
              </w:rPr>
            </w:pPr>
            <w:r>
              <w:rPr>
                <w:sz w:val="4"/>
                <w:szCs w:val="4"/>
              </w:rPr>
            </w:r>
          </w:p>
        </w:tc>
      </w:tr>
      <w:tr>
        <w:trPr/>
        <w:tc>
          <w:tcPr>
            <w:tcW w:w="20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March 27, 2026</w:t>
            </w:r>
          </w:p>
        </w:tc>
        <w:tc>
          <w:tcPr>
            <w:tcW w:w="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67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Dale A. Sander</w:t>
            </w:r>
          </w:p>
        </w:tc>
      </w:tr>
      <w:tr>
        <w:trPr/>
        <w:tc>
          <w:tcPr>
            <w:tcW w:w="2080"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6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Dale A. Sander</w:t>
            </w:r>
          </w:p>
        </w:tc>
      </w:tr>
      <w:tr>
        <w:trPr/>
        <w:tc>
          <w:tcPr>
            <w:tcW w:w="2080"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6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 Chief Corporate Development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gif"/><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hyperlink" Target="https://www.sec.gov/Archives/edgar/data/1818382/000181838222000195/huma-20221208xexhibit32.htm" TargetMode="External"/><Relationship Id="rId27" Type="http://schemas.openxmlformats.org/officeDocument/2006/relationships/hyperlink" Target="https://www.sec.gov/Archives/edgar/data/1818382/000121390020027850/ea127151ex4-1_alphahealth.htm" TargetMode="External"/><Relationship Id="rId28" Type="http://schemas.openxmlformats.org/officeDocument/2006/relationships/hyperlink" Target="https://www.sec.gov/Archives/edgar/data/1818382/000121390021017053/fs42021ex10-3_alphahealth.htm" TargetMode="External"/><Relationship Id="rId29" Type="http://schemas.openxmlformats.org/officeDocument/2006/relationships/hyperlink" Target="https://www.sec.gov/Archives/edgar/data/1818382/000121390021039798/fs42021a4_alphahealthcare.htm" TargetMode="External"/><Relationship Id="rId30" Type="http://schemas.openxmlformats.org/officeDocument/2006/relationships/hyperlink" Target="https://www.sec.gov/Archives/edgar/data/1818382/000121390021032196/fs42021a1ex10-6i_alphahealt.htm" TargetMode="External"/><Relationship Id="rId31" Type="http://schemas.openxmlformats.org/officeDocument/2006/relationships/hyperlink" Target="https://www.sec.gov/Archives/edgar/data/1818382/000121390021032196/fs42021a1ex10-6ii_alphahealt.htm" TargetMode="External"/><Relationship Id="rId32" Type="http://schemas.openxmlformats.org/officeDocument/2006/relationships/hyperlink" Target="https://www.sec.gov/Archives/edgar/data/1818382/000110465924106404/tm2425697d1_ex4-1.htm" TargetMode="External"/><Relationship Id="rId33" Type="http://schemas.openxmlformats.org/officeDocument/2006/relationships/hyperlink" Target="https://www.sec.gov/Archives/edgar/data/1818382/000110465924119013/tm2428460d1_ex4-1.htm" TargetMode="External"/><Relationship Id="rId34" Type="http://schemas.openxmlformats.org/officeDocument/2006/relationships/hyperlink" Target="https://www.sec.gov/Archives/edgar/data/1818382/000110465925097591/tm2528189d1_ex4-1.htm" TargetMode="External"/><Relationship Id="rId35" Type="http://schemas.openxmlformats.org/officeDocument/2006/relationships/hyperlink" Target="https://www.sec.gov/Archives/edgar/data/1818382/000110465925121214/tm2533185d3_ex4-1.htm" TargetMode="External"/><Relationship Id="rId36" Type="http://schemas.openxmlformats.org/officeDocument/2006/relationships/hyperlink" Target="https://www.sec.gov/Archives/edgar/data/1818382/000181838224000040/huma-20231231x10kxexhibit46.htm" TargetMode="External"/><Relationship Id="rId37" Type="http://schemas.openxmlformats.org/officeDocument/2006/relationships/hyperlink" Target="https://www.sec.gov/Archives/edgar/data/1818382/000110465925121214/tm2533185d3_ex10-1.htm" TargetMode="External"/><Relationship Id="rId38" Type="http://schemas.openxmlformats.org/officeDocument/2006/relationships/hyperlink" Target="https://www.sec.gov/Archives/edgar/data/1818382/000110465925121674/tm2533475d2_ex10-1.htm" TargetMode="External"/><Relationship Id="rId39" Type="http://schemas.openxmlformats.org/officeDocument/2006/relationships/hyperlink" Target="https://www.sec.gov/Archives/edgar/data/1818382/000110465924102498/tm2424623d1_ex10-1.htm" TargetMode="External"/><Relationship Id="rId40" Type="http://schemas.openxmlformats.org/officeDocument/2006/relationships/hyperlink" Target="https://www.sec.gov/Archives/edgar/data/1818382/000110465924102498/tm2424623d1_ex10-2.htm" TargetMode="External"/><Relationship Id="rId41" Type="http://schemas.openxmlformats.org/officeDocument/2006/relationships/hyperlink" Target="https://www.sec.gov/Archives/edgar/data/1818382/000121390021017053/fs42021ex10-6_alphahealth.htm" TargetMode="External"/><Relationship Id="rId42" Type="http://schemas.openxmlformats.org/officeDocument/2006/relationships/hyperlink" Target="https://www.sec.gov/Archives/edgar/data/1818382/000121390021017053/fs42021ex10-6i_alphahealth.htm" TargetMode="External"/><Relationship Id="rId43" Type="http://schemas.openxmlformats.org/officeDocument/2006/relationships/hyperlink" Target="https://www.sec.gov/Archives/edgar/data/1818382/000121390021017053/fs42021ex10-6ii_alphahealth.htm" TargetMode="External"/><Relationship Id="rId44" Type="http://schemas.openxmlformats.org/officeDocument/2006/relationships/hyperlink" Target="https://www.sec.gov/Archives/edgar/data/1818382/000121390021032196/fs42021a1ex10-9_alphahealt.htm" TargetMode="External"/><Relationship Id="rId45" Type="http://schemas.openxmlformats.org/officeDocument/2006/relationships/hyperlink" Target="https://www.sec.gov/Archives/edgar/data/1818382/000121390021032196/fs42021a1ex10-10_alphahealt.htm" TargetMode="External"/><Relationship Id="rId46" Type="http://schemas.openxmlformats.org/officeDocument/2006/relationships/hyperlink" Target="https://www.sec.gov/Archives/edgar/data/1818382/000121390021017053/fs42021ex10-10_alphahealth.htm" TargetMode="External"/><Relationship Id="rId47" Type="http://schemas.openxmlformats.org/officeDocument/2006/relationships/hyperlink" Target="https://www.sec.gov/Archives/edgar/data/1818382/000121390021017053/fs42021ex10-10i_alphahealth.htm" TargetMode="External"/><Relationship Id="rId48" Type="http://schemas.openxmlformats.org/officeDocument/2006/relationships/hyperlink" Target="https://www.sec.gov/Archives/edgar/data/1818382/000121390021017053/fs42021ex10-10ii_alphahealth.htm" TargetMode="External"/><Relationship Id="rId49" Type="http://schemas.openxmlformats.org/officeDocument/2006/relationships/hyperlink" Target="https://www.sec.gov/Archives/edgar/data/1818382/000121390021017053/fs42021ex10-10iii_alphahealt.htm" TargetMode="External"/><Relationship Id="rId50" Type="http://schemas.openxmlformats.org/officeDocument/2006/relationships/hyperlink" Target="https://www.sec.gov/Archives/edgar/data/1818382/000121390021017053/fs42021ex10-10iv_alphahealth.htm" TargetMode="External"/><Relationship Id="rId51" Type="http://schemas.openxmlformats.org/officeDocument/2006/relationships/hyperlink" Target="https://www.sec.gov/Archives/edgar/data/1818382/000121390021017053/fs42021ex10-10v_alphahealth.htm" TargetMode="External"/><Relationship Id="rId52" Type="http://schemas.openxmlformats.org/officeDocument/2006/relationships/hyperlink" Target="https://www.sec.gov/Archives/edgar/data/1818382/000181838222000011/huma-2021123110kxex1076.htm" TargetMode="External"/><Relationship Id="rId53" Type="http://schemas.openxmlformats.org/officeDocument/2006/relationships/hyperlink" Target="https://www.sec.gov/Archives/edgar/data/1818382/000121390021017053/fs42021ex10-11_alphahealth.htm" TargetMode="External"/><Relationship Id="rId54" Type="http://schemas.openxmlformats.org/officeDocument/2006/relationships/hyperlink" Target="https://www.sec.gov/Archives/edgar/data/1818382/000121390021017053/fs42021ex10-11i_alphahealth.htm" TargetMode="External"/><Relationship Id="rId55" Type="http://schemas.openxmlformats.org/officeDocument/2006/relationships/hyperlink" Target="https://www.sec.gov/Archives/edgar/data/1818382/000121390021032196/fs42021a1ex10-12ii_alphahea.htm" TargetMode="External"/><Relationship Id="rId56" Type="http://schemas.openxmlformats.org/officeDocument/2006/relationships/hyperlink" Target="https://www.sec.gov/Archives/edgar/data/1818382/000121390021032196/fs42021a1ex10-13_alphahealt.htm" TargetMode="External"/><Relationship Id="rId57" Type="http://schemas.openxmlformats.org/officeDocument/2006/relationships/hyperlink" Target="https://www.sec.gov/Archives/edgar/data/1818382/000121390021017053/fs42021ex10-13_alphahealth.htm" TargetMode="External"/><Relationship Id="rId58" Type="http://schemas.openxmlformats.org/officeDocument/2006/relationships/hyperlink" Target="https://www.sec.gov/Archives/edgar/data/1818382/000181838223000016/huma-20221231x10kxex1011.htm" TargetMode="External"/><Relationship Id="rId59" Type="http://schemas.openxmlformats.org/officeDocument/2006/relationships/hyperlink" Target="https://www.sec.gov/Archives/edgar/data/1818382/000110465921110678/tm2126013d1_ex10-4.htm" TargetMode="External"/><Relationship Id="rId60" Type="http://schemas.openxmlformats.org/officeDocument/2006/relationships/hyperlink" Target="https://www.sec.gov/Archives/edgar/data/1818382/000110465921110678/tm2126013d1_ex10-4d1.htm" TargetMode="External"/><Relationship Id="rId61" Type="http://schemas.openxmlformats.org/officeDocument/2006/relationships/hyperlink" Target="https://www.sec.gov/Archives/edgar/data/1818382/000110465921110678/tm2126013d1_ex10-5.htm" TargetMode="External"/><Relationship Id="rId62" Type="http://schemas.openxmlformats.org/officeDocument/2006/relationships/hyperlink" Target="https://www.sec.gov/Archives/edgar/data/1818382/000110465921110678/tm2126013d1_ex10-8.htm" TargetMode="External"/><Relationship Id="rId63" Type="http://schemas.openxmlformats.org/officeDocument/2006/relationships/hyperlink" Target="https://www.sec.gov/Archives/edgar/data/1818382/000121390021017053/fs42021ex10-18_alphahealth.htm" TargetMode="External"/><Relationship Id="rId64" Type="http://schemas.openxmlformats.org/officeDocument/2006/relationships/hyperlink" Target="https://www.sec.gov/Archives/edgar/data/1818382/000121390021017053/fs42021ex10-18i_alphahealth.htm" TargetMode="External"/><Relationship Id="rId65" Type="http://schemas.openxmlformats.org/officeDocument/2006/relationships/hyperlink" Target="https://www.sec.gov/Archives/edgar/data/1818382/000121390021017053/fs42021ex10-18ii_alphahealth.htm" TargetMode="External"/><Relationship Id="rId66" Type="http://schemas.openxmlformats.org/officeDocument/2006/relationships/hyperlink" Target="https://www.sec.gov/Archives/edgar/data/1818382/000121390021017053/fs42021ex10-18iii_humacyte.htm" TargetMode="External"/><Relationship Id="rId67" Type="http://schemas.openxmlformats.org/officeDocument/2006/relationships/hyperlink" Target="https://www.sec.gov/Archives/edgar/data/1818382/000121390021017053/fs42021ex10-18iv_alphahealth.htm" TargetMode="External"/><Relationship Id="rId68" Type="http://schemas.openxmlformats.org/officeDocument/2006/relationships/hyperlink" Target="https://www.sec.gov/Archives/edgar/data/1818382/000121390021017053/fs42021ex10-18v_alphahealth.htm" TargetMode="External"/><Relationship Id="rId69" Type="http://schemas.openxmlformats.org/officeDocument/2006/relationships/hyperlink" Target="https://www.sec.gov/Archives/edgar/data/1818382/000121390021017053/fs42021ex10-19_alphahealth.htm" TargetMode="External"/><Relationship Id="rId70" Type="http://schemas.openxmlformats.org/officeDocument/2006/relationships/hyperlink" Target="https://www.sec.gov/Archives/edgar/data/1818382/000121390021017053/fs42021ex10-19i_alphahealth.htm" TargetMode="External"/><Relationship Id="rId71" Type="http://schemas.openxmlformats.org/officeDocument/2006/relationships/hyperlink" Target="https://www.sec.gov/Archives/edgar/data/1818382/000121390021017053/fs42021ex10-19ii_alphahealth.htm" TargetMode="External"/><Relationship Id="rId72" Type="http://schemas.openxmlformats.org/officeDocument/2006/relationships/hyperlink" Target="https://www.sec.gov/Archives/edgar/data/1818382/000121390021017053/fs42021ex10-19iii_alphahealt.htm" TargetMode="External"/><Relationship Id="rId73" Type="http://schemas.openxmlformats.org/officeDocument/2006/relationships/hyperlink" Target="https://www.sec.gov/Archives/edgar/data/1818382/000121390021017053/fs42021ex10-19iv_alphahealth.htm" TargetMode="External"/><Relationship Id="rId74" Type="http://schemas.openxmlformats.org/officeDocument/2006/relationships/hyperlink" Target="https://www.sec.gov/Archives/edgar/data/1818382/000121390021035153/fs42021a2ex10-23_alpha.htm" TargetMode="External"/><Relationship Id="rId75" Type="http://schemas.openxmlformats.org/officeDocument/2006/relationships/hyperlink" Target="https://www.sec.gov/Archives/edgar/data/1818382/000121390021017053/fs42021ex10-22_alphahealth.htm" TargetMode="External"/><Relationship Id="rId76" Type="http://schemas.openxmlformats.org/officeDocument/2006/relationships/hyperlink" Target="https://www.sec.gov/Archives/edgar/data/1818382/000121390021017053/fs42021ex10-22i_alphahealth.htm" TargetMode="External"/><Relationship Id="rId77" Type="http://schemas.openxmlformats.org/officeDocument/2006/relationships/hyperlink" Target="https://www.sec.gov/Archives/edgar/data/1818382/000121390021017053/fs42021ex10-22ii_alphahealth.htm" TargetMode="External"/><Relationship Id="rId78" Type="http://schemas.openxmlformats.org/officeDocument/2006/relationships/hyperlink" Target="https://www.sec.gov/Archives/edgar/data/1818382/000121390021017053/fs42021ex10-22iii_alphahealt.htm" TargetMode="External"/><Relationship Id="rId79" Type="http://schemas.openxmlformats.org/officeDocument/2006/relationships/hyperlink" Target="https://www.sec.gov/Archives/edgar/data/1818382/000121390021017053/fs42021ex10-22iv_alphahealth.htm" TargetMode="External"/><Relationship Id="rId80" Type="http://schemas.openxmlformats.org/officeDocument/2006/relationships/hyperlink" Target="https://www.sec.gov/Archives/edgar/data/1818382/000181838225000132/huma-20250930x10qxex102.htm" TargetMode="External"/><Relationship Id="rId81" Type="http://schemas.openxmlformats.org/officeDocument/2006/relationships/hyperlink" Target="https://www.sec.gov/Archives/edgar/data/1818382/000181838225000132/huma-20250930x10qxex103.htm" TargetMode="External"/><Relationship Id="rId82" Type="http://schemas.openxmlformats.org/officeDocument/2006/relationships/hyperlink" Target="https://www.sec.gov/Archives/edgar/data/1818382/000181838225000034/huma2024123110kexhibit191.htm" TargetMode="External"/><Relationship Id="rId83" Type="http://schemas.openxmlformats.org/officeDocument/2006/relationships/hyperlink" Target="https://www.sec.gov/Archives/edgar/data/1818382/000181838224000040/huma-20231231x10kxexhibit97.htm" TargetMode="External"/><Relationship Id="rId84" Type="http://schemas.openxmlformats.org/officeDocument/2006/relationships/hyperlink" Target="https://www.sec.gov/Archives/edgar/data/1818382/000181838224000040/huma-20231231x10kxexhibit97.htm" TargetMode="External"/><Relationship Id="rId85" Type="http://schemas.openxmlformats.org/officeDocument/2006/relationships/hyperlink" Target="https://www.sec.gov/Archives/edgar/data/1818382/000181838224000040/huma-20231231x10kxexhibit97.htm" TargetMode="External"/><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118413</Words>
  <Characters>653760</Characters>
  <CharactersWithSpaces>771167</CharactersWithSpaces>
  <Paragraphs>9869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