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___________________________________________________________________________________________________________________________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60" w:after="283"/>
        <w:jc w:val="left"/>
        <w:rPr>
          <w:rFonts w:ascii="Times New Roman;sans-serif" w:hAnsi="Times New Roman;sans-serif"/>
          <w:b/>
          <w:color w:val="000000"/>
          <w:sz w:val="16"/>
        </w:rPr>
      </w:pPr>
      <w:r>
        <w:rPr>
          <w:rFonts w:ascii="Times New Roman;sans-serif" w:hAnsi="Times New Roman;sans-serif"/>
          <w:b/>
          <w:color w:val="000000"/>
          <w:sz w:val="16"/>
        </w:rPr>
        <w:t>(Mark One)</w:t>
      </w:r>
    </w:p>
    <w:p>
      <w:pPr>
        <w:pStyle w:val="TextBody"/>
        <w:bidi w:val="0"/>
        <w:spacing w:lineRule="auto" w:line="288" w:before="120" w:after="283"/>
        <w:jc w:val="center"/>
        <w:rPr/>
      </w:pPr>
      <w:r>
        <w:rPr>
          <w:rFonts w:ascii="Wingdings;sans-serif" w:hAnsi="Wingdings;sans-serif"/>
          <w:b w:val="false"/>
          <w:color w:val="000000"/>
          <w:sz w:val="16"/>
        </w:rPr>
        <w:t>x</w:t>
      </w:r>
      <w:r>
        <w:rPr>
          <w:color w:val="000000"/>
        </w:rPr>
        <w:t xml:space="preserve"> </w:t>
      </w:r>
      <w:r>
        <w:rPr>
          <w:rFonts w:ascii="Times New Roman;sans-serif" w:hAnsi="Times New Roman;sans-serif"/>
          <w:b/>
          <w:color w:val="000000"/>
          <w:sz w:val="16"/>
        </w:rPr>
        <w:t>QUARTERLY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September 30, 2023</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lineRule="auto" w:line="288" w:before="120" w:after="283"/>
        <w:jc w:val="center"/>
        <w:rPr/>
      </w:pPr>
      <w:r>
        <w:rPr>
          <w:rFonts w:ascii="Wingdings;sans-serif" w:hAnsi="Wingdings;sans-serif"/>
          <w:b/>
          <w:color w:val="000000"/>
          <w:sz w:val="16"/>
        </w:rPr>
        <w:t>o</w:t>
      </w:r>
      <w:r>
        <w:rPr>
          <w:color w:val="000000"/>
        </w:rPr>
        <w:t xml:space="preserve"> </w:t>
      </w:r>
      <w:r>
        <w:rPr>
          <w:rFonts w:ascii="Times New Roman;sans-serif" w:hAnsi="Times New Roman;sans-serif"/>
          <w:b/>
          <w:color w:val="000000"/>
          <w:sz w:val="16"/>
        </w:rPr>
        <w:t>TRANSITION REPORT PURSUANT TO SECTION 13 OR 15(d) OF THE SECURITIES EXCHANGE ACT OF 1934</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______ to ______.</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001-39532</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Humacyte, Inc.</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w:t>
      </w:r>
    </w:p>
    <w:tbl>
      <w:tblPr>
        <w:tblW w:w="5606" w:type="dxa"/>
        <w:jc w:val="center"/>
        <w:tblInd w:w="0" w:type="dxa"/>
        <w:tblLayout w:type="fixed"/>
        <w:tblCellMar>
          <w:top w:w="28" w:type="dxa"/>
          <w:left w:w="28" w:type="dxa"/>
          <w:bottom w:w="28" w:type="dxa"/>
          <w:right w:w="28" w:type="dxa"/>
        </w:tblCellMar>
      </w:tblPr>
      <w:tblGrid>
        <w:gridCol w:w="544"/>
        <w:gridCol w:w="476"/>
        <w:gridCol w:w="476"/>
        <w:gridCol w:w="476"/>
        <w:gridCol w:w="476"/>
        <w:gridCol w:w="488"/>
        <w:gridCol w:w="778"/>
        <w:gridCol w:w="778"/>
        <w:gridCol w:w="1114"/>
      </w:tblGrid>
      <w:tr>
        <w:trPr/>
        <w:tc>
          <w:tcPr>
            <w:tcW w:w="54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85-1763759</w:t>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 xml:space="preserve">(State or other jurisdiction of </w:t>
              <w:br/>
              <w:t>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r>
        <w:trPr/>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6" w:type="dxa"/>
            <w:gridSpan w:val="6"/>
            <w:tcBorders/>
            <w:tcMar>
              <w:top w:w="0" w:type="dxa"/>
              <w:left w:w="0" w:type="dxa"/>
              <w:bottom w:w="0" w:type="dxa"/>
              <w:right w:w="0" w:type="dxa"/>
            </w:tcMar>
            <w:vAlign w:val="center"/>
          </w:tcPr>
          <w:p>
            <w:pPr>
              <w:pStyle w:val="TableContents"/>
              <w:bidi w:val="0"/>
              <w:spacing w:lineRule="auto" w:line="288" w:before="200" w:after="283"/>
              <w:jc w:val="center"/>
              <w:rPr>
                <w:rFonts w:ascii="Times New Roman;sans-serif" w:hAnsi="Times New Roman;sans-serif"/>
                <w:b/>
                <w:color w:val="000000"/>
                <w:sz w:val="16"/>
              </w:rPr>
            </w:pPr>
            <w:r>
              <w:rPr>
                <w:rFonts w:ascii="Times New Roman;sans-serif" w:hAnsi="Times New Roman;sans-serif"/>
                <w:b/>
                <w:color w:val="000000"/>
                <w:sz w:val="16"/>
              </w:rPr>
              <w:t>2525 East North Carolina Highway 54</w:t>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Durham,</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color w:val="000000"/>
                <w:sz w:val="16"/>
              </w:rPr>
              <w:t>NC</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27713</w:t>
            </w:r>
          </w:p>
        </w:tc>
      </w:tr>
      <w:tr>
        <w:trPr/>
        <w:tc>
          <w:tcPr>
            <w:tcW w:w="29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(Zip code)</w:t>
            </w:r>
          </w:p>
        </w:tc>
      </w:tr>
    </w:tbl>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(919) 313-9633</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(Registrant’s telephone number, including area code)</w:t>
      </w:r>
    </w:p>
    <w:p>
      <w:pPr>
        <w:pStyle w:val="TextBody"/>
        <w:bidi w:val="0"/>
        <w:spacing w:lineRule="auto" w:line="288" w:before="120" w:after="283"/>
        <w:jc w:val="center"/>
        <w:rPr>
          <w:rFonts w:ascii="Times New Roman;sans-serif" w:hAnsi="Times New Roman;sans-serif"/>
          <w:b/>
          <w:color w:val="000000"/>
          <w:sz w:val="16"/>
        </w:rPr>
      </w:pPr>
      <w:r>
        <w:rPr>
          <w:rFonts w:ascii="Times New Roman;sans-serif" w:hAnsi="Times New Roman;sans-serif"/>
          <w:b/>
          <w:color w:val="000000"/>
          <w:sz w:val="16"/>
        </w:rPr>
        <w:t>Not Applicable</w:t>
      </w:r>
    </w:p>
    <w:p>
      <w:pPr>
        <w:pStyle w:val="TextBody"/>
        <w:bidi w:val="0"/>
        <w:spacing w:lineRule="auto" w:line="288" w:before="0" w:after="0"/>
        <w:jc w:val="center"/>
        <w:rPr>
          <w:rFonts w:ascii="Times New Roman;sans-serif" w:hAnsi="Times New Roman;sans-serif"/>
          <w:b w:val="false"/>
          <w:color w:val="000000"/>
          <w:sz w:val="14"/>
        </w:rPr>
      </w:pPr>
      <w:r>
        <w:rPr>
          <w:rFonts w:ascii="Times New Roman;sans-serif" w:hAnsi="Times New Roman;sans-serif"/>
          <w:b w:val="false"/>
          <w:color w:val="000000"/>
          <w:sz w:val="14"/>
        </w:rPr>
        <w:t>(Former name, former address and former fiscal year, if changed since last report)</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___________________________________________________________________________________________________</w:t>
      </w:r>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12(b) of the Act:</w:t>
      </w:r>
    </w:p>
    <w:tbl>
      <w:tblPr>
        <w:tblW w:w="10205" w:type="dxa"/>
        <w:jc w:val="left"/>
        <w:tblInd w:w="0" w:type="dxa"/>
        <w:tblLayout w:type="fixed"/>
        <w:tblCellMar>
          <w:top w:w="28" w:type="dxa"/>
          <w:left w:w="28" w:type="dxa"/>
          <w:bottom w:w="28" w:type="dxa"/>
          <w:right w:w="28" w:type="dxa"/>
        </w:tblCellMar>
      </w:tblPr>
      <w:tblGrid>
        <w:gridCol w:w="2255"/>
        <w:gridCol w:w="1807"/>
        <w:gridCol w:w="1832"/>
        <w:gridCol w:w="109"/>
        <w:gridCol w:w="109"/>
        <w:gridCol w:w="109"/>
        <w:gridCol w:w="426"/>
        <w:gridCol w:w="394"/>
        <w:gridCol w:w="396"/>
        <w:gridCol w:w="109"/>
        <w:gridCol w:w="109"/>
        <w:gridCol w:w="109"/>
        <w:gridCol w:w="713"/>
        <w:gridCol w:w="713"/>
        <w:gridCol w:w="1015"/>
      </w:tblGrid>
      <w:tr>
        <w:trPr/>
        <w:tc>
          <w:tcPr>
            <w:tcW w:w="2255"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589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HUMA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r>
        <w:trPr/>
        <w:tc>
          <w:tcPr>
            <w:tcW w:w="58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Redeemable Warrants, each whole warrant exercisable for one share of Common Stock at an exercise price of $11.50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HUMAW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805" w:type="dxa"/>
        <w:jc w:val="left"/>
        <w:tblInd w:w="0" w:type="dxa"/>
        <w:tblLayout w:type="fixed"/>
        <w:tblCellMar>
          <w:top w:w="28" w:type="dxa"/>
          <w:left w:w="28" w:type="dxa"/>
          <w:bottom w:w="28" w:type="dxa"/>
          <w:right w:w="28" w:type="dxa"/>
        </w:tblCellMar>
      </w:tblPr>
      <w:tblGrid>
        <w:gridCol w:w="619"/>
        <w:gridCol w:w="543"/>
        <w:gridCol w:w="547"/>
        <w:gridCol w:w="109"/>
        <w:gridCol w:w="109"/>
        <w:gridCol w:w="109"/>
        <w:gridCol w:w="109"/>
        <w:gridCol w:w="109"/>
        <w:gridCol w:w="109"/>
        <w:gridCol w:w="689"/>
        <w:gridCol w:w="689"/>
        <w:gridCol w:w="692"/>
        <w:gridCol w:w="109"/>
        <w:gridCol w:w="109"/>
        <w:gridCol w:w="154"/>
      </w:tblGrid>
      <w:tr>
        <w:trPr/>
        <w:tc>
          <w:tcPr>
            <w:tcW w:w="61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1709"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1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firstLine="45"/>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68" w:before="0" w:after="283"/>
              <w:ind w:left="0" w:right="0" w:firstLine="45"/>
              <w:jc w:val="both"/>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120" w:after="283"/>
        <w:jc w:val="both"/>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20" w:after="283"/>
        <w:jc w:val="both"/>
        <w:rPr/>
      </w:pPr>
      <w:r>
        <w:rPr>
          <w:rFonts w:ascii="Times New Roman;sans-serif" w:hAnsi="Times New Roman;sans-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ans-serif" w:hAnsi="Times New Roman;sans-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As of November 2, 2023, 103,575,256 shares of common stock, par value $0.0001, were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02260"/>
                <wp:effectExtent l="0" t="0" r="0" b="0"/>
                <wp:wrapNone/>
                <wp:docPr id="1" name="Frame1"/>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83"/>
                        <w:jc w:val="left"/>
                        <w:rPr/>
                      </w:pPr>
                      <w:r>
                        <w:rPr/>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Quarterly Report on 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9073" w:type="dxa"/>
        <w:jc w:val="left"/>
        <w:tblInd w:w="0" w:type="dxa"/>
        <w:tblLayout w:type="fixed"/>
        <w:tblCellMar>
          <w:top w:w="28" w:type="dxa"/>
          <w:left w:w="28" w:type="dxa"/>
          <w:bottom w:w="28" w:type="dxa"/>
          <w:right w:w="28" w:type="dxa"/>
        </w:tblCellMar>
      </w:tblPr>
      <w:tblGrid>
        <w:gridCol w:w="293"/>
        <w:gridCol w:w="258"/>
        <w:gridCol w:w="259"/>
        <w:gridCol w:w="2453"/>
        <w:gridCol w:w="2453"/>
        <w:gridCol w:w="2458"/>
        <w:gridCol w:w="263"/>
        <w:gridCol w:w="263"/>
        <w:gridCol w:w="373"/>
      </w:tblGrid>
      <w:tr>
        <w:trPr/>
        <w:tc>
          <w:tcPr>
            <w:tcW w:w="29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 No.</w:t>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3">
              <w:r>
                <w:rPr>
                  <w:rStyle w:val="InternetLink"/>
                  <w:rFonts w:ascii="Times New Roman;sans-serif" w:hAnsi="Times New Roman;sans-serif"/>
                  <w:b/>
                  <w:strike w:val="false"/>
                  <w:dstrike w:val="false"/>
                  <w:color w:val="000000"/>
                  <w:sz w:val="20"/>
                  <w:u w:val="none"/>
                  <w:effect w:val="none"/>
                </w:rPr>
                <w:t>PART I – FINANCIAL INFORMATION</w:t>
              </w:r>
            </w:hyperlink>
          </w:p>
        </w:tc>
        <w:tc>
          <w:tcPr>
            <w:tcW w:w="8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6">
              <w:r>
                <w:rPr>
                  <w:rStyle w:val="InternetLink"/>
                  <w:rFonts w:ascii="Times New Roman;sans-serif" w:hAnsi="Times New Roman;sans-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6">
              <w:r>
                <w:rPr>
                  <w:rStyle w:val="InternetLink"/>
                  <w:rFonts w:ascii="Times New Roman;sans-serif" w:hAnsi="Times New Roman;sans-serif"/>
                  <w:b w:val="false"/>
                  <w:color w:val="0000FF"/>
                  <w:sz w:val="20"/>
                  <w:u w:val="single"/>
                </w:rPr>
                <w:t>Financial Statements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6">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9">
              <w:r>
                <w:rPr>
                  <w:rStyle w:val="InternetLink"/>
                  <w:rFonts w:ascii="Times New Roman;sans-serif" w:hAnsi="Times New Roman;sans-serif"/>
                  <w:b w:val="false"/>
                  <w:color w:val="0000FF"/>
                  <w:sz w:val="20"/>
                  <w:u w:val="single"/>
                </w:rPr>
                <w:t>Condensed Consolidated Balance Sheets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9">
              <w:r>
                <w:rPr>
                  <w:rStyle w:val="InternetLink"/>
                  <w:rFonts w:ascii="Times New Roman;sans-serif" w:hAnsi="Times New Roman;sans-serif"/>
                  <w:b w:val="false"/>
                  <w:strike w:val="false"/>
                  <w:dstrike w:val="false"/>
                  <w:color w:val="000000"/>
                  <w:sz w:val="20"/>
                  <w:u w:val="none"/>
                  <w:effect w:val="none"/>
                </w:rPr>
                <w:t>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22">
              <w:r>
                <w:rPr>
                  <w:rStyle w:val="InternetLink"/>
                  <w:rFonts w:ascii="Times New Roman;sans-serif" w:hAnsi="Times New Roman;sans-serif"/>
                  <w:b w:val="false"/>
                  <w:color w:val="0000FF"/>
                  <w:sz w:val="20"/>
                  <w:u w:val="single"/>
                </w:rPr>
                <w:t>Condensed Consolidated Statements of Operations and Comprehensive Loss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22">
              <w:r>
                <w:rPr>
                  <w:rStyle w:val="InternetLink"/>
                  <w:rFonts w:ascii="Times New Roman;sans-serif" w:hAnsi="Times New Roman;sans-serif"/>
                  <w:b w:val="false"/>
                  <w:strike w:val="false"/>
                  <w:dstrike w:val="false"/>
                  <w:color w:val="000000"/>
                  <w:sz w:val="20"/>
                  <w:u w:val="none"/>
                  <w:effect w:val="none"/>
                </w:rPr>
                <w:t>6</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25">
              <w:r>
                <w:rPr>
                  <w:rStyle w:val="InternetLink"/>
                  <w:rFonts w:ascii="Times New Roman;sans-serif" w:hAnsi="Times New Roman;sans-serif"/>
                  <w:b w:val="false"/>
                  <w:color w:val="0000FF"/>
                  <w:sz w:val="20"/>
                  <w:u w:val="single"/>
                </w:rPr>
                <w:t>Condensed Consolidated Statements of Changes in Stockholders’ Equity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25">
              <w:r>
                <w:rPr>
                  <w:rStyle w:val="InternetLink"/>
                  <w:rFonts w:ascii="Times New Roman;sans-serif" w:hAnsi="Times New Roman;sans-serif"/>
                  <w:b w:val="false"/>
                  <w:strike w:val="false"/>
                  <w:dstrike w:val="false"/>
                  <w:color w:val="000000"/>
                  <w:sz w:val="20"/>
                  <w:u w:val="none"/>
                  <w:effect w:val="none"/>
                </w:rPr>
                <w:t>7</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28">
              <w:r>
                <w:rPr>
                  <w:rStyle w:val="InternetLink"/>
                  <w:rFonts w:ascii="Times New Roman;sans-serif" w:hAnsi="Times New Roman;sans-serif"/>
                  <w:b w:val="false"/>
                  <w:color w:val="0000FF"/>
                  <w:sz w:val="20"/>
                  <w:u w:val="single"/>
                </w:rPr>
                <w:t>Condensed Consolidated Statements of Cash Flows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28">
              <w:r>
                <w:rPr>
                  <w:rStyle w:val="InternetLink"/>
                  <w:rFonts w:ascii="Times New Roman;sans-serif" w:hAnsi="Times New Roman;sans-serif"/>
                  <w:b w:val="false"/>
                  <w:strike w:val="false"/>
                  <w:dstrike w:val="false"/>
                  <w:color w:val="000000"/>
                  <w:sz w:val="20"/>
                  <w:u w:val="none"/>
                  <w:effect w:val="none"/>
                </w:rPr>
                <w:t>8</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31">
              <w:r>
                <w:rPr>
                  <w:rStyle w:val="InternetLink"/>
                  <w:rFonts w:ascii="Times New Roman;sans-serif" w:hAnsi="Times New Roman;sans-serif"/>
                  <w:b w:val="false"/>
                  <w:color w:val="0000FF"/>
                  <w:sz w:val="20"/>
                  <w:u w:val="single"/>
                </w:rPr>
                <w:t>Notes to Condensed Consolidated Financial Statements (unaudited)</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31">
              <w:r>
                <w:rPr>
                  <w:rStyle w:val="InternetLink"/>
                  <w:rFonts w:ascii="Times New Roman;sans-serif" w:hAnsi="Times New Roman;sans-serif"/>
                  <w:b w:val="false"/>
                  <w:strike w:val="false"/>
                  <w:dstrike w:val="false"/>
                  <w:color w:val="000000"/>
                  <w:sz w:val="20"/>
                  <w:u w:val="none"/>
                  <w:effect w:val="none"/>
                </w:rPr>
                <w:t>9</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85">
              <w:r>
                <w:rPr>
                  <w:rStyle w:val="InternetLink"/>
                  <w:rFonts w:ascii="Times New Roman;sans-serif" w:hAnsi="Times New Roman;sans-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85">
              <w:r>
                <w:rPr>
                  <w:rStyle w:val="InternetLink"/>
                  <w:rFonts w:ascii="Times New Roman;sans-serif" w:hAnsi="Times New Roman;sans-serif"/>
                  <w:b w:val="false"/>
                  <w:strike w:val="false"/>
                  <w:dstrike w:val="false"/>
                  <w:color w:val="000000"/>
                  <w:sz w:val="20"/>
                  <w:u w:val="none"/>
                  <w:effect w:val="none"/>
                </w:rPr>
                <w:t>32</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06">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06">
              <w:r>
                <w:rPr>
                  <w:rStyle w:val="InternetLink"/>
                  <w:rFonts w:ascii="Times New Roman;sans-serif" w:hAnsi="Times New Roman;sans-serif"/>
                  <w:b w:val="false"/>
                  <w:color w:val="0000FF"/>
                  <w:sz w:val="20"/>
                  <w:u w:val="single"/>
                </w:rPr>
                <w:t>Quantitative and Qualitative Disclosures About Market Risk</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06">
              <w:r>
                <w:rPr>
                  <w:rStyle w:val="InternetLink"/>
                  <w:rFonts w:ascii="Times New Roman;sans-serif" w:hAnsi="Times New Roman;sans-serif"/>
                  <w:b w:val="false"/>
                  <w:strike w:val="false"/>
                  <w:dstrike w:val="false"/>
                  <w:color w:val="000000"/>
                  <w:sz w:val="20"/>
                  <w:u w:val="none"/>
                  <w:effect w:val="none"/>
                </w:rPr>
                <w:t>43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09">
              <w:r>
                <w:rPr>
                  <w:rStyle w:val="InternetLink"/>
                  <w:rFonts w:ascii="Times New Roman;sans-serif" w:hAnsi="Times New Roman;sans-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09">
              <w:r>
                <w:rPr>
                  <w:rStyle w:val="InternetLink"/>
                  <w:rFonts w:ascii="Times New Roman;sans-serif" w:hAnsi="Times New Roman;sans-serif"/>
                  <w:b w:val="false"/>
                  <w:color w:val="0000FF"/>
                  <w:sz w:val="20"/>
                  <w:u w:val="single"/>
                </w:rPr>
                <w:t>Controls and Procedures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09">
              <w:r>
                <w:rPr>
                  <w:rStyle w:val="InternetLink"/>
                  <w:rFonts w:ascii="Times New Roman;sans-serif" w:hAnsi="Times New Roman;sans-serif"/>
                  <w:b w:val="false"/>
                  <w:strike w:val="false"/>
                  <w:dstrike w:val="false"/>
                  <w:color w:val="000000"/>
                  <w:sz w:val="20"/>
                  <w:u w:val="none"/>
                  <w:effect w:val="none"/>
                </w:rPr>
                <w:t>43</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12">
              <w:r>
                <w:rPr>
                  <w:rStyle w:val="InternetLink"/>
                  <w:rFonts w:ascii="Times New Roman;sans-serif" w:hAnsi="Times New Roman;sans-serif"/>
                  <w:b/>
                  <w:strike w:val="false"/>
                  <w:dstrike w:val="false"/>
                  <w:color w:val="000000"/>
                  <w:sz w:val="20"/>
                  <w:u w:val="none"/>
                  <w:effect w:val="none"/>
                </w:rPr>
                <w:t>PART II – OTHER INFORMATION</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15">
              <w:r>
                <w:rPr>
                  <w:rStyle w:val="InternetLink"/>
                  <w:rFonts w:ascii="Times New Roman;sans-serif" w:hAnsi="Times New Roman;sans-serif"/>
                  <w:b w:val="false"/>
                  <w:color w:val="0000FF"/>
                  <w:sz w:val="20"/>
                  <w:u w:val="single"/>
                </w:rPr>
                <w:t>Item 1.</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15">
              <w:r>
                <w:rPr>
                  <w:rStyle w:val="InternetLink"/>
                  <w:rFonts w:ascii="Times New Roman;sans-serif" w:hAnsi="Times New Roman;sans-serif"/>
                  <w:b w:val="false"/>
                  <w:color w:val="0000FF"/>
                  <w:sz w:val="20"/>
                  <w:u w:val="single"/>
                </w:rPr>
                <w:t>Legal Proceedings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15">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18">
              <w:r>
                <w:rPr>
                  <w:rStyle w:val="InternetLink"/>
                  <w:rFonts w:ascii="Times New Roman;sans-serif" w:hAnsi="Times New Roman;sans-serif"/>
                  <w:b w:val="false"/>
                  <w:color w:val="0000FF"/>
                  <w:sz w:val="20"/>
                  <w:u w:val="single"/>
                </w:rPr>
                <w:t>Item 1A.</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18">
              <w:r>
                <w:rPr>
                  <w:rStyle w:val="InternetLink"/>
                  <w:rFonts w:ascii="Times New Roman;sans-serif" w:hAnsi="Times New Roman;sans-serif"/>
                  <w:b w:val="false"/>
                  <w:color w:val="0000FF"/>
                  <w:sz w:val="20"/>
                  <w:u w:val="single"/>
                </w:rPr>
                <w:t>Risk Factors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18">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21">
              <w:r>
                <w:rPr>
                  <w:rStyle w:val="InternetLink"/>
                  <w:rFonts w:ascii="Times New Roman;sans-serif" w:hAnsi="Times New Roman;sans-serif"/>
                  <w:b w:val="false"/>
                  <w:color w:val="0000FF"/>
                  <w:sz w:val="20"/>
                  <w:u w:val="single"/>
                </w:rPr>
                <w:t>Item 2.</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21">
              <w:r>
                <w:rPr>
                  <w:rStyle w:val="InternetLink"/>
                  <w:rFonts w:ascii="Times New Roman;sans-serif" w:hAnsi="Times New Roman;sans-serif"/>
                  <w:b w:val="false"/>
                  <w:color w:val="0000FF"/>
                  <w:sz w:val="20"/>
                  <w:u w:val="single"/>
                </w:rPr>
                <w:t>Unregistered Sales of Equity Securities and Use of Proceeds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21">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24">
              <w:r>
                <w:rPr>
                  <w:rStyle w:val="InternetLink"/>
                  <w:rFonts w:ascii="Times New Roman;sans-serif" w:hAnsi="Times New Roman;sans-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24">
              <w:r>
                <w:rPr>
                  <w:rStyle w:val="InternetLink"/>
                  <w:rFonts w:ascii="Times New Roman;sans-serif" w:hAnsi="Times New Roman;sans-serif"/>
                  <w:b w:val="false"/>
                  <w:color w:val="0000FF"/>
                  <w:sz w:val="20"/>
                  <w:u w:val="single"/>
                </w:rPr>
                <w:t>Defaults Upon Senior Securities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24">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27">
              <w:r>
                <w:rPr>
                  <w:rStyle w:val="InternetLink"/>
                  <w:rFonts w:ascii="Times New Roman;sans-serif" w:hAnsi="Times New Roman;sans-serif"/>
                  <w:b w:val="false"/>
                  <w:color w:val="0000FF"/>
                  <w:sz w:val="20"/>
                  <w:u w:val="single"/>
                </w:rPr>
                <w:t>Item 4.</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27">
              <w:r>
                <w:rPr>
                  <w:rStyle w:val="InternetLink"/>
                  <w:rFonts w:ascii="Times New Roman;sans-serif" w:hAnsi="Times New Roman;sans-serif"/>
                  <w:b w:val="false"/>
                  <w:color w:val="0000FF"/>
                  <w:sz w:val="20"/>
                  <w:u w:val="single"/>
                </w:rPr>
                <w:t>Mine Safety Disclosures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27">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30">
              <w:r>
                <w:rPr>
                  <w:rStyle w:val="InternetLink"/>
                  <w:rFonts w:ascii="Times New Roman;sans-serif" w:hAnsi="Times New Roman;sans-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30">
              <w:r>
                <w:rPr>
                  <w:rStyle w:val="InternetLink"/>
                  <w:rFonts w:ascii="Times New Roman;sans-serif" w:hAnsi="Times New Roman;sans-serif"/>
                  <w:b w:val="false"/>
                  <w:color w:val="0000FF"/>
                  <w:sz w:val="20"/>
                  <w:u w:val="single"/>
                </w:rPr>
                <w:t>Other Information</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30">
              <w:r>
                <w:rPr>
                  <w:rStyle w:val="InternetLink"/>
                  <w:rFonts w:ascii="Times New Roman;sans-serif" w:hAnsi="Times New Roman;sans-serif"/>
                  <w:b w:val="false"/>
                  <w:strike w:val="false"/>
                  <w:dstrike w:val="false"/>
                  <w:color w:val="000000"/>
                  <w:sz w:val="20"/>
                  <w:u w:val="none"/>
                  <w:effect w:val="none"/>
                </w:rPr>
                <w:t>44</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33">
              <w:r>
                <w:rPr>
                  <w:rStyle w:val="InternetLink"/>
                  <w:rFonts w:ascii="Times New Roman;sans-serif" w:hAnsi="Times New Roman;sans-serif"/>
                  <w:b w:val="false"/>
                  <w:color w:val="0000FF"/>
                  <w:sz w:val="20"/>
                  <w:u w:val="single"/>
                </w:rPr>
                <w:t>Item 6.</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33">
              <w:r>
                <w:rPr>
                  <w:rStyle w:val="InternetLink"/>
                  <w:rFonts w:ascii="Times New Roman;sans-serif" w:hAnsi="Times New Roman;sans-serif"/>
                  <w:b w:val="false"/>
                  <w:color w:val="0000FF"/>
                  <w:sz w:val="20"/>
                  <w:u w:val="single"/>
                </w:rPr>
                <w:t>Exhibits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33">
              <w:r>
                <w:rPr>
                  <w:rStyle w:val="InternetLink"/>
                  <w:rFonts w:ascii="Times New Roman;sans-serif" w:hAnsi="Times New Roman;sans-serif"/>
                  <w:b w:val="false"/>
                  <w:strike w:val="false"/>
                  <w:dstrike w:val="false"/>
                  <w:color w:val="000000"/>
                  <w:sz w:val="20"/>
                  <w:u w:val="none"/>
                  <w:effect w:val="none"/>
                </w:rPr>
                <w:t>45</w:t>
              </w:r>
            </w:hyperlink>
          </w:p>
        </w:tc>
      </w:tr>
      <w:tr>
        <w:trPr/>
        <w:tc>
          <w:tcPr>
            <w:tcW w:w="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74"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50e62f7038947ecb8856c389f21eb96_136">
              <w:r>
                <w:rPr>
                  <w:rStyle w:val="InternetLink"/>
                  <w:rFonts w:ascii="Times New Roman;sans-serif" w:hAnsi="Times New Roman;sans-serif"/>
                  <w:b/>
                  <w:color w:val="0000FF"/>
                  <w:sz w:val="20"/>
                  <w:u w:val="single"/>
                </w:rPr>
                <w:t>SIGNATURES</w:t>
              </w:r>
            </w:hyperlink>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50e62f7038947ecb8856c389f21eb96_136">
              <w:r>
                <w:rPr>
                  <w:rStyle w:val="InternetLink"/>
                  <w:rFonts w:ascii="Times New Roman;sans-serif" w:hAnsi="Times New Roman;sans-serif"/>
                  <w:b w:val="false"/>
                  <w:strike w:val="false"/>
                  <w:dstrike w:val="false"/>
                  <w:color w:val="000000"/>
                  <w:sz w:val="20"/>
                  <w:u w:val="none"/>
                  <w:effect w:val="none"/>
                </w:rPr>
                <w:t>46</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73685"/>
                <wp:effectExtent l="0" t="0" r="0" b="0"/>
                <wp:wrapNone/>
                <wp:docPr id="2" name="Frame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(“Quarterly Report”) contains forward-looking statements that involve substantial risks and uncertainties. “Forward-looking statements,” as that term is defined in the Private Securities Litigation Reform Act of 1995, Section 27A of the Securities Act of 1933 and Section 21E of the Securities Exchange Act of 1934 (the “Exchange Act”) are statements that are not historical facts and involve a number of risks and uncertainties. These statements include, without limitation, statements regarding the financial position, business strategy and the plans and objectives of management for future operations. These statements constitute projections, forecasts and forward-looking statements, and are not guarantees of performance. Such statements can be identified by the fact that they do not relate strictly to historical or current facts. When used therein,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Such statements are based on the beliefs of, as well as assumptions made by and information currently available to, our management.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may include, for example,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and ability to execute product development, process development and preclinical development efforts successfully and on our anticipated timelines;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anticipated timeline and ability to file an application for, and obtain marketing approval from, the U.S. Food and Drug Administration (“FDA”) and other regulatory authorities, including the European Medicines Agency, for our bioengineered human acellular vessels (“HAVs”) and other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design, initiate and successfully complete clinical trials and other studies for our product candidates and our plans and expectations regarding our ongoing or planned clinical trials, including for our V005 Phase 2/3 clinical trial and V007 Phase 3 clinical trial;</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outcome of our ongoing discussions with the FDA concerning the design of our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anticipated growth rate and market opportunities;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potential liquidity and trading of our securities;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raise additional capital in the future;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use our proprietary scientific technology platform to build a pipeline of additional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characteristics and performance of our HAVs;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plans and ability to commercialize our HAVs and other product candidates, if approved by regulatory authorities;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expected size of the target populations for our product candidates;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anticipated benefits of our HAVs relative to existing alternatives;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assessment of the competitive landscape;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degree of market acceptance of HAVs, if approved, and the availability of third-party coverage and reimbursement;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manufacture HAVs and other product candidates in sufficient quantities to satisfy our clinical trial and commercial needs;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expectations regarding our strategic partnership with Fresenius Medical Care Holdings, Inc. (“Fresenius Medical Care”) to sell, market and distribute our 6 millimeter HAV for certain specified indications and in specified markets;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performance of other third parties on which we rely, including our third-party manufacturers, our licensors, our suppliers and the organizations conducting our clinical trials;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obtain and maintain intellectual property protection for our product candidates as well as our ability to operate our business without infringing, misappropriating or otherwise violating the intellectual property rights of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73685"/>
                <wp:effectExtent l="0" t="0" r="0" b="0"/>
                <wp:wrapNone/>
                <wp:docPr id="3" name="Frame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maintain the confidentiality of our trade secrets, particularly with respect to our manufacturing process;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compliance with applicable laws and regulatory requirements, including FDA regulations, healthcare laws and regulations, and anti-corruption laws;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attract, retain and motivate qualified personnel and to manage our growth effectively;</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future financial performance and capital requirements;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ability to implement and maintain effective internal controls; and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the impact of the overall global economy and increasing interest rates and inflation on our business.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caution readers not to place undue reliance on any such forward-looking statements, which speak only as of the date they are made. Any forward-looking statement is based on information current as of the date of this Quarterly Report and speaks only as of the date on which such statement is made. Actual events or results may differ materially from the results, plans, intentions or expectations anticipated in these forward-looking statements as a result of a variety of factors, many of which are beyond our control. More information on factors that could cause actual results to differ materially from those anticipated is included from time to time in our reports filed with the Securities and Exchange Commission (the “SEC”), including, but not limited to, those described in the sections titled “Risk Factors” and “Management’s Discussion and Analysis of Financial Condition and Results of Operations” included in this Quarterly Report and our Annual Report on Form 10-K for the year ended December 31, 2022, which we filed with the SEC on March 24, 2023. We disclaim any obligation, except as specifically required by law,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73685"/>
                <wp:effectExtent l="0" t="0" r="0" b="0"/>
                <wp:wrapNone/>
                <wp:docPr id="4" name="Frame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3075"/>
        <w:gridCol w:w="2306"/>
        <w:gridCol w:w="2291"/>
        <w:gridCol w:w="201"/>
        <w:gridCol w:w="774"/>
        <w:gridCol w:w="112"/>
        <w:gridCol w:w="109"/>
        <w:gridCol w:w="109"/>
        <w:gridCol w:w="109"/>
        <w:gridCol w:w="198"/>
        <w:gridCol w:w="761"/>
        <w:gridCol w:w="160"/>
      </w:tblGrid>
      <w:tr>
        <w:trPr/>
        <w:tc>
          <w:tcPr>
            <w:tcW w:w="3075" w:type="dxa"/>
            <w:tcBorders/>
            <w:vAlign w:val="center"/>
          </w:tcPr>
          <w:p>
            <w:pPr>
              <w:pStyle w:val="TableContents"/>
              <w:bidi w:val="0"/>
              <w:spacing w:before="0" w:after="283"/>
              <w:jc w:val="left"/>
              <w:rPr>
                <w:sz w:val="4"/>
                <w:szCs w:val="4"/>
              </w:rPr>
            </w:pPr>
            <w:r>
              <w:rPr>
                <w:sz w:val="4"/>
                <w:szCs w:val="4"/>
              </w:rPr>
            </w:r>
          </w:p>
        </w:tc>
        <w:tc>
          <w:tcPr>
            <w:tcW w:w="2306"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7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ASSETS</w:t>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Short-term investments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102,851 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154,208 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right-of-use assets, net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17,828 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19,373 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net</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30,039 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assets</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149,385</w:t>
            </w:r>
            <w:r>
              <w:rPr>
                <w:color w:val="000000"/>
              </w:rPr>
              <w:t>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204,302</w:t>
            </w:r>
            <w:r>
              <w:rPr>
                <w:color w:val="000000"/>
              </w:rPr>
              <w:t>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7,108 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 current portion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 current portion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SVB loan payable, current portion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8,571 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15,137 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Earnout Liability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39,601 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27,893 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 interest liability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Finance lease obligation, net of current portion</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18,853 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Contingent derivative liability</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7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SVB loan payable, net of current portion</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w:t>
            </w:r>
          </w:p>
        </w:tc>
        <w:tc>
          <w:tcPr>
            <w:tcW w:w="9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112,392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87,374</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Commitments and contingencies (Note 11)</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Stockholders’ equity</w:t>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$0.0001 par value; 20,000,000 shares designated as of September 30, 2023 and December 31, 2022; 0 shares issued and outstanding as of September 30, 2023 and December 31, 2022</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 250,000,000 shares authorized as of September 30, 2023 and December 31, 2022; 103,460,836 and 103,229,013 shares issued and outstanding as of September 30, 2023 and December 31, 2022, respectively</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549,191 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543,456 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Accumulated deficit</w:t>
            </w:r>
          </w:p>
        </w:tc>
        <w:tc>
          <w:tcPr>
            <w:tcW w:w="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(512,208)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(426,538)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stockholders’ equity</w:t>
            </w:r>
          </w:p>
        </w:tc>
        <w:tc>
          <w:tcPr>
            <w:tcW w:w="9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36,993 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116,928 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Total liabilities and stockholders’ equity</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149,385</w:t>
            </w:r>
            <w:r>
              <w:rPr>
                <w:color w:val="000000"/>
              </w:rPr>
              <w:t>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204,302</w:t>
            </w:r>
            <w:r>
              <w:rPr>
                <w:color w:val="000000"/>
              </w:rPr>
              <w:t>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73685"/>
                <wp:effectExtent l="0" t="0" r="0" b="0"/>
                <wp:wrapNone/>
                <wp:docPr id="5" name="Frame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5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and per share amounts)</w:t>
      </w:r>
    </w:p>
    <w:tbl>
      <w:tblPr>
        <w:tblW w:w="10205" w:type="dxa"/>
        <w:jc w:val="left"/>
        <w:tblInd w:w="0" w:type="dxa"/>
        <w:tblLayout w:type="fixed"/>
        <w:tblCellMar>
          <w:top w:w="28" w:type="dxa"/>
          <w:left w:w="28" w:type="dxa"/>
          <w:bottom w:w="28" w:type="dxa"/>
          <w:right w:w="28" w:type="dxa"/>
        </w:tblCellMar>
      </w:tblPr>
      <w:tblGrid>
        <w:gridCol w:w="1809"/>
        <w:gridCol w:w="1086"/>
        <w:gridCol w:w="1082"/>
        <w:gridCol w:w="264"/>
        <w:gridCol w:w="922"/>
        <w:gridCol w:w="110"/>
        <w:gridCol w:w="110"/>
        <w:gridCol w:w="110"/>
        <w:gridCol w:w="110"/>
        <w:gridCol w:w="264"/>
        <w:gridCol w:w="922"/>
        <w:gridCol w:w="110"/>
        <w:gridCol w:w="109"/>
        <w:gridCol w:w="109"/>
        <w:gridCol w:w="109"/>
        <w:gridCol w:w="264"/>
        <w:gridCol w:w="922"/>
        <w:gridCol w:w="111"/>
        <w:gridCol w:w="111"/>
        <w:gridCol w:w="111"/>
        <w:gridCol w:w="111"/>
        <w:gridCol w:w="297"/>
        <w:gridCol w:w="889"/>
        <w:gridCol w:w="163"/>
      </w:tblGrid>
      <w:tr>
        <w:trPr/>
        <w:tc>
          <w:tcPr>
            <w:tcW w:w="1809"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16"/>
              </w:rPr>
              <w:t>Nine Months Ended September 30,</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revenue</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24,622 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73,865 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(24,622)</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(23,494)</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(73,865)</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(63,788)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58,649 </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retention credit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w:t>
            </w:r>
          </w:p>
        </w:tc>
        <w:tc>
          <w:tcPr>
            <w:tcW w:w="16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liabilities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(11,805)</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and comprehensive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(25,995)</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(25,281)</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(85,670)</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(8,245)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 basic and diluted</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w:t>
            </w:r>
          </w:p>
        </w:tc>
        <w:tc>
          <w:tcPr>
            <w:tcW w:w="16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 used in computing net loss per share attributable to common stockholders, basic and diluted</w:t>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103,444,246 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103,031,980 </w:t>
            </w:r>
          </w:p>
        </w:tc>
        <w:tc>
          <w:tcPr>
            <w:tcW w:w="11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103,357,087 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103,014,009 </w:t>
            </w:r>
          </w:p>
        </w:tc>
        <w:tc>
          <w:tcPr>
            <w:tcW w:w="16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9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9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9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73685"/>
                <wp:effectExtent l="0" t="0" r="0" b="0"/>
                <wp:wrapNone/>
                <wp:docPr id="6" name="Frame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6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for share amounts)</w:t>
      </w:r>
    </w:p>
    <w:p>
      <w:pPr>
        <w:pStyle w:val="TextBody"/>
        <w:bidi w:val="0"/>
        <w:spacing w:before="200" w:after="283"/>
        <w:jc w:val="center"/>
        <w:rPr/>
      </w:pPr>
      <w:r>
        <w:rPr/>
      </w:r>
    </w:p>
    <w:tbl>
      <w:tblPr>
        <w:tblW w:w="10205" w:type="dxa"/>
        <w:jc w:val="left"/>
        <w:tblInd w:w="0" w:type="dxa"/>
        <w:tblLayout w:type="fixed"/>
        <w:tblCellMar>
          <w:top w:w="28" w:type="dxa"/>
          <w:left w:w="28" w:type="dxa"/>
          <w:bottom w:w="28" w:type="dxa"/>
          <w:right w:w="28" w:type="dxa"/>
        </w:tblCellMar>
      </w:tblPr>
      <w:tblGrid>
        <w:gridCol w:w="1105"/>
        <w:gridCol w:w="972"/>
        <w:gridCol w:w="974"/>
        <w:gridCol w:w="533"/>
        <w:gridCol w:w="533"/>
        <w:gridCol w:w="210"/>
        <w:gridCol w:w="109"/>
        <w:gridCol w:w="109"/>
        <w:gridCol w:w="109"/>
        <w:gridCol w:w="208"/>
        <w:gridCol w:w="367"/>
        <w:gridCol w:w="116"/>
        <w:gridCol w:w="109"/>
        <w:gridCol w:w="109"/>
        <w:gridCol w:w="109"/>
        <w:gridCol w:w="223"/>
        <w:gridCol w:w="859"/>
        <w:gridCol w:w="124"/>
        <w:gridCol w:w="109"/>
        <w:gridCol w:w="109"/>
        <w:gridCol w:w="109"/>
        <w:gridCol w:w="196"/>
        <w:gridCol w:w="808"/>
        <w:gridCol w:w="109"/>
        <w:gridCol w:w="109"/>
        <w:gridCol w:w="109"/>
        <w:gridCol w:w="109"/>
        <w:gridCol w:w="276"/>
        <w:gridCol w:w="1061"/>
        <w:gridCol w:w="223"/>
      </w:tblGrid>
      <w:tr>
        <w:trPr/>
        <w:tc>
          <w:tcPr>
            <w:tcW w:w="1105"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3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Shares </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December 31, 2022</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103,229,013</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543,456</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(426,538)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116,928</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100,158 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(36,969)</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2023</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103,329,171</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545,384</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(463,507)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81,887</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79,077 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(22,706)</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2023</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103,408,248</w:t>
            </w:r>
            <w:r>
              <w:rPr>
                <w:color w:val="000000"/>
              </w:rPr>
              <w:t>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547,320</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(486,213)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61,117</w:t>
            </w: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52,588 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(25,995)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as of September 30, 2023</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103,460,836</w:t>
            </w:r>
            <w:r>
              <w:rPr>
                <w:color w:val="000000"/>
              </w:rPr>
              <w:t>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549,191</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(512,208)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36,993</w:t>
            </w:r>
            <w:r>
              <w:rPr>
                <w:color w:val="000000"/>
              </w:rPr>
              <w:t>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112"/>
        <w:gridCol w:w="973"/>
        <w:gridCol w:w="977"/>
        <w:gridCol w:w="533"/>
        <w:gridCol w:w="533"/>
        <w:gridCol w:w="196"/>
        <w:gridCol w:w="109"/>
        <w:gridCol w:w="109"/>
        <w:gridCol w:w="109"/>
        <w:gridCol w:w="208"/>
        <w:gridCol w:w="367"/>
        <w:gridCol w:w="116"/>
        <w:gridCol w:w="109"/>
        <w:gridCol w:w="109"/>
        <w:gridCol w:w="109"/>
        <w:gridCol w:w="223"/>
        <w:gridCol w:w="860"/>
        <w:gridCol w:w="124"/>
        <w:gridCol w:w="109"/>
        <w:gridCol w:w="109"/>
        <w:gridCol w:w="109"/>
        <w:gridCol w:w="196"/>
        <w:gridCol w:w="808"/>
        <w:gridCol w:w="109"/>
        <w:gridCol w:w="109"/>
        <w:gridCol w:w="109"/>
        <w:gridCol w:w="109"/>
        <w:gridCol w:w="277"/>
        <w:gridCol w:w="1063"/>
        <w:gridCol w:w="222"/>
      </w:tblGrid>
      <w:tr>
        <w:trPr/>
        <w:tc>
          <w:tcPr>
            <w:tcW w:w="1112"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w:t>
              <w:br/>
              <w:t>Equity</w:t>
            </w:r>
          </w:p>
        </w:tc>
      </w:tr>
      <w:tr>
        <w:trPr/>
        <w:tc>
          <w:tcPr>
            <w:tcW w:w="3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December 31, 2021</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103,003,646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536,737</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(414,573)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122,174</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(19,832)</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March 31, 2022</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103,004,572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538,285</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(434,405)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103,890</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2,231 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June 30, 2022</w:t>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103,006,803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539,787</w:t>
            </w: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(397,537)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142,260</w:t>
            </w:r>
            <w:r>
              <w:rPr>
                <w:color w:val="000000"/>
              </w:rPr>
              <w:t>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the exercise of stock options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91,965 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1,476 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(25,281)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as of September 30, 2022</w:t>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103,098,768</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541,480</w:t>
            </w:r>
            <w:r>
              <w:rPr>
                <w:color w:val="000000"/>
              </w:rPr>
              <w:t>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(422,818)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10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118,672</w:t>
            </w:r>
            <w:r>
              <w:rPr>
                <w:color w:val="000000"/>
              </w:rPr>
              <w:t>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73685"/>
                <wp:effectExtent l="0" t="0" r="0" b="0"/>
                <wp:wrapNone/>
                <wp:docPr id="7" name="Frame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7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132" w:type="dxa"/>
        <w:jc w:val="left"/>
        <w:tblInd w:w="0" w:type="dxa"/>
        <w:tblLayout w:type="fixed"/>
        <w:tblCellMar>
          <w:top w:w="28" w:type="dxa"/>
          <w:left w:w="28" w:type="dxa"/>
          <w:bottom w:w="28" w:type="dxa"/>
          <w:right w:w="28" w:type="dxa"/>
        </w:tblCellMar>
      </w:tblPr>
      <w:tblGrid>
        <w:gridCol w:w="2141"/>
        <w:gridCol w:w="1882"/>
        <w:gridCol w:w="1887"/>
        <w:gridCol w:w="254"/>
        <w:gridCol w:w="975"/>
        <w:gridCol w:w="141"/>
        <w:gridCol w:w="141"/>
        <w:gridCol w:w="141"/>
        <w:gridCol w:w="141"/>
        <w:gridCol w:w="254"/>
        <w:gridCol w:w="975"/>
        <w:gridCol w:w="200"/>
      </w:tblGrid>
      <w:tr>
        <w:trPr/>
        <w:tc>
          <w:tcPr>
            <w:tcW w:w="2141"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For the Nine Months Ended September 30,</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3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(85,670)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(8,245)</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used in operating activities: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expense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Earnout Liability</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(58,649)</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extinguishment of debt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interest expense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derivative liabilities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disposal of property and equipment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expense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operating lease costs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SVB debt discount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lease obligation</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operating activities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(54,251)</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(52,170)</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maturity of short-term investments (certificates of deposit)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(2,130)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short-term investments (certificates of deposit)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(8,000)</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Cash flows from financing activities </w:t>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revenue interest purchase agreement, net of issuance costs</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39,377 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transaction costs related to revenue interest purchase agreement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Principal payments on SVB loan</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(31,500)</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for debt prepayment and extinguishment costs</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Proceeds from the exercise of stock options </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JDRF Agreement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Payments of finance lease principal </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(1,463)</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 cash, cash equivalents and restricted cash</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(49,432)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(53,771)</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cash equivalents and restricted cash at the beginning of the period </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149,772 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217,502 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Cash, cash equivalents and restricted cash at the end of the period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100,340</w:t>
            </w:r>
            <w:r>
              <w:rPr>
                <w:color w:val="000000"/>
              </w:rPr>
              <w:t>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9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6"/>
              </w:rPr>
              <w:t>163,731</w:t>
            </w:r>
            <w:r>
              <w:rPr>
                <w:color w:val="000000"/>
              </w:rPr>
              <w:t>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 xml:space="preserve">Supplemental disclosure: </w:t>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Cash paid for interest on SVB loan </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 of noncash activities:</w:t>
            </w:r>
          </w:p>
        </w:tc>
        <w:tc>
          <w:tcPr>
            <w:tcW w:w="1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property and equipment in accounts payable and accrued expenses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Initial fair value of contingent derivative liability related to revenue interest liability</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r>
        <w:trPr/>
        <w:tc>
          <w:tcPr>
            <w:tcW w:w="5910" w:type="dxa"/>
            <w:gridSpan w:val="3"/>
            <w:tcBorders/>
            <w:vAlign w:val="center"/>
          </w:tcPr>
          <w:p>
            <w:pPr>
              <w:pStyle w:val="TableContents"/>
              <w:bidi w:val="0"/>
              <w:spacing w:before="0" w:after="283"/>
              <w:jc w:val="left"/>
              <w:rPr>
                <w:sz w:val="4"/>
                <w:szCs w:val="4"/>
              </w:rPr>
            </w:pPr>
            <w:r>
              <w:rPr>
                <w:sz w:val="4"/>
                <w:szCs w:val="4"/>
              </w:rPr>
            </w:r>
          </w:p>
        </w:tc>
        <w:tc>
          <w:tcPr>
            <w:tcW w:w="1370"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73685"/>
                <wp:effectExtent l="0" t="0" r="0" b="0"/>
                <wp:wrapNone/>
                <wp:docPr id="8" name="Frame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8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Humacyte, Inc. and subsidiary (unless the context indicates otherwise, collectively, the “Company”) is pioneering the development and manufacture of off-the-shelf, universally implantable, bioengineered human tissues, advanced tissue constructs and organ systems designed to improve the lives of patients and transform the practice of medicine. The Company is leveraging its regenerative medicine technology platform to develop proprietary product candidates for use in the treatment of diseases and conditions across a range of anatomic locations in multiple therapeutic areas.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On August 26, 2021 (the “Closing Date”), Alpha Healthcare Acquisition Corp. (“AHAC”) consummated a merger pursuant to a</w:t>
      </w:r>
      <w:r>
        <w:rPr>
          <w:color w:val="231F20"/>
        </w:rPr>
        <w:t xml:space="preserve"> </w:t>
      </w:r>
      <w:r>
        <w:rPr>
          <w:rFonts w:ascii="Times New Roman;sans-serif" w:hAnsi="Times New Roman;sans-serif"/>
          <w:b w:val="false"/>
          <w:color w:val="231F20"/>
          <w:sz w:val="20"/>
        </w:rPr>
        <w:t>Business Combination Agreement, dated as of February 17, 2021 (the “Merger Agreement”), by and among Humacyte, Inc. (“Legacy Humacyte”), AHAC and Hunter Merger Sub, Inc. (“Merger Sub”), a wholly owned subsidiary of AHAC. As contemplated by the Merger Agreement, Merger Sub merged with and into Legacy Humacyte, with Legacy Humacyte continuing as the surviving corporation and as a wholly-owned subsidiary of AHAC (such transactions, the “Merger,” and, collectively with the other transactions described in the Merger Agreement, the “Reverse Recapitalization”). On the Closing Date, AHAC changed its name to Humacyte, Inc. (“New Humacyte”) and Legacy Humacyte changed its name to Humacyte Global, Inc. (“Global”). The Merger was accounted for as a reverse recapitalization in accordance with accounting principles generally accepted in the United States of America (“U.S. GAAP”), and under this method of accounting, AHAC was treated as the acquired company for financial reporting purposes and Legacy Humacyte was treated as the acquirer. Operations prior to the Merger are those of Legacy Humacyte.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Concurrently with the execution of the Merger Agreement, certain investors (the “PIPE Investors”) purchased an aggregate of 17,500,000 shares of the Company’s common stock, par value $0.0001 per share (“Common Stock” and such shares purchased by the PIPE Investors, the “PIPE Shares”), in a private placement for an aggregate purchase price of $175 million (the “PIPE Financing”). The Company received $242.4 million in proceeds from the Merger and related PIPE Financing, and incurred $3.9 million of transaction costs, consisting of banking, legal, and other professional fees.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Going Concern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Since its inception in 2004, the Company has generated no product revenue and has incurred operating losses and negative cash flows from operations in each year. To date, the Company has financed its operations primarily through the sale of equity securities and convertible debt, proceeds from the Reverse Recapitalization, borrowings under loan facilities, proceeds from a revenue interest purchase agreement and, to a lesser extent, through governmental and other grants. At September 30, 2023 and December 31, 2022, the Company had an accumulated deficit of $512.2 million and $426.5 million, respectively. The Company’s operating losses were $73.9 million and $63.8 million for the nine months ended September 30, 2023 and 2022, respectively. Net cash flows used in operating activities were $54.3 million and $52.2 million during the nine months ended September 30, 2023 and 2022, respectively. Substantially all of the Company</w:t>
      </w:r>
      <w:r>
        <w:rPr>
          <w:color w:val="000000"/>
        </w:rPr>
        <w:t>’</w:t>
      </w:r>
      <w:r>
        <w:rPr>
          <w:rFonts w:ascii="Times New Roman;sans-serif" w:hAnsi="Times New Roman;sans-serif"/>
          <w:b w:val="false"/>
          <w:color w:val="000000"/>
          <w:sz w:val="20"/>
        </w:rPr>
        <w:t>s operating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product candidates.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cash and cash equivalents of $100.0 million. The Company believes its cash and cash equivalents on hand will be sufficient to fund operations, including clinical trial expenses and capital expenditure requirements, for at least 12 months from the issuance date of these interim financial statements. Adequate capital may not be available to the Company when needed or on acceptable terms. If the Company is unable to raise capital, it could be forced to delay, reduce, suspend or cease its research and development programs or any future commercialization efforts, which would have a negative impact on its business, prospects, operating results and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73685"/>
                <wp:effectExtent l="0" t="0" r="0" b="0"/>
                <wp:wrapNone/>
                <wp:docPr id="9" name="Frame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9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has prepared the accompanying financial statements in conformity with U.S. GAAP. The Company</w:t>
      </w:r>
      <w:r>
        <w:rPr>
          <w:color w:val="000000"/>
        </w:rPr>
        <w:t>’</w:t>
      </w:r>
      <w:r>
        <w:rPr>
          <w:rFonts w:ascii="Times New Roman;sans-serif" w:hAnsi="Times New Roman;sans-serif"/>
          <w:b w:val="false"/>
          <w:color w:val="000000"/>
          <w:sz w:val="20"/>
        </w:rPr>
        <w:t>s condensed consolidated financial statements reflect the operations of the Company and its wholly owned subsidiaries. All intercompany accounts and transactions have been eliminated in consolidation.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 the financial statements include stock-based compensation costs, right-of-use assets, accruals for research and development activities, contingent earnout liability, revenue interest liability, derivative liabilities, fair value of common stock warrants and income taxes.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Unaudited Interim Condensed Consolidated Financial Statements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accompanying interim condensed consolidated financial statements and the related footnote disclosures are unaudited. These unaudited interim financial statements have been prepared on the same basis as the audited financial statements and, in management</w:t>
      </w:r>
      <w:r>
        <w:rPr>
          <w:color w:val="000000"/>
        </w:rPr>
        <w:t>’</w:t>
      </w:r>
      <w:r>
        <w:rPr>
          <w:rFonts w:ascii="Times New Roman;sans-serif" w:hAnsi="Times New Roman;sans-serif"/>
          <w:b w:val="false"/>
          <w:color w:val="000000"/>
          <w:sz w:val="20"/>
        </w:rPr>
        <w:t>s opinion, include all adjustments, consisting of only normal recurring adjustments, necessary for the fair statement of the Company</w:t>
      </w:r>
      <w:r>
        <w:rPr>
          <w:color w:val="000000"/>
        </w:rPr>
        <w:t>’</w:t>
      </w:r>
      <w:r>
        <w:rPr>
          <w:rFonts w:ascii="Times New Roman;sans-serif" w:hAnsi="Times New Roman;sans-serif"/>
          <w:b w:val="false"/>
          <w:color w:val="000000"/>
          <w:sz w:val="20"/>
        </w:rPr>
        <w:t>s financial position as of September 30, 2023 and its results of operations for the three and nine months ended September 30, 2023 and 2022, and cash flows for the nine months ended September 30, 2023 and 2022. The results of operations for the three and nine months ended September 30, 2023 are not necessarily indicative of the results to be expected for the year ended December 31, 2023 or any other period. The December 31, 2022 year-end condensed consolidated balance sheet was derived from audited annual financial statements but does not include all disclosures from the annual financial statements.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2022 and the related notes included in the Company’s Annual Report on Form 10-K, filed with the SEC on March 24, 2023 (the “Annual Report”), which provides a more complete discussion of the Company’s accounting policies and certain other information. Other than the policies noted below, there have been no significant changes to the significant accounting policies disclosed in Note 2 of the audited consolidated financial statements as of and for the years ended December 31, 2022 and 2021 included in the Company</w:t>
      </w:r>
      <w:r>
        <w:rPr>
          <w:color w:val="000000"/>
        </w:rPr>
        <w:t>’</w:t>
      </w:r>
      <w:r>
        <w:rPr>
          <w:rFonts w:ascii="Times New Roman;sans-serif" w:hAnsi="Times New Roman;sans-serif"/>
          <w:b w:val="false"/>
          <w:color w:val="000000"/>
          <w:sz w:val="20"/>
        </w:rPr>
        <w:t>s Annual Report.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Reclassifications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amounts from prior periods have been reclassified to conform to the current period’s presentation. None of these reclassifications had a material impact on the Company’s condensed consolidated financial statements.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Segments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operates and manages its business as one reportable and operating segment. The Company is developing proprietary, bioengineered, acellular human tissues, advanced tissue constructs and organ systems that are designed to be used in the treatment of diseases and conditions across a range of anatomic locations in multiple therapeutic areas. The Company</w:t>
      </w:r>
      <w:r>
        <w:rPr>
          <w:color w:val="000000"/>
        </w:rPr>
        <w:t>’</w:t>
      </w:r>
      <w:r>
        <w:rPr>
          <w:rFonts w:ascii="Times New Roman;sans-serif" w:hAnsi="Times New Roman;sans-serif"/>
          <w:b w:val="false"/>
          <w:color w:val="000000"/>
          <w:sz w:val="20"/>
        </w:rPr>
        <w:t>s chief executive officer, who is the chief operating decision maker, reviews financial information on an aggregate basis for purposes of evaluating financial performance and allocating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73685"/>
                <wp:effectExtent l="0" t="0" r="0" b="0"/>
                <wp:wrapNone/>
                <wp:docPr id="10" name="Frame1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10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Concentration of Credit Risk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concentrations of credit risk consist principally of cash and cash equivalents and short-term investments consisting of certificates of deposit (“CDs”). As of September 30, 2023 and December 31, 2022, there were no material cash balances in excess of balances insured by the Federal Deposit Insurance Corporation (“FDIC”). As of both September 30, 2023 and December 31, 2022, the Company had cash equivalents in highly rated money market funds that are invested only in obligations of the U.S. government and its agencies.</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As of </w:t>
      </w:r>
      <w:r>
        <w:rPr>
          <w:rFonts w:ascii="Times New Roman;sans-serif" w:hAnsi="Times New Roman;sans-serif"/>
          <w:b w:val="false"/>
          <w:color w:val="000000"/>
          <w:sz w:val="20"/>
        </w:rPr>
        <w:t>December 31, 2022</w:t>
      </w:r>
      <w:r>
        <w:rPr>
          <w:rFonts w:ascii="Times New Roman;sans-serif" w:hAnsi="Times New Roman;sans-serif"/>
          <w:b w:val="false"/>
          <w:color w:val="231F20"/>
          <w:sz w:val="20"/>
        </w:rPr>
        <w:t xml:space="preserve">, the Company had approximately </w:t>
      </w:r>
      <w:r>
        <w:rPr>
          <w:rFonts w:ascii="Times New Roman;sans-serif" w:hAnsi="Times New Roman;sans-serif"/>
          <w:b w:val="false"/>
          <w:color w:val="000000"/>
          <w:sz w:val="20"/>
        </w:rPr>
        <w:t>$10.1 million</w:t>
      </w:r>
      <w:r>
        <w:rPr>
          <w:color w:val="231F20"/>
        </w:rPr>
        <w:t xml:space="preserve"> </w:t>
      </w:r>
      <w:r>
        <w:rPr>
          <w:rFonts w:ascii="Times New Roman;sans-serif" w:hAnsi="Times New Roman;sans-serif"/>
          <w:b w:val="false"/>
          <w:color w:val="231F20"/>
          <w:sz w:val="20"/>
        </w:rPr>
        <w:t xml:space="preserve">in CDs. These cash deposits were deposited at a bank that is a member of the Certificate of Deposit Account Registry Service (“CDARS”), in which large deposits are divided into smaller amounts and placed with other FDIC insured banks which are also members of the CDARS network. Those members issue CDs in amounts under $250,000, so that the entire deposit balance is eligible for FDIC insurance. As of </w:t>
      </w:r>
      <w:r>
        <w:rPr>
          <w:rFonts w:ascii="Times New Roman;sans-serif" w:hAnsi="Times New Roman;sans-serif"/>
          <w:b w:val="false"/>
          <w:color w:val="000000"/>
          <w:sz w:val="20"/>
        </w:rPr>
        <w:t>December 31, 2022, t</w:t>
      </w:r>
      <w:r>
        <w:rPr>
          <w:rFonts w:ascii="Times New Roman;sans-serif" w:hAnsi="Times New Roman;sans-serif"/>
          <w:b w:val="false"/>
          <w:color w:val="231F20"/>
          <w:sz w:val="20"/>
        </w:rPr>
        <w:t xml:space="preserve">he Company classified </w:t>
      </w:r>
      <w:r>
        <w:rPr>
          <w:rFonts w:ascii="Times New Roman;sans-serif" w:hAnsi="Times New Roman;sans-serif"/>
          <w:b w:val="false"/>
          <w:color w:val="000000"/>
          <w:sz w:val="20"/>
        </w:rPr>
        <w:t>$8.0 million</w:t>
      </w:r>
      <w:r>
        <w:rPr>
          <w:color w:val="231F20"/>
        </w:rPr>
        <w:t xml:space="preserve"> </w:t>
      </w:r>
      <w:r>
        <w:rPr>
          <w:rFonts w:ascii="Times New Roman;sans-serif" w:hAnsi="Times New Roman;sans-serif"/>
          <w:b w:val="false"/>
          <w:color w:val="231F20"/>
          <w:sz w:val="20"/>
        </w:rPr>
        <w:t xml:space="preserve">of its CDs as cash and cash equivalents and </w:t>
      </w:r>
      <w:r>
        <w:rPr>
          <w:rFonts w:ascii="Times New Roman;sans-serif" w:hAnsi="Times New Roman;sans-serif"/>
          <w:b w:val="false"/>
          <w:color w:val="000000"/>
          <w:sz w:val="20"/>
        </w:rPr>
        <w:t>$2.1 million</w:t>
      </w:r>
      <w:r>
        <w:rPr>
          <w:color w:val="231F20"/>
        </w:rPr>
        <w:t xml:space="preserve"> </w:t>
      </w:r>
      <w:r>
        <w:rPr>
          <w:rFonts w:ascii="Times New Roman;sans-serif" w:hAnsi="Times New Roman;sans-serif"/>
          <w:b w:val="false"/>
          <w:color w:val="231F20"/>
          <w:sz w:val="20"/>
        </w:rPr>
        <w:t xml:space="preserve">of its CDs as short-term investments on its condensed consolidated balance sheet. The Company did not have any CDs as of </w:t>
      </w:r>
      <w:r>
        <w:rPr>
          <w:rFonts w:ascii="Times New Roman;sans-serif" w:hAnsi="Times New Roman;sans-serif"/>
          <w:b w:val="false"/>
          <w:color w:val="000000"/>
          <w:sz w:val="20"/>
        </w:rPr>
        <w:t>September 30, 2023</w:t>
      </w:r>
      <w:r>
        <w:rPr>
          <w:rFonts w:ascii="Times New Roman;sans-serif" w:hAnsi="Times New Roman;sans-serif"/>
          <w:b w:val="false"/>
          <w:color w:val="231F20"/>
          <w:sz w:val="20"/>
        </w:rPr>
        <w: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classifies as restricted cash all cash pledged as collateral to secure long-term obligations and all cash whose use is otherwise limited by contractual provisions. As of September 30, 2023, restricted cash consisted of $0.2 million in funds maintained in a separate deposit account to secure a letter of credit for the benefit of the lessor of the Company’s headquarters lease, and $0.1 million in cash balances held as collateral for the Company’s employee credit card program. There was no restricted cash as of December 31, 2022.</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 condensed consolidated balance sheets to the total of the amounts shown in the condensed consolidated statements of cash flows as of September 30, 2023 and December 31, 2022.</w:t>
      </w:r>
    </w:p>
    <w:tbl>
      <w:tblPr>
        <w:tblW w:w="8690" w:type="dxa"/>
        <w:jc w:val="left"/>
        <w:tblInd w:w="0" w:type="dxa"/>
        <w:tblLayout w:type="fixed"/>
        <w:tblCellMar>
          <w:top w:w="28" w:type="dxa"/>
          <w:left w:w="28" w:type="dxa"/>
          <w:bottom w:w="28" w:type="dxa"/>
          <w:right w:w="28" w:type="dxa"/>
        </w:tblCellMar>
      </w:tblPr>
      <w:tblGrid>
        <w:gridCol w:w="2063"/>
        <w:gridCol w:w="1814"/>
        <w:gridCol w:w="1822"/>
        <w:gridCol w:w="109"/>
        <w:gridCol w:w="109"/>
        <w:gridCol w:w="109"/>
        <w:gridCol w:w="211"/>
        <w:gridCol w:w="826"/>
        <w:gridCol w:w="109"/>
        <w:gridCol w:w="109"/>
        <w:gridCol w:w="109"/>
        <w:gridCol w:w="109"/>
        <w:gridCol w:w="211"/>
        <w:gridCol w:w="826"/>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6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included in 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cash, cash equivalents and restricted cash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149,772 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Employee Retention Credit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The Coronavirus Aid, Relief, and Economic Security Act (the “CARES Act”) provided refundable employee retention credits, which could be used to offset payroll tax liabilities. Under the provisions of the extension of the CARES Act, the Company qualified for the employee retention credit for the first three quarters of 2021, and the Company applied for the credit in February 2023. As there is no authoritative guidance under U.S. </w:t>
      </w:r>
      <w:r>
        <w:rPr>
          <w:rFonts w:ascii="Times New Roman;sans-serif" w:hAnsi="Times New Roman;sans-serif"/>
          <w:b w:val="false"/>
          <w:color w:val="000000"/>
          <w:sz w:val="20"/>
          <w:shd w:fill="FFFFFF" w:val="clear"/>
        </w:rPr>
        <w:t xml:space="preserve">GAAP for accounting for grants to for-profit business entities, the Company accounted for the grant by applying Accounting Standards Codification (“ASC”) 450, </w:t>
      </w:r>
      <w:r>
        <w:rPr>
          <w:rFonts w:ascii="Times New Roman;sans-serif" w:hAnsi="Times New Roman;sans-serif"/>
          <w:b w:val="false"/>
          <w:i/>
          <w:color w:val="000000"/>
          <w:sz w:val="20"/>
          <w:shd w:fill="FFFFFF" w:val="clear"/>
        </w:rPr>
        <w:t>Contingencies</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The Company received an employee retention credit of $3.1 million in July 2023, and recognized the credit as income during the second quarter of 2023 after the Company received notices from the Internal Revenue Service specifying the amount of the credit receivable, and all uncertainties were resolved regarding receipt of the credit. The Company recognized the credit as a component of other income (expense), net on the condensed consolidated statement of operations and comprehensive loss during the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73685"/>
                <wp:effectExtent l="0" t="0" r="0" b="0"/>
                <wp:wrapNone/>
                <wp:docPr id="11" name="Frame1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11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 Interest Liability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12, 2023, Humacyte, Inc. and Global entered into a Revenue Interest Purchase Agreement (the “Purchase Agreement”) with two purchasers, both affiliates of Oberland Capital Management LLC (the “Purchasers”), and another affiliate of Oberland Capital Management LLC, as agent for the Purchasers. The revenue interest liability associated with the Purchase Agreement is presented net of a debt discount comprised of issuance costs, transaction costs, the fair value of a freestanding option agreement related to the Purchase Agreement, and the fair value of embedded derivatives requiring bifurcation on the condensed consolidated balance sheets.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the liability may vary during the term of the agreement depending on a number of factors, including the level and expected timing of forecasted net sales. If the level and timing of any forecasted net sales and related payments change, the Company will prospectively adjust the effective interest and the related amortization of the liability and related issuance costs on a quarterly basis.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Contingent Derivative Liability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Agreement contains certain features that meet the definition of embedded derivatives requiring bifurcation as a separate compound financial instrument apart from the Revenue Interest Liability. The contingent derivative liability related to the Put Option, as defined in Note 6 — Revenue Interest Purchase Agreement, was initially measured at fair value upon issuance and is subject to remeasurement at each reporting period with changes in fair value recognized as other income (expense) in the condensed consolidated statements of operations and comprehensive loss, classified in change in fair value of derivative liabilities.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JDRF Award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2023, the Company entered into an Industry Discovery and Development Partnership Agreement with JDRF International (“JDRF,” and such agreement, the “JDRF Agreement”) to further develop and perform preclinical testing of the Biovascular Pancreas (“BVP”), a product candidate designed to deliver insulin-producing islets using the HAV as a means of treating patients with type 1 diabetes. According to the terms of the JDRF Agreement, JDRF will provide funding up to $0.8 million (“JDRF Award”) based on the achievement of certain research and development milestones related to our BVP. The JDRF Agreement refers to the total cumulative payments the Company has received from JDRF as of any point in time as the “Actual Award.”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The Company received the first milestone payment of $80 thousand in April 2023 upon execution of the JDRF Agreement. The Company determined that the JDRF Actual Award payments are to be classified as long-term debt under ASC 470, </w:t>
      </w:r>
      <w:r>
        <w:rPr>
          <w:rFonts w:ascii="Times New Roman;sans-serif" w:hAnsi="Times New Roman;sans-serif"/>
          <w:b w:val="false"/>
          <w:i/>
          <w:color w:val="000000"/>
          <w:sz w:val="20"/>
        </w:rPr>
        <w:t>Debt</w:t>
      </w:r>
      <w:r>
        <w:rPr>
          <w:color w:val="000000"/>
        </w:rPr>
        <w:t xml:space="preserve"> </w:t>
      </w:r>
      <w:r>
        <w:rPr>
          <w:rFonts w:ascii="Times New Roman;sans-serif" w:hAnsi="Times New Roman;sans-serif"/>
          <w:b w:val="false"/>
          <w:color w:val="000000"/>
          <w:sz w:val="20"/>
        </w:rPr>
        <w:t>in the condensed consolidated balance sheets. The JDRF liability related to the Actual Award payments is reported at amortized cost, and as of September 30, 2023 the carrying value is $64 thousand and is included in other long-term liabilities in the condensed consolidated balance sheet.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derivative liability related to the Disposition Payment, as defined in Note 3, was initially measured at fair value upon issuance and is subject to remeasurement at each reporting period with changes in fair value recognized as other income (expense) in the condensed consolidated statements of operations and comprehensive loss, classified in change in fair value of derivative liabilities. See Note 3 — Fair Value Measurements for further information.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Net Loss per Share Attributable to Common Stockholders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attributable to common stockholders is computed by dividing net loss attributable to common stockholders by the weighted-average number of common shares outstanding during the period without consideration of potentially dilutive Common Stock. Diluted net loss per share attributable to common stockholders reflects the potential dilution that could occur if securities or other contracts to issue Common Stock were exercised or converted into Common Stock or resulted in the issuance of Common Stock that then shared in the earnings of the Company unless inclusion of such shares would be anti-dilutive. As the Company has incurred losses for the three and nine months ended September 30, 2023 and 2022, basic and diluted net loss per share is the same for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73685"/>
                <wp:effectExtent l="0" t="0" r="0" b="0"/>
                <wp:wrapNone/>
                <wp:docPr id="12" name="Frame1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12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potential shares of Common Stock were excluded from the computation of diluted net loss per share for each period because including them would have had an antidilutive effect.</w:t>
      </w:r>
    </w:p>
    <w:tbl>
      <w:tblPr>
        <w:tblW w:w="7097" w:type="dxa"/>
        <w:jc w:val="left"/>
        <w:tblInd w:w="0" w:type="dxa"/>
        <w:tblLayout w:type="fixed"/>
        <w:tblCellMar>
          <w:top w:w="28" w:type="dxa"/>
          <w:left w:w="28" w:type="dxa"/>
          <w:bottom w:w="28" w:type="dxa"/>
          <w:right w:w="28" w:type="dxa"/>
        </w:tblCellMar>
      </w:tblPr>
      <w:tblGrid>
        <w:gridCol w:w="1131"/>
        <w:gridCol w:w="992"/>
        <w:gridCol w:w="996"/>
        <w:gridCol w:w="109"/>
        <w:gridCol w:w="458"/>
        <w:gridCol w:w="458"/>
        <w:gridCol w:w="488"/>
        <w:gridCol w:w="488"/>
        <w:gridCol w:w="461"/>
        <w:gridCol w:w="109"/>
        <w:gridCol w:w="109"/>
        <w:gridCol w:w="109"/>
        <w:gridCol w:w="488"/>
        <w:gridCol w:w="488"/>
        <w:gridCol w:w="213"/>
      </w:tblGrid>
      <w:tr>
        <w:trPr/>
        <w:tc>
          <w:tcPr>
            <w:tcW w:w="1131"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3"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Three and Nine Months Ended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1516" w:type="dxa"/>
            <w:gridSpan w:val="6"/>
            <w:tcBorders/>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under stock plan</w:t>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7,170,891 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6,722,422 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15,000,000 Contingent Earnout Shares, as defined in Note 8, are excluded from the anti-dilutive table for all periods presented, as such shares are contingently issuable until the share price of the Company exceeds specified thresholds that have not yet been achieved, or upon the occurrence of a change in control. The Option Agreement, as defined in Note 6 — Revenue Interest Purchase Agreement, is excluded from the anti-dilutive table for the three and nine months ended September 30, 2023, based on the Company’s assumption that the Option Agreement will not be exercised unless the Company’s stock price exceeds $7.50 per share, the minimum purchase price under the Option Agreement.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Risks and Uncertainties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is subject to risks and uncertainties common to early-stage companies in the biotechnology industry, including, but not limited to, successful discovery and development of its product candidates, the success of clinical trials and other studies for its product candidates, including for its ongoing V005 Phase 2/3 clinical trial and V007 Phase 3 clinical trial, the regulatory approval and commercialization of its HAVs and other product candidates,</w:t>
      </w:r>
      <w:r>
        <w:rPr>
          <w:color w:val="000000"/>
        </w:rPr>
        <w:t xml:space="preserve"> </w:t>
      </w:r>
      <w:r>
        <w:rPr>
          <w:rFonts w:ascii="Times New Roman;sans-serif" w:hAnsi="Times New Roman;sans-serif"/>
          <w:b w:val="false"/>
          <w:color w:val="000000"/>
          <w:sz w:val="20"/>
        </w:rPr>
        <w:t>the expected size of the target populations for the Company</w:t>
      </w:r>
      <w:r>
        <w:rPr>
          <w:color w:val="000000"/>
        </w:rPr>
        <w:t>’</w:t>
      </w:r>
      <w:r>
        <w:rPr>
          <w:rFonts w:ascii="Times New Roman;sans-serif" w:hAnsi="Times New Roman;sans-serif"/>
          <w:b w:val="false"/>
          <w:color w:val="000000"/>
          <w:sz w:val="20"/>
        </w:rPr>
        <w:t>s product candidates, the degree of market acceptance of the HAVs, if approved, the availability of third-party coverage and reimbursement, development by competitors of new technological innovations, the ability to manufacture HAVs and other product candidates in sufficient quantities, expectations regarding the Company</w:t>
      </w:r>
      <w:r>
        <w:rPr>
          <w:color w:val="000000"/>
        </w:rPr>
        <w:t>’</w:t>
      </w:r>
      <w:r>
        <w:rPr>
          <w:rFonts w:ascii="Times New Roman;sans-serif" w:hAnsi="Times New Roman;sans-serif"/>
          <w:b w:val="false"/>
          <w:color w:val="000000"/>
          <w:sz w:val="20"/>
        </w:rPr>
        <w:t>s strategic partnerships, dependence on third parties, key personnel and the ability to attract and retain qualified employees, protection of proprietary technology and confidentiality of trade secrets, compliance with governmental regulations, the Company</w:t>
      </w:r>
      <w:r>
        <w:rPr>
          <w:color w:val="000000"/>
        </w:rPr>
        <w:t>’</w:t>
      </w:r>
      <w:r>
        <w:rPr>
          <w:rFonts w:ascii="Times New Roman;sans-serif" w:hAnsi="Times New Roman;sans-serif"/>
          <w:b w:val="false"/>
          <w:color w:val="000000"/>
          <w:sz w:val="20"/>
        </w:rPr>
        <w:t>s implementation and maintenance of effective internal controls, and the ability to secure additional capital to fund operations and the commercial success of its product candidates.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Product candidates currently under development will require extensive preclinical and clinical testing and regulatory approval prior to commercialization. These efforts require significant amounts of additional capital, adequate personnel, and infrastructure and extensive compliance-reporting capabilities. Even if the Company</w:t>
      </w:r>
      <w:r>
        <w:rPr>
          <w:color w:val="000000"/>
        </w:rPr>
        <w:t>’</w:t>
      </w:r>
      <w:r>
        <w:rPr>
          <w:rFonts w:ascii="Times New Roman;sans-serif" w:hAnsi="Times New Roman;sans-serif"/>
          <w:b w:val="false"/>
          <w:color w:val="000000"/>
          <w:sz w:val="20"/>
        </w:rPr>
        <w:t>s commercialization efforts are successful, it is uncertain when, if ever, the Company will realize significant revenue from product sales, and the Company may depend on certain strategic relationships to distribute its products, including the Company</w:t>
      </w:r>
      <w:r>
        <w:rPr>
          <w:color w:val="000000"/>
        </w:rPr>
        <w:t>’</w:t>
      </w:r>
      <w:r>
        <w:rPr>
          <w:rFonts w:ascii="Times New Roman;sans-serif" w:hAnsi="Times New Roman;sans-serif"/>
          <w:b w:val="false"/>
          <w:color w:val="000000"/>
          <w:sz w:val="20"/>
        </w:rPr>
        <w:t>s strategic partnership with Fresenius Medical Care, to sell, market and distribute its 6 millimeter HAV for certain specified indications outside the United States.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Recently Adopted Accounting Pronouncements</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The Company did not adopt any new standards or updates issued by the Financial Accounting Standards Board (the “FASB”) during the nine months ended </w:t>
      </w:r>
      <w:r>
        <w:rPr>
          <w:rFonts w:ascii="Times New Roman;sans-serif" w:hAnsi="Times New Roman;sans-serif"/>
          <w:b w:val="false"/>
          <w:color w:val="000000"/>
          <w:sz w:val="20"/>
        </w:rPr>
        <w:t>September 30, 2023</w:t>
      </w:r>
      <w:r>
        <w:rPr>
          <w:color w:val="231F20"/>
        </w:rPr>
        <w:t xml:space="preserve"> </w:t>
      </w:r>
      <w:r>
        <w:rPr>
          <w:rFonts w:ascii="Times New Roman;sans-serif" w:hAnsi="Times New Roman;sans-serif"/>
          <w:b w:val="false"/>
          <w:color w:val="231F20"/>
          <w:sz w:val="20"/>
        </w:rPr>
        <w:t xml:space="preserve">that had a material impact on the Company’s condensed consolidated </w:t>
      </w:r>
      <w:r>
        <w:rPr>
          <w:rFonts w:ascii="Times New Roman;sans-serif" w:hAnsi="Times New Roman;sans-serif"/>
          <w:b w:val="false"/>
          <w:color w:val="000000"/>
          <w:sz w:val="20"/>
        </w:rPr>
        <w:t>financial statements and related disclosures.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reviewed all recently issued accounting pronouncements through September 30, 2023 and concluded that they were not applicable or not expected to have a material impact on the Company’s condensed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3685"/>
                <wp:effectExtent l="0" t="0" r="0" b="0"/>
                <wp:wrapNone/>
                <wp:docPr id="13" name="Frame1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13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3. Fair Value Measurements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Fair value is defined as the price that would be received to sell an asset or paid to transfer a liability in the principal or most advantageous market in an orderly transaction between market participants at the measurement date. ASC 820, </w:t>
      </w:r>
      <w:r>
        <w:rPr>
          <w:rFonts w:ascii="Times New Roman;sans-serif" w:hAnsi="Times New Roman;sans-serif"/>
          <w:b w:val="false"/>
          <w:i/>
          <w:color w:val="000000"/>
          <w:sz w:val="20"/>
        </w:rPr>
        <w:t>Fair Value Measurement and Disclosures</w:t>
      </w:r>
      <w:r>
        <w:rPr>
          <w:rFonts w:ascii="Times New Roman;sans-serif" w:hAnsi="Times New Roman;sans-serif"/>
          <w:b w:val="false"/>
          <w:color w:val="000000"/>
          <w:sz w:val="20"/>
        </w:rPr>
        <w:t>, establishes a hierarchy whereby inputs to valuation techniques used in measuring fair value are prioritized, or the fair value hierarchy. There are three levels to the fair value hierarchy based on reliability of inputs, as follows: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Level 1 — Observable inputs that reflect unadjusted quoted prices for identical assets or liabilities in active markets.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Level 3 — Unobservable inputs in which little or no market data exists, therefore requiring the Company to develop its own assumptions.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money market funds are classified within Level 1 of the fair value hierarchy because they are valued using quoted market prices. Certificates of deposit were carried at amortized cost in the Company’s condensed consolidated balance sheets, which approximates their fair value based on Level 2 inputs. The carrying values of other receivables, accounts payable and accrued expenses as of September 30, 2023 and December 31, 2022 approximated their fair values due to the short-term nature of these items.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assets and liabilities subject to fair value measurements on a recurring basis to determine the appropriate level at which to classify them for each reporting period, utilizing valuation techniques that maximize the use of observable inputs and minimize the use of unobservable inputs to the extent possible. The determination requires significant judgments to be made by the Company.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were measured at fair value on a recurring basis were as follows:</w:t>
      </w:r>
    </w:p>
    <w:tbl>
      <w:tblPr>
        <w:tblW w:w="8532" w:type="dxa"/>
        <w:jc w:val="left"/>
        <w:tblInd w:w="0" w:type="dxa"/>
        <w:tblLayout w:type="fixed"/>
        <w:tblCellMar>
          <w:top w:w="28" w:type="dxa"/>
          <w:left w:w="28" w:type="dxa"/>
          <w:bottom w:w="28" w:type="dxa"/>
          <w:right w:w="28" w:type="dxa"/>
        </w:tblCellMar>
      </w:tblPr>
      <w:tblGrid>
        <w:gridCol w:w="1205"/>
        <w:gridCol w:w="1060"/>
        <w:gridCol w:w="1065"/>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 Measured as of September 30, 2023</w:t>
            </w:r>
          </w:p>
        </w:tc>
      </w:tr>
      <w:tr>
        <w:trPr/>
        <w:tc>
          <w:tcPr>
            <w:tcW w:w="33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Agreement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JDRF Agreement derivative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73685"/>
                <wp:effectExtent l="0" t="0" r="0" b="0"/>
                <wp:wrapNone/>
                <wp:docPr id="14" name="Frame1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14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627" w:type="dxa"/>
        <w:jc w:val="left"/>
        <w:tblInd w:w="0" w:type="dxa"/>
        <w:tblLayout w:type="fixed"/>
        <w:tblCellMar>
          <w:top w:w="28" w:type="dxa"/>
          <w:left w:w="28" w:type="dxa"/>
          <w:bottom w:w="28" w:type="dxa"/>
          <w:right w:w="28" w:type="dxa"/>
        </w:tblCellMar>
      </w:tblPr>
      <w:tblGrid>
        <w:gridCol w:w="1411"/>
        <w:gridCol w:w="1241"/>
        <w:gridCol w:w="1248"/>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411"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Fair Value Measured as of December 31, 2022</w:t>
            </w:r>
          </w:p>
        </w:tc>
      </w:tr>
      <w:tr>
        <w:trPr/>
        <w:tc>
          <w:tcPr>
            <w:tcW w:w="39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 (certificates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 (certificates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Earnout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Earnout Liability, Private Placement Warrants liability (as defined in Note 8 — Stockholders’ Equity), Contingent derivative liability related to the Put Option (as defined in Note 6 — Revenue Interest Purchase Agreement and discussed below), Option Agreement liability (as defined in Note 6 — Revenue Interest Purchase Agreement), and the derivative liability associated with the JDRF Agreement Disposition Payment are based on significant unobservable inputs, which represent Level 3 measurements within the fair value hierarchy. The fair values of the Private Placement Warrants liability, the Option Agreement liability and the derivative liability associated with the JDRF Agreement Disposition Payment, are included in other long-term liabilities on the condensed consolidated balance sheets.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Contingent Earnout Liability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the fair value of the Contingent Earnout Liability:</w:t>
      </w:r>
    </w:p>
    <w:tbl>
      <w:tblPr>
        <w:tblW w:w="10205" w:type="dxa"/>
        <w:jc w:val="left"/>
        <w:tblInd w:w="0" w:type="dxa"/>
        <w:tblLayout w:type="fixed"/>
        <w:tblCellMar>
          <w:top w:w="28" w:type="dxa"/>
          <w:left w:w="28" w:type="dxa"/>
          <w:bottom w:w="28" w:type="dxa"/>
          <w:right w:w="28" w:type="dxa"/>
        </w:tblCellMar>
      </w:tblPr>
      <w:tblGrid>
        <w:gridCol w:w="1548"/>
        <w:gridCol w:w="1337"/>
        <w:gridCol w:w="1344"/>
        <w:gridCol w:w="109"/>
        <w:gridCol w:w="109"/>
        <w:gridCol w:w="109"/>
        <w:gridCol w:w="219"/>
        <w:gridCol w:w="815"/>
        <w:gridCol w:w="113"/>
        <w:gridCol w:w="113"/>
        <w:gridCol w:w="113"/>
        <w:gridCol w:w="113"/>
        <w:gridCol w:w="219"/>
        <w:gridCol w:w="815"/>
        <w:gridCol w:w="113"/>
        <w:gridCol w:w="109"/>
        <w:gridCol w:w="109"/>
        <w:gridCol w:w="109"/>
        <w:gridCol w:w="211"/>
        <w:gridCol w:w="784"/>
        <w:gridCol w:w="109"/>
        <w:gridCol w:w="109"/>
        <w:gridCol w:w="109"/>
        <w:gridCol w:w="109"/>
        <w:gridCol w:w="211"/>
        <w:gridCol w:w="889"/>
        <w:gridCol w:w="158"/>
      </w:tblGrid>
      <w:tr>
        <w:trPr/>
        <w:tc>
          <w:tcPr>
            <w:tcW w:w="1548"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2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Contingent Earnout Liability</w:t>
            </w:r>
          </w:p>
        </w:tc>
      </w:tr>
      <w:tr>
        <w:trPr/>
        <w:tc>
          <w:tcPr>
            <w:tcW w:w="4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22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(44,049)</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(103,660)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(39,601)</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(45,011)</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(45,011)</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the Contingent Earnout Liability, the Company used the Monte Carlo simulation value model using a distribution of potential outcomes on a monthly basis over a 10-year period prioritizing the most reliable information available. The assumptions utilized in the calculation were based on the achievement of certain stock price milestones, including the current Common Stock price, expected volatility, risk-free rate, expected term and expected dividend yield (see Note 8 — Stockholders’ Equity). Contingent earnout payments involve certain assumptions requiring significant judgment and actual results can differ from assumed and estimated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73685"/>
                <wp:effectExtent l="0" t="0" r="0" b="0"/>
                <wp:wrapNone/>
                <wp:docPr id="15" name="Frame1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15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Private Placement Warrants Liability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the fair value of the Private Placement Warrants liability:</w:t>
      </w:r>
    </w:p>
    <w:tbl>
      <w:tblPr>
        <w:tblW w:w="10205" w:type="dxa"/>
        <w:jc w:val="left"/>
        <w:tblInd w:w="0" w:type="dxa"/>
        <w:tblLayout w:type="fixed"/>
        <w:tblCellMar>
          <w:top w:w="28" w:type="dxa"/>
          <w:left w:w="28" w:type="dxa"/>
          <w:bottom w:w="28" w:type="dxa"/>
          <w:right w:w="28" w:type="dxa"/>
        </w:tblCellMar>
      </w:tblPr>
      <w:tblGrid>
        <w:gridCol w:w="1618"/>
        <w:gridCol w:w="1405"/>
        <w:gridCol w:w="1412"/>
        <w:gridCol w:w="109"/>
        <w:gridCol w:w="109"/>
        <w:gridCol w:w="109"/>
        <w:gridCol w:w="266"/>
        <w:gridCol w:w="676"/>
        <w:gridCol w:w="137"/>
        <w:gridCol w:w="137"/>
        <w:gridCol w:w="137"/>
        <w:gridCol w:w="137"/>
        <w:gridCol w:w="266"/>
        <w:gridCol w:w="676"/>
        <w:gridCol w:w="137"/>
        <w:gridCol w:w="109"/>
        <w:gridCol w:w="109"/>
        <w:gridCol w:w="109"/>
        <w:gridCol w:w="258"/>
        <w:gridCol w:w="652"/>
        <w:gridCol w:w="132"/>
        <w:gridCol w:w="132"/>
        <w:gridCol w:w="132"/>
        <w:gridCol w:w="132"/>
        <w:gridCol w:w="258"/>
        <w:gridCol w:w="652"/>
        <w:gridCol w:w="199"/>
      </w:tblGrid>
      <w:tr>
        <w:trPr/>
        <w:tc>
          <w:tcPr>
            <w:tcW w:w="1618"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Private Placement Warrants</w:t>
            </w:r>
          </w:p>
        </w:tc>
      </w:tr>
      <w:tr>
        <w:trPr/>
        <w:tc>
          <w:tcPr>
            <w:tcW w:w="4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4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determining the fair value of the Private Placement Warrants liability, the Company used the Monte Carlo simulation valuation model to estimate the fair value utilizing assumptions including the current Company stock price, expected volatility, risk-free rate, expected term and expected dividend yield (see Note 8 — Stockholders’ Equity).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Derivative liabilities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Contingent derivative liability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debt pursuant to the Purchase Agreement contains an embedded derivative related to the Put Option, as defined in Note 6, requiring bifurcation as a single compound derivative instrument. The Company estimated the fair value of the derivative liability using a “with-and-without” methodology.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derivative liability at May 12, 2023 and September 30, 2023. In determining the fair value of the contingent derivative liability, the Company used the Monte Carlo simulation value model using a distribution of potential outcomes on a monthly basis over a 10-year period. The estimated probability and timing of underlying events triggering the exercisability of the put option contained within the Purchase Agreement, forecasted cash flows and the discount rates are significant unobservable inputs used to determine the estimated fair value of the entire instrument with the embedded derivative. As of May 12, 2023, the discount rates used to calculate the value of the contingent derivative liability were 12.7% to calculate the present-value of the revenue forecast and 12.1% to calculate the present-value of the payoff of the Put Option. As of September 30, 2023, the discount rates used to calculate the value of the contingent derivative liability were 15.4% to calculate the present-value of the revenue forecast and 17.4% to calculate the present-value of the payoff of the Put Option.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changes in the fair value of the contingent derivative liability, which is classified as a Level 3 financial instrument.</w:t>
      </w:r>
    </w:p>
    <w:tbl>
      <w:tblPr>
        <w:tblW w:w="9310" w:type="dxa"/>
        <w:jc w:val="left"/>
        <w:tblInd w:w="0" w:type="dxa"/>
        <w:tblLayout w:type="fixed"/>
        <w:tblCellMar>
          <w:top w:w="28" w:type="dxa"/>
          <w:left w:w="28" w:type="dxa"/>
          <w:bottom w:w="28" w:type="dxa"/>
          <w:right w:w="28" w:type="dxa"/>
        </w:tblCellMar>
      </w:tblPr>
      <w:tblGrid>
        <w:gridCol w:w="1819"/>
        <w:gridCol w:w="1599"/>
        <w:gridCol w:w="1607"/>
        <w:gridCol w:w="109"/>
        <w:gridCol w:w="109"/>
        <w:gridCol w:w="109"/>
        <w:gridCol w:w="109"/>
        <w:gridCol w:w="109"/>
        <w:gridCol w:w="109"/>
        <w:gridCol w:w="109"/>
        <w:gridCol w:w="335"/>
        <w:gridCol w:w="1097"/>
        <w:gridCol w:w="173"/>
        <w:gridCol w:w="109"/>
        <w:gridCol w:w="109"/>
        <w:gridCol w:w="109"/>
        <w:gridCol w:w="317"/>
        <w:gridCol w:w="1041"/>
        <w:gridCol w:w="232"/>
      </w:tblGrid>
      <w:tr>
        <w:trPr/>
        <w:tc>
          <w:tcPr>
            <w:tcW w:w="1819"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w:t>
              <w:br/>
              <w:t>Ended</w:t>
              <w:br/>
              <w:t>September 30, 2023</w:t>
            </w:r>
          </w:p>
        </w:tc>
      </w:tr>
      <w:tr>
        <w:trPr/>
        <w:tc>
          <w:tcPr>
            <w:tcW w:w="5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fair value of contingent derivative liability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included in other income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23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as of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73685"/>
                <wp:effectExtent l="0" t="0" r="0" b="0"/>
                <wp:wrapNone/>
                <wp:docPr id="16" name="Frame1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16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JDRF derivative liability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license, sale or transfer of the Company’s rights to the product’s technology identified in the JDRF Agreement or a change of control transaction, the Company is obligated to pay JDRF a payment equal to 10% of any license or purchase price payments received by the Company up to an amount equal to four times the Actual Award (the “Royalty Cap”), less any previous royalty payments paid towards the Royalty Cap (the “Disposition Payment”).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Disposition Payment was determined to meet the definition of an embedded derivative requiring bifurcation. The Company estimated the fair value of the Disposition Payment by performing an analysis of the Disposition Payment under different scenarios, based on the Actual Award of $80 thousand as of September 30, 2023 and a Royalty Cap of $320 thousand. The estimated probability and timing of a change in control event triggering the Disposition Payment and the discount rates are significant unobservable inputs used to determine the estimated fair value of the Disposition Payment. As of September 30, 2023, the discount rate used to calculate the value of the Disposition Payment was 19.4%. The estimated fair value of the Disposition Payment was $28 thousand as of September 30, 2023, which is classified as a component of other long-term liabilities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Property and Equipment, Net</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 of the following:</w:t>
      </w:r>
    </w:p>
    <w:tbl>
      <w:tblPr>
        <w:tblW w:w="6322" w:type="dxa"/>
        <w:jc w:val="left"/>
        <w:tblInd w:w="0" w:type="dxa"/>
        <w:tblLayout w:type="fixed"/>
        <w:tblCellMar>
          <w:top w:w="28" w:type="dxa"/>
          <w:left w:w="28" w:type="dxa"/>
          <w:bottom w:w="28" w:type="dxa"/>
          <w:right w:w="28" w:type="dxa"/>
        </w:tblCellMar>
      </w:tblPr>
      <w:tblGrid>
        <w:gridCol w:w="1225"/>
        <w:gridCol w:w="1077"/>
        <w:gridCol w:w="1087"/>
        <w:gridCol w:w="109"/>
        <w:gridCol w:w="109"/>
        <w:gridCol w:w="109"/>
        <w:gridCol w:w="231"/>
        <w:gridCol w:w="790"/>
        <w:gridCol w:w="119"/>
        <w:gridCol w:w="109"/>
        <w:gridCol w:w="109"/>
        <w:gridCol w:w="109"/>
        <w:gridCol w:w="221"/>
        <w:gridCol w:w="757"/>
        <w:gridCol w:w="161"/>
      </w:tblGrid>
      <w:tr>
        <w:trPr/>
        <w:tc>
          <w:tcPr>
            <w:tcW w:w="122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Scientific and manufacturing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58,099 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(30,248)</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(26,181)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27,851 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30,039 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pPr>
      <w:r>
        <w:rPr>
          <w:rFonts w:ascii="Times New Roman;sans-serif" w:hAnsi="Times New Roman;sans-serif"/>
          <w:b w:val="false"/>
          <w:color w:val="000000"/>
          <w:sz w:val="20"/>
        </w:rPr>
        <w:t>Depreciation expense totaled $1.3 million and $4.3 million for the three and nine months ended September 30, 2023, respectively, and $1.5 million and $4.6 million for the three and nine months ended September 30, 2022, respectively. All long-lived assets are maintained in the United</w:t>
      </w:r>
      <w:r>
        <w:rPr>
          <w:color w:val="000000"/>
        </w:rPr>
        <w:t xml:space="preserve"> </w:t>
      </w:r>
      <w:r>
        <w:rPr>
          <w:rFonts w:ascii="Times New Roman;sans-serif" w:hAnsi="Times New Roman;sans-serif"/>
          <w:b w:val="false"/>
          <w:color w:val="000000"/>
          <w:sz w:val="20"/>
        </w:rPr>
        <w:t>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5. Accrued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consisted of the following:</w:t>
      </w:r>
    </w:p>
    <w:tbl>
      <w:tblPr>
        <w:tblW w:w="8317" w:type="dxa"/>
        <w:jc w:val="left"/>
        <w:tblInd w:w="0" w:type="dxa"/>
        <w:tblLayout w:type="fixed"/>
        <w:tblCellMar>
          <w:top w:w="28" w:type="dxa"/>
          <w:left w:w="28" w:type="dxa"/>
          <w:bottom w:w="28" w:type="dxa"/>
          <w:right w:w="28" w:type="dxa"/>
        </w:tblCellMar>
      </w:tblPr>
      <w:tblGrid>
        <w:gridCol w:w="1946"/>
        <w:gridCol w:w="1711"/>
        <w:gridCol w:w="1727"/>
        <w:gridCol w:w="109"/>
        <w:gridCol w:w="109"/>
        <w:gridCol w:w="109"/>
        <w:gridCol w:w="257"/>
        <w:gridCol w:w="750"/>
        <w:gridCol w:w="132"/>
        <w:gridCol w:w="109"/>
        <w:gridCol w:w="109"/>
        <w:gridCol w:w="109"/>
        <w:gridCol w:w="245"/>
        <w:gridCol w:w="716"/>
        <w:gridCol w:w="179"/>
      </w:tblGrid>
      <w:tr>
        <w:trPr/>
        <w:tc>
          <w:tcPr>
            <w:tcW w:w="19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external research, development and manufacturing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9,586 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73685"/>
                <wp:effectExtent l="0" t="0" r="0" b="0"/>
                <wp:wrapNone/>
                <wp:docPr id="17" name="Frame1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17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6. Revenue Interest Purchase Agreement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 Interest Purchase Agreement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On May 12, 2023, Humacyte, Inc. and Global entered into the Purchase Agreement with the Purchasers and another affiliate of Oberland Capital Management LLC, as agent for the Purchasers, to obtain financing with respect to the further development and commercialization of the Company’s HAV, to repay the Company’s credit facility with SVB, and for other general corporate purposes. Pursuant to the Purchase Agreement, on May 12, 2023, the Purchasers purchased certain revenue interests (the “Revenue Interests”) from Global in exchange for </w:t>
      </w:r>
      <w:r>
        <w:rPr>
          <w:rFonts w:ascii="Times New Roman;sans-serif" w:hAnsi="Times New Roman;sans-serif"/>
          <w:b w:val="false"/>
          <w:color w:val="000000"/>
          <w:sz w:val="20"/>
          <w:shd w:fill="FFFFFF" w:val="clear"/>
        </w:rPr>
        <w:t xml:space="preserve">an aggregate investment amount of up to </w:t>
      </w:r>
      <w:r>
        <w:rPr>
          <w:rFonts w:ascii="Times New Roman;sans-serif" w:hAnsi="Times New Roman;sans-serif"/>
          <w:b w:val="false"/>
          <w:color w:val="000000"/>
          <w:sz w:val="20"/>
        </w:rPr>
        <w:t>$150.0 million</w:t>
      </w:r>
      <w:r>
        <w:rPr>
          <w:color w:val="000000"/>
          <w:shd w:fill="FFFFFF" w:val="clear"/>
        </w:rPr>
        <w:t xml:space="preserve"> </w:t>
      </w:r>
      <w:r>
        <w:rPr>
          <w:rFonts w:ascii="Times New Roman;sans-serif" w:hAnsi="Times New Roman;sans-serif"/>
          <w:b w:val="false"/>
          <w:color w:val="000000"/>
          <w:sz w:val="20"/>
          <w:shd w:fill="FFFFFF" w:val="clear"/>
        </w:rPr>
        <w:t xml:space="preserve">(the “Investment Amount”). On </w:t>
      </w:r>
      <w:r>
        <w:rPr>
          <w:rFonts w:ascii="Times New Roman;sans-serif" w:hAnsi="Times New Roman;sans-serif"/>
          <w:b w:val="false"/>
          <w:color w:val="000000"/>
          <w:sz w:val="20"/>
        </w:rPr>
        <w:t xml:space="preserve">May 12, 2023, the Company received an initial payment of $40.0 million, less certain transaction expenses, </w:t>
      </w:r>
      <w:r>
        <w:rPr>
          <w:rFonts w:ascii="Times New Roman;sans-serif" w:hAnsi="Times New Roman;sans-serif"/>
          <w:b w:val="false"/>
          <w:color w:val="000000"/>
          <w:sz w:val="20"/>
          <w:shd w:fill="FFFFFF" w:val="clear"/>
        </w:rPr>
        <w:t>which was used to repay in full the Company’s existing obligations under the Loan Agreement with SVB</w:t>
      </w:r>
      <w:r>
        <w:rPr>
          <w:rFonts w:ascii="Times New Roman;sans-serif" w:hAnsi="Times New Roman;sans-serif"/>
          <w:b w:val="false"/>
          <w:color w:val="000000"/>
          <w:sz w:val="20"/>
        </w:rPr>
        <w:t>. The Company will also be entitled to receive up to approximately $110.0 million in subsequent installments subject to the terms and conditions set forth in the Purchase Agreement, as follows: (i) $20.0 million upon the Company’s biologics license application (“BLA”) for an indication in vascular trauma being accepted on or prior to March 31, 2024, (ii) $40.0 million, at the Company’s option, upon the Company receiving FDA approval of the HAV for the vascular trauma indication on or prior to December 31, 2024 and (iii) $50.0 million, at the Company’s option, upon reaching $35.0 million trailing worldwide three-month net sales any time prior to December 31, 2025. Each tranche is dependent on the satisfaction of the conditions and receipt of funds from the previous tranche.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Purchase Agreement, the Revenue Interests entitle the Purchasers to receive a royalty initially equal to 7.5% (the “Rate”) of global net sales of the Company’s products (subject to a lower rate for net sales by specified licensees outside the United States), to be paid on a calendar quarterly basis (the “Revenue Interest Payments”).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Purchasers do not receive cumulative Revenue Interest Payments equal to 100% of the amount funded to date (the “Cumulative Purchaser Payments”) by the last business day of 2028 (the “Test Date”), the Rate will increase to a rate that, had such increased rate applied during the period from May 12, 2023 through the Test Date, would have provided the Purchasers with cumulative Revenue Interest Payments equal to the Cumulative Purchaser Payments as of the Test Date. Additionally, Global will be required to pay the Purchasers an amount equal to 100% of the Cumulative Purchaser Payments as of the Test Date less the total Revenue Interest Payments made by Global to the Purchasers under the Purchase Agreement as of the Test Date. Global’s obligation to make Revenue Interest Payments terminates on the date on which the Purchasers have received Revenue Interest Payments of 150% of the Cumulative Purchaser Payments unless the Purchase Agreement is terminated earlier due to the Purchaser’s exercise of a Put Option, the Company’s exercise of a call option, or by mutual consent. However, if the Purchasers have not received such Revenue Interest Payments as of such date, the Purchase Agreement will instead terminate on the date on which the Purchasers receive Revenue Interest Payments of 195% of the Cumulative Purchaser Payments.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Under the Purchase Agreement, Global has an option (the “Call Option”) to repurchase the Revenue Interests and terminate the Purchase Agreement at any time upon advance written notice. Additionally, the Purchasers have an option (the “Put Option”) to terminate the Purchase Agreement and to require Global to repurchase the Revenue Interests upon enumerated events such as a bankruptcy event, an uncured material breach, a material adverse effect or a change of control. If the Put Option is exercised prior to August 12, 2024 by the Purchasers (except pursuant to a change of control), the required repurchase price will be 125% of the Cumulative Purchaser Payments (minus the aggregate Revenue Interest payments Global has made to the Purchasers as of such date). If (i) the Put Option is exercised on or prior to August 12, 2024 by the Purchasers after the occurrence of a change of control, (ii) the Put Option is exercised after August 12, 2024 until May 12, 2026, or (iii) the Call Option is exercised on or prior to May 12, 2026, then in each case, the required repurchase price will be 175% of the Cumulative Purchaser Payments (minus the aggregate Revenue Interest Payments Global has made to the Purchasers as of such date).</w:t>
      </w:r>
      <w:r>
        <w:rPr>
          <w:color w:val="000000"/>
        </w:rPr>
        <w:t xml:space="preserve"> </w:t>
      </w:r>
      <w:r>
        <w:rPr>
          <w:rFonts w:ascii="Times New Roman;sans-serif" w:hAnsi="Times New Roman;sans-serif"/>
          <w:b w:val="false"/>
          <w:color w:val="000000"/>
          <w:sz w:val="20"/>
        </w:rPr>
        <w:t>If a Put Option or Call Option is exercised after May 12, 2026, the required repurchase price will be 195% of the Cumulative Purchaser Payments (minus the aggregate Revenue Interest Payments Global has made to the Purchasers as of such date).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Agreement contains customary representations and warranties and affirmative covenants for transactions of this type, including, among others, the provision of financial and other information to the Purchaser, notice to the Purchaser upon the occurrence of certain material events, and compliance with applicable laws. The Purchase Agreement also contains customary negative covenants, including certain restrictions on the ability to incur indebtedness and grant liens or security interests on assets. As of September 30, 2023, the Company was in compliance with all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73685"/>
                <wp:effectExtent l="0" t="0" r="0" b="0"/>
                <wp:wrapNone/>
                <wp:docPr id="18" name="Frame1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18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provided a parent company guaranty to guarantee the payment in full of the obligations under the Purchase Agreement. The Company’s obligations under the parent company guaranty and Global’s obligations under the Purchase Agreement and the Revenue Interests are secured by a perfected security interest on substantially all of the Company’s and Global’s assets.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Agreement is considered a sale of future revenues and accounted for as long-term debt recorded at amortized cost using the effective interest rate method.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$37.3 million was recorded as a revenue interest liability on the accompanying condensed consolidated balance sheets (net of transaction costs, the fair value allocated to the Option Agreement and the fair value of the bifurcated contingent derivative liability). The revenue interest liability is based on the Company’s contractual repayment obligation to the Purchasers, based on the current estimates of future revenues, over the life of the Purchase Agreement. The Company imputes interest expense associated with this liability using the effective interest rate method. The effective interest rate is calculated based on the rate that would enable the debt to be repaid in full over the anticipated life of the arrangement. The interest rate on this liability may vary during the term of the agreement depending on a number of factors, including the level and expected timing of forecasted net sales. The estimated effective annual interest rate as of September 30, 2023 was 11.5%. The Company will evaluate the interest rate quarterly based on its current net sales forecasts. If the level and timing of any forecasted net sales and related payments change, the Company will prospectively adjust the effective interest and the related amortization of the liability and related issuance costs. The Company recorded $1.0 million and $1.8 million in interest expense related to the Purchase Agreement for the three and nine months ended September 30, 2023, respectively.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Put Option under the Purchase Agreement that is exercisable by the Purchasers upon certain contingent events was determined to be an embedded derivative requiring bifurcation and separately accounted for as a single compound derivative instrument. The Company recorded the initial fair value of the derivative liability of $2.4 million as a debt discount, which will be amortized to interest expense over the expected term of the debt using the effective interest method. See Note 3 — Fair Value Measurements for a further discussion of the fair value of the contingent derivative liability associated with the Put Option.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Company incurred zero and $2.1 million of issuance and transaction costs, respectively, in connection with the Purchase Agreement. The issuance and transaction costs were capitalized to debt discount and are being amortized to interest expense over the estimated term of the debt. The Company paid $1.8 million of the issuance and transaction costs during the second quarter of 2023 and paid $0.3 million during the third quarter of 2023.</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Interest Payments made as a result of the Company’s net product sales will reduce the revenue interest liability. During the three and nine months ended September 30, 2023, the Company did not record any product sales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revenue interest liability activity during the nine months ended September 30, 2023:</w:t>
      </w:r>
    </w:p>
    <w:tbl>
      <w:tblPr>
        <w:tblW w:w="6482" w:type="dxa"/>
        <w:jc w:val="left"/>
        <w:tblInd w:w="0" w:type="dxa"/>
        <w:tblLayout w:type="fixed"/>
        <w:tblCellMar>
          <w:top w:w="28" w:type="dxa"/>
          <w:left w:w="28" w:type="dxa"/>
          <w:bottom w:w="28" w:type="dxa"/>
          <w:right w:w="28" w:type="dxa"/>
        </w:tblCellMar>
      </w:tblPr>
      <w:tblGrid>
        <w:gridCol w:w="1835"/>
        <w:gridCol w:w="1612"/>
        <w:gridCol w:w="1622"/>
        <w:gridCol w:w="109"/>
        <w:gridCol w:w="109"/>
        <w:gridCol w:w="109"/>
        <w:gridCol w:w="211"/>
        <w:gridCol w:w="721"/>
        <w:gridCol w:w="154"/>
      </w:tblGrid>
      <w:tr>
        <w:trPr/>
        <w:tc>
          <w:tcPr>
            <w:tcW w:w="1835"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interest liability at inception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revenue interest purchase agreement,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revenue interest purchase agreement,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from embedded contingent derivative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discount from fair value of Option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recognized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0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interest liability at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37,286 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73685"/>
                <wp:effectExtent l="0" t="0" r="0" b="0"/>
                <wp:wrapNone/>
                <wp:docPr id="19" name="Frame1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19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Option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Purchase Agreement, the Company also entered into an option agreement with TPC Investments III LP and TPC Investment Solutions LP (the “Option Agreement”), which gives TPC Investments III LP and TPC Investment Solutions LP (the “Holders”) the right to purchase, in the aggregate, up to $10.0 million worth of shares of common stock of the Company (the “Option”) at a purchase price per share equal to the greater of $7.50, or the 15 day volume-weighted average price as of the exercise date, exercisable in cash only at any time prior to the earlier of (i) December 31, 2026 and (ii) the closing date of a corporate reorganization. The Holders also received certain registration rights relating to the shares underlying the Option pursuant to the Option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Option granted to the Holders represents a freestanding instrument separate from the purchaser commitments outlined in the Purchase Agreement. The Option Agreement does not qualify for the equity contract scope exception under ASC 815-40 and the Company recorded the Option as a liability (“Option Agreement liability”) on the condensed consolidated balance sheet at an initial fair value of $55 thousand, with subsequent changes in the fair value to be recognized in the condensed consolidated statements of operations and comprehensive loss at each reporting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 xml:space="preserve">Pursuant to the Purchase Agreement, on </w:t>
      </w:r>
      <w:r>
        <w:rPr>
          <w:rFonts w:ascii="Times New Roman;sans-serif" w:hAnsi="Times New Roman;sans-serif"/>
          <w:b w:val="false"/>
          <w:color w:val="000000"/>
          <w:sz w:val="20"/>
        </w:rPr>
        <w:t>May 12, 2023</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$40.0 million</w:t>
      </w:r>
      <w:r>
        <w:rPr>
          <w:rFonts w:ascii="Times New Roman;sans-serif" w:hAnsi="Times New Roman;sans-serif"/>
          <w:b w:val="false"/>
          <w:color w:val="000000"/>
          <w:sz w:val="20"/>
          <w:shd w:fill="FFFFFF" w:val="clear"/>
        </w:rPr>
        <w:t xml:space="preserve">, less certain transaction expenses, was funded to the Company, which was used to repay in full the Company’s existing obligations under its term loan agreement </w:t>
      </w:r>
      <w:r>
        <w:rPr>
          <w:rFonts w:ascii="Times New Roman;sans-serif" w:hAnsi="Times New Roman;sans-serif"/>
          <w:b w:val="false"/>
          <w:color w:val="000000"/>
          <w:sz w:val="20"/>
        </w:rPr>
        <w:t>with Silicon Valley Bank (“SVB”) and SVB Innovation Credit Fund VIII, L.P., entered into on March 30, 2021, as amended in June 2021 and September 2021 (the “Loan Agreement”).</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shd w:fill="FFFFFF" w:val="clear"/>
        </w:rPr>
        <w:t>The Loan Agreement</w:t>
      </w:r>
      <w:r>
        <w:rPr>
          <w:color w:val="000000"/>
        </w:rPr>
        <w:t xml:space="preserve"> </w:t>
      </w:r>
      <w:r>
        <w:rPr>
          <w:rFonts w:ascii="Times New Roman;sans-serif" w:hAnsi="Times New Roman;sans-serif"/>
          <w:b w:val="false"/>
          <w:color w:val="000000"/>
          <w:sz w:val="20"/>
        </w:rPr>
        <w:t>provided a term loan facility of up to $50.0 million with a maturity date of March 1, 2025. On March 10, 2023, SVB was closed by the California Department of Financial Protection and Innovation, and the Federal Deposit Insurance Corporation (the “FDIC”) was appointed as receiver.</w:t>
      </w:r>
      <w:r>
        <w:rPr>
          <w:color w:val="000000"/>
        </w:rPr>
        <w:t xml:space="preserve"> </w:t>
      </w:r>
      <w:r>
        <w:rPr>
          <w:rFonts w:ascii="Times New Roman;sans-serif" w:hAnsi="Times New Roman;sans-serif"/>
          <w:b w:val="false"/>
          <w:color w:val="000000"/>
          <w:sz w:val="20"/>
        </w:rPr>
        <w:t>On March 13, 2023, the FDIC announced that all of SVB’s deposits and substantially all of its assets had been transferred to a newly created, full-service, FDIC-operated bridge bank, Silicon Valley Bridge Bank, N.A. (“SVBB”).</w:t>
      </w:r>
      <w:r>
        <w:rPr>
          <w:color w:val="000000"/>
        </w:rPr>
        <w:t xml:space="preserve"> </w:t>
      </w:r>
      <w:r>
        <w:rPr>
          <w:rFonts w:ascii="Times New Roman;sans-serif" w:hAnsi="Times New Roman;sans-serif"/>
          <w:b w:val="false"/>
          <w:color w:val="000000"/>
          <w:sz w:val="20"/>
        </w:rPr>
        <w:t>SVBB assumed all loans that were previously held by SVB. On March 27, 2023, First-Citizens Bank &amp; Trust Company assumed all of SVBB’s customer deposits and certain other liabilities and acquired substantially all of SVBB’s loans and certain other assets from the FDIC, including the Loan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Loan Agreement, the Company granted warrants to the lenders to purchase shares of Common Stock at an exercise price of $10.28 per share, of which 287,704 warrants were immediately exercisable. The warrants are classified within stockholders’ equity, as the settlement of the warrants is indexed to the Common Stock. The Company recognized the fair value of the warrants immediately exercisable within stockholders’ equity using a Black-Scholes valuation model at issuance.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issuance, the Company initially determined that the funding of an additional tranche was not probable, and therefore no value was ascribed to the remaining 123,302 warrants that were only exercisable upon the funding of the first additional tranche. As a result of the Company’s additional $10.0 million borrowings under the Loan Agreement on October 13, 2021, the warrants to purchase the additional 123,302 shares of Common Stock became exercisable at an exercise price of $10.28 per share and the value of the warrants was recorded as of that date. The additional warrants are classified within stockholders’ equity using a Black-Scholes valuation model, as the settlement of the warrants is indexed to the Common Stock.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warrants ($3.3 million), a 5% final payment fee ($1.5 million) and debt issuance costs ($0.3 million) were being accreted to interest expense over the term of the loan using the effective interest method.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termination of the Loan Agreement, the Company paid a prepayment premium of $0.3 million and recorded a loss on extinguishment of debt of $2.4 million during the nine months ended September 30, 2023 in other income (expense) in the condensed consolidated statements of operations and comprehensive loss. The loss on extinguishment of debt consists of the prepayment premium, the unamortized debt discount and issuance costs and the unaccreted final payment fee.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73685"/>
                <wp:effectExtent l="0" t="0" r="0" b="0"/>
                <wp:wrapNone/>
                <wp:docPr id="20" name="Frame2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20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pPr>
      <w:r>
        <w:rPr>
          <w:rFonts w:ascii="Times New Roman;sans-serif" w:hAnsi="Times New Roman;sans-serif"/>
          <w:b/>
          <w:color w:val="000000"/>
          <w:sz w:val="20"/>
        </w:rPr>
        <w:t>8. Stockholders</w:t>
      </w:r>
      <w:r>
        <w:rPr>
          <w:color w:val="000000"/>
        </w:rPr>
        <w:t xml:space="preserve">’ </w:t>
      </w:r>
      <w:r>
        <w:rPr>
          <w:rFonts w:ascii="Times New Roman;sans-serif" w:hAnsi="Times New Roman;sans-serif"/>
          <w:b/>
          <w:color w:val="000000"/>
          <w:sz w:val="20"/>
        </w:rPr>
        <w:t>Equity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26, 2021, the Merger and related PIPE Financing was consummated and the Company issued 27,346,449 shares of Common Stock for proceeds of $242.4 million. The Company incurred $3.9 million of transaction costs, consisting of banking, legal, and other professional fees. Legacy Humacyte assumed $15.2 million of liabilities, including PIPE Financing fees and legal fees, and $0.1 million of assets from AHAC. Immediately following the Merger, there were 103,003,384 shares of Common Stock outstanding with a par value of $0.0001 per share. </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As of September 30, 2023, the Company</w:t>
      </w:r>
      <w:r>
        <w:rPr>
          <w:color w:val="000000"/>
        </w:rPr>
        <w:t>’</w:t>
      </w:r>
      <w:r>
        <w:rPr>
          <w:rFonts w:ascii="Times New Roman;sans-serif" w:hAnsi="Times New Roman;sans-serif"/>
          <w:b w:val="false"/>
          <w:color w:val="000000"/>
          <w:sz w:val="20"/>
        </w:rPr>
        <w:t>s Second Amended and Restated Certificate of Incorporation authorized the Company to issue 250,000,000 shares of Common Stock. The number of authorized shares of Common Stock may be increased or decreased (but not below the number of shares then outstanding or reserved for issuance) by the affirmative vote of the holders of a majority in interest of the Common Stock.</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holders of Common Stock are entitled to receive dividends from time to time as may be declared by the Company</w:t>
      </w:r>
      <w:r>
        <w:rPr>
          <w:color w:val="000000"/>
        </w:rPr>
        <w:t>’</w:t>
      </w:r>
      <w:r>
        <w:rPr>
          <w:rFonts w:ascii="Times New Roman;sans-serif" w:hAnsi="Times New Roman;sans-serif"/>
          <w:b w:val="false"/>
          <w:color w:val="000000"/>
          <w:sz w:val="20"/>
        </w:rPr>
        <w:t>s board of directors. Through September 30, 2023, no dividends have been declared.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holders of Common Stock are entitled to one vote for each share held with respect to all matters voted on by the common stockholders of the Company.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event of a reorganization of the Company, after payment to any preferred stockholders of their liquidation preferences, holders of Common Stock are entitled to share ratably in all remaining assets of the Company.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reserved Common Stock for future issuances as follows:</w:t>
      </w:r>
    </w:p>
    <w:tbl>
      <w:tblPr>
        <w:tblW w:w="6408" w:type="dxa"/>
        <w:jc w:val="left"/>
        <w:tblInd w:w="0" w:type="dxa"/>
        <w:tblLayout w:type="fixed"/>
        <w:tblCellMar>
          <w:top w:w="28" w:type="dxa"/>
          <w:left w:w="28" w:type="dxa"/>
          <w:bottom w:w="28" w:type="dxa"/>
          <w:right w:w="28" w:type="dxa"/>
        </w:tblCellMar>
      </w:tblPr>
      <w:tblGrid>
        <w:gridCol w:w="1658"/>
        <w:gridCol w:w="1454"/>
        <w:gridCol w:w="1462"/>
        <w:gridCol w:w="540"/>
        <w:gridCol w:w="541"/>
        <w:gridCol w:w="381"/>
        <w:gridCol w:w="109"/>
        <w:gridCol w:w="109"/>
        <w:gridCol w:w="154"/>
      </w:tblGrid>
      <w:tr>
        <w:trPr/>
        <w:tc>
          <w:tcPr>
            <w:tcW w:w="165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reserved for Contingent Earnout Shares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15,000,000 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reserved for Option Agreement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1,333,334 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2"/>
              </w:rPr>
            </w:pPr>
            <w:r>
              <w:rPr>
                <w:rFonts w:ascii="Times New Roman;sans-serif" w:hAnsi="Times New Roman;sans-serif"/>
                <w:b w:val="false"/>
                <w:color w:val="000000"/>
                <w:sz w:val="12"/>
              </w:rPr>
              <w:t>1</w:t>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of options outstanding under stock plans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7,170,891 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available for issuance under stock plans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6,501,655 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grant under ESPP</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1,030,033 </w:t>
            </w:r>
          </w:p>
        </w:tc>
        <w:tc>
          <w:tcPr>
            <w:tcW w:w="3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to purchase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36,624,419 </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60" w:after="283"/>
        <w:ind w:left="0" w:right="0" w:hanging="360"/>
        <w:jc w:val="left"/>
        <w:rPr/>
      </w:pPr>
      <w:r>
        <w:rPr>
          <w:rFonts w:ascii="Times New Roman;sans-serif" w:hAnsi="Times New Roman;sans-serif"/>
          <w:b w:val="false"/>
          <w:color w:val="231F20"/>
          <w:sz w:val="20"/>
        </w:rPr>
        <w:t xml:space="preserve">(1)Assumes the exercise of the entire Option as provided for in the Option Agreement at the minimum purchase price of </w:t>
      </w:r>
      <w:r>
        <w:rPr>
          <w:rFonts w:ascii="Times New Roman;sans-serif" w:hAnsi="Times New Roman;sans-serif"/>
          <w:b w:val="false"/>
          <w:color w:val="000000"/>
          <w:sz w:val="20"/>
        </w:rPr>
        <w:t>$7.50</w:t>
      </w:r>
      <w:r>
        <w:rPr>
          <w:color w:val="231F20"/>
        </w:rPr>
        <w:t xml:space="preserve"> </w:t>
      </w:r>
      <w:r>
        <w:rPr>
          <w:rFonts w:ascii="Times New Roman;sans-serif" w:hAnsi="Times New Roman;sans-serif"/>
          <w:b w:val="false"/>
          <w:color w:val="231F20"/>
          <w:sz w:val="20"/>
        </w:rPr>
        <w:t>per share.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s Second Amended and Restated Certificate of Incorporation provides the Company</w:t>
      </w:r>
      <w:r>
        <w:rPr>
          <w:color w:val="000000"/>
        </w:rPr>
        <w:t>’</w:t>
      </w:r>
      <w:r>
        <w:rPr>
          <w:rFonts w:ascii="Times New Roman;sans-serif" w:hAnsi="Times New Roman;sans-serif"/>
          <w:b w:val="false"/>
          <w:color w:val="000000"/>
          <w:sz w:val="20"/>
        </w:rPr>
        <w:t>s board of directors with the authority to issue preferred stock, par value $0.0001 per share, in one more series and to establish from time to time the number of shares to be included in each such series, by adopting a resolution and filing a certification of designations. Voting powers, designations, powers, preferences and relative, participating, optional, special and other rights shall be stated and expressed in such resolutions. There were 20,000,000 shares designated as preferred stock and none were outstanding as of September 30, 2023 and December 31,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73685"/>
                <wp:effectExtent l="0" t="0" r="0" b="0"/>
                <wp:wrapNone/>
                <wp:docPr id="21" name="Frame2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21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Warrants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the following Common Stock warrants outstanding as of September 30, 2023 and December 31, 2022: </w:t>
      </w:r>
    </w:p>
    <w:tbl>
      <w:tblPr>
        <w:tblW w:w="6614" w:type="dxa"/>
        <w:jc w:val="left"/>
        <w:tblInd w:w="0" w:type="dxa"/>
        <w:tblLayout w:type="fixed"/>
        <w:tblCellMar>
          <w:top w:w="28" w:type="dxa"/>
          <w:left w:w="28" w:type="dxa"/>
          <w:bottom w:w="28" w:type="dxa"/>
          <w:right w:w="28" w:type="dxa"/>
        </w:tblCellMar>
      </w:tblPr>
      <w:tblGrid>
        <w:gridCol w:w="1323"/>
        <w:gridCol w:w="1164"/>
        <w:gridCol w:w="1172"/>
        <w:gridCol w:w="863"/>
        <w:gridCol w:w="863"/>
        <w:gridCol w:w="1229"/>
      </w:tblGrid>
      <w:tr>
        <w:trPr/>
        <w:tc>
          <w:tcPr>
            <w:tcW w:w="1323"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Warrants Outstanding</w:t>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Legacy Humacyte Common Stock Warrants</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411,006 </w:t>
            </w:r>
          </w:p>
        </w:tc>
        <w:tc>
          <w:tcPr>
            <w:tcW w:w="1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Private Placement Warrants</w:t>
            </w:r>
          </w:p>
        </w:tc>
        <w:tc>
          <w:tcPr>
            <w:tcW w:w="1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177,500 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Warrants</w:t>
            </w:r>
          </w:p>
        </w:tc>
        <w:tc>
          <w:tcPr>
            <w:tcW w:w="1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5,000,000 </w:t>
            </w:r>
          </w:p>
        </w:tc>
        <w:tc>
          <w:tcPr>
            <w:tcW w:w="1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Common Stock Warrants</w:t>
            </w:r>
          </w:p>
        </w:tc>
        <w:tc>
          <w:tcPr>
            <w:tcW w:w="17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5,588,506 </w:t>
            </w:r>
          </w:p>
        </w:tc>
        <w:tc>
          <w:tcPr>
            <w:tcW w:w="1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pPr>
      <w:r>
        <w:rPr>
          <w:rFonts w:ascii="Times New Roman;sans-serif" w:hAnsi="Times New Roman;sans-serif"/>
          <w:b w:val="false"/>
          <w:color w:val="000000"/>
          <w:sz w:val="20"/>
        </w:rPr>
        <w:t>See Note 7 — Debt for a discussion of Common Stock warrants issued in conjunction with the Company</w:t>
      </w:r>
      <w:r>
        <w:rPr>
          <w:color w:val="000000"/>
        </w:rPr>
        <w:t>’</w:t>
      </w:r>
      <w:r>
        <w:rPr>
          <w:rFonts w:ascii="Times New Roman;sans-serif" w:hAnsi="Times New Roman;sans-serif"/>
          <w:b w:val="false"/>
          <w:color w:val="000000"/>
          <w:sz w:val="20"/>
        </w:rPr>
        <w:t>s Loan Agreement in 2021 (such warrants, “Legacy Humacyte Common Stock Warrants”). There were no issuances, exercises or expirations of warrants during the nine months ended September 30, 2023 or September 30, 2022.</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In connection with the Merger, the Company assumed 5,000,000 publicly-traded warrants (</w:t>
      </w:r>
      <w:r>
        <w:rPr>
          <w:color w:val="000000"/>
        </w:rPr>
        <w:t>“</w:t>
      </w:r>
      <w:r>
        <w:rPr>
          <w:rFonts w:ascii="Times New Roman;sans-serif" w:hAnsi="Times New Roman;sans-serif"/>
          <w:b w:val="false"/>
          <w:color w:val="000000"/>
          <w:sz w:val="20"/>
        </w:rPr>
        <w:t>Public Warrants</w:t>
      </w:r>
      <w:r>
        <w:rPr>
          <w:color w:val="000000"/>
        </w:rPr>
        <w:t>”</w:t>
      </w:r>
      <w:r>
        <w:rPr>
          <w:rFonts w:ascii="Times New Roman;sans-serif" w:hAnsi="Times New Roman;sans-serif"/>
          <w:b w:val="false"/>
          <w:color w:val="000000"/>
          <w:sz w:val="20"/>
        </w:rPr>
        <w:t xml:space="preserve">) and 177,500 private placement warrants issued to AHAC Sponsor LLC (the </w:t>
      </w:r>
      <w:r>
        <w:rPr>
          <w:color w:val="000000"/>
        </w:rPr>
        <w:t>“</w:t>
      </w:r>
      <w:r>
        <w:rPr>
          <w:rFonts w:ascii="Times New Roman;sans-serif" w:hAnsi="Times New Roman;sans-serif"/>
          <w:b w:val="false"/>
          <w:color w:val="000000"/>
          <w:sz w:val="20"/>
        </w:rPr>
        <w:t>Sponsor</w:t>
      </w:r>
      <w:r>
        <w:rPr>
          <w:color w:val="000000"/>
        </w:rPr>
        <w:t>”</w:t>
      </w:r>
      <w:r>
        <w:rPr>
          <w:rFonts w:ascii="Times New Roman;sans-serif" w:hAnsi="Times New Roman;sans-serif"/>
          <w:b w:val="false"/>
          <w:color w:val="000000"/>
          <w:sz w:val="20"/>
        </w:rPr>
        <w:t>), Oppenheimer &amp; Co. Inc. and Northland Securities, Inc., in connection with AHAC</w:t>
      </w:r>
      <w:r>
        <w:rPr>
          <w:color w:val="000000"/>
        </w:rPr>
        <w:t>’</w:t>
      </w:r>
      <w:r>
        <w:rPr>
          <w:rFonts w:ascii="Times New Roman;sans-serif" w:hAnsi="Times New Roman;sans-serif"/>
          <w:b w:val="false"/>
          <w:color w:val="000000"/>
          <w:sz w:val="20"/>
        </w:rPr>
        <w:t>s initial public offering (</w:t>
      </w:r>
      <w:r>
        <w:rPr>
          <w:color w:val="000000"/>
        </w:rPr>
        <w:t>“</w:t>
      </w:r>
      <w:r>
        <w:rPr>
          <w:rFonts w:ascii="Times New Roman;sans-serif" w:hAnsi="Times New Roman;sans-serif"/>
          <w:b w:val="false"/>
          <w:color w:val="000000"/>
          <w:sz w:val="20"/>
        </w:rPr>
        <w:t>Private Placement Warrants</w:t>
      </w:r>
      <w:r>
        <w:rPr>
          <w:color w:val="000000"/>
        </w:rPr>
        <w:t xml:space="preserve">” </w:t>
      </w:r>
      <w:r>
        <w:rPr>
          <w:rFonts w:ascii="Times New Roman;sans-serif" w:hAnsi="Times New Roman;sans-serif"/>
          <w:b w:val="false"/>
          <w:color w:val="000000"/>
          <w:sz w:val="20"/>
        </w:rPr>
        <w:t xml:space="preserve">and, together with the Public Warrants, the </w:t>
      </w:r>
      <w:r>
        <w:rPr>
          <w:color w:val="000000"/>
        </w:rPr>
        <w:t>“</w:t>
      </w:r>
      <w:r>
        <w:rPr>
          <w:rFonts w:ascii="Times New Roman;sans-serif" w:hAnsi="Times New Roman;sans-serif"/>
          <w:b w:val="false"/>
          <w:color w:val="000000"/>
          <w:sz w:val="20"/>
        </w:rPr>
        <w:t>Common Stock Warrants</w:t>
      </w:r>
      <w:r>
        <w:rPr>
          <w:color w:val="000000"/>
        </w:rPr>
        <w:t>”</w:t>
      </w:r>
      <w:r>
        <w:rPr>
          <w:rFonts w:ascii="Times New Roman;sans-serif" w:hAnsi="Times New Roman;sans-serif"/>
          <w:b w:val="false"/>
          <w:color w:val="000000"/>
          <w:sz w:val="20"/>
        </w:rPr>
        <w:t xml:space="preserve">). The Common Stock Warrants entitle the holder to purchase one share of Common Stock at an exercise price of $11.50 per share. The Company evaluated the Common Stock Warrants to determine the appropriate financial statement classification upon the consummation of the Merger. The Common Stock Warrants are not mandatorily redeemable and are considered to be freestanding instruments as they are separately exercisable into Common Stock. As such, the Common Stock Warrants were not classified as liabilities under FASB ASC Topic 480, </w:t>
      </w:r>
      <w:r>
        <w:rPr>
          <w:rFonts w:ascii="Times New Roman;sans-serif" w:hAnsi="Times New Roman;sans-serif"/>
          <w:b w:val="false"/>
          <w:i/>
          <w:color w:val="000000"/>
          <w:sz w:val="20"/>
        </w:rPr>
        <w:t xml:space="preserve">Distinguishing Liabilities from Equity </w:t>
      </w:r>
      <w:r>
        <w:rPr>
          <w:rFonts w:ascii="Times New Roman;sans-serif" w:hAnsi="Times New Roman;sans-serif"/>
          <w:b w:val="false"/>
          <w:color w:val="000000"/>
          <w:sz w:val="20"/>
        </w:rPr>
        <w:t xml:space="preserve">(“ASC 480”). The Company then evaluated the Common Stock Warrants under FASB ASC Topic 815, </w:t>
      </w:r>
      <w:r>
        <w:rPr>
          <w:rFonts w:ascii="Times New Roman;sans-serif" w:hAnsi="Times New Roman;sans-serif"/>
          <w:b w:val="false"/>
          <w:i/>
          <w:color w:val="000000"/>
          <w:sz w:val="20"/>
        </w:rPr>
        <w:t>Derivatives and Hedging</w:t>
      </w:r>
      <w:r>
        <w:rPr>
          <w:rFonts w:ascii="Times New Roman;sans-serif" w:hAnsi="Times New Roman;sans-serif"/>
          <w:b w:val="false"/>
          <w:color w:val="000000"/>
          <w:sz w:val="20"/>
        </w:rPr>
        <w:t>.</w:t>
      </w:r>
    </w:p>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Public Warrants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Public Warrants may be eligible for a cashless exercise. The Public Warrants may only be exercised for a whole number of shares and will expire five years after the completion of the Merger. The Public Warrants became exercisable 30 days after the completion of the Merger.</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Public Warrants are considered to be “indexed to the Company’s own stock.” The agreement provides that in the event of a tender or exchange offer made to and accepted by holders of more than 50% of the outstanding shares of the Company</w:t>
      </w:r>
      <w:r>
        <w:rPr>
          <w:color w:val="000000"/>
        </w:rPr>
        <w:t>’</w:t>
      </w:r>
      <w:r>
        <w:rPr>
          <w:rFonts w:ascii="Times New Roman;sans-serif" w:hAnsi="Times New Roman;sans-serif"/>
          <w:b w:val="false"/>
          <w:color w:val="000000"/>
          <w:sz w:val="20"/>
        </w:rPr>
        <w:t>s Common Stock, all holders of the Common Stock Warrants (both the Public Warrants and the Private Placement Warrants) would be entitled to receive cash for all of their Common Stock Warrants. As the Company has a single class of Common Stock, a qualifying cash tender offer of more than 50% of the Company</w:t>
      </w:r>
      <w:r>
        <w:rPr>
          <w:color w:val="000000"/>
        </w:rPr>
        <w:t>’</w:t>
      </w:r>
      <w:r>
        <w:rPr>
          <w:rFonts w:ascii="Times New Roman;sans-serif" w:hAnsi="Times New Roman;sans-serif"/>
          <w:b w:val="false"/>
          <w:color w:val="000000"/>
          <w:sz w:val="20"/>
        </w:rPr>
        <w:t>s Common Stock will always result in a change in control and would not preclude permanent equity classification of the Public Warrants. Based on this evaluation, the Company concluded that the Public Warrants meet the criteria to be classified within stockholders</w:t>
      </w:r>
      <w:r>
        <w:rPr>
          <w:color w:val="000000"/>
        </w:rPr>
        <w:t xml:space="preserve">’ </w:t>
      </w:r>
      <w:r>
        <w:rPr>
          <w:rFonts w:ascii="Times New Roman;sans-serif" w:hAnsi="Times New Roman;sans-serif"/>
          <w:b w:val="false"/>
          <w:color w:val="000000"/>
          <w:sz w:val="20"/>
        </w:rPr>
        <w:t>equity. The Public Warrants were initially recognized as equity on the Closing Date at a fair value of $2.80 per share.</w:t>
      </w:r>
    </w:p>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Private Placement Warrants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are non-redeemable for cash so long as they are held by the initial purchasers or their permitted transferees. If the Private Placement Warrants are held by someone other than the initial purchasers or their permitted transferees, the Private Placement Warrants are redeemable by the Company and exercisable by such holders on the same basis as the Public Warrants.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73685"/>
                <wp:effectExtent l="0" t="0" r="0" b="0"/>
                <wp:wrapNone/>
                <wp:docPr id="22" name="Frame2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22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The agreement governing the Common Stock Warrants includes a provision, the application of which could result in a different settlement value for the Private Placement Warrants depending on their holder. Because the holder of an instrument is not an input into the pricing of a fixed-for-fixed option on the Common Stock, the Private Placement Warrants are not considered to be </w:t>
      </w:r>
      <w:r>
        <w:rPr>
          <w:color w:val="000000"/>
        </w:rPr>
        <w:t>“</w:t>
      </w:r>
      <w:r>
        <w:rPr>
          <w:rFonts w:ascii="Times New Roman;sans-serif" w:hAnsi="Times New Roman;sans-serif"/>
          <w:b w:val="false"/>
          <w:color w:val="000000"/>
          <w:sz w:val="20"/>
        </w:rPr>
        <w:t>indexed to the Company</w:t>
      </w:r>
      <w:r>
        <w:rPr>
          <w:color w:val="000000"/>
        </w:rPr>
        <w:t>’</w:t>
      </w:r>
      <w:r>
        <w:rPr>
          <w:rFonts w:ascii="Times New Roman;sans-serif" w:hAnsi="Times New Roman;sans-serif"/>
          <w:b w:val="false"/>
          <w:color w:val="000000"/>
          <w:sz w:val="20"/>
        </w:rPr>
        <w:t>s own stock</w:t>
      </w:r>
      <w:r>
        <w:rPr>
          <w:color w:val="000000"/>
        </w:rPr>
        <w:t xml:space="preserve">” </w:t>
      </w:r>
      <w:r>
        <w:rPr>
          <w:rFonts w:ascii="Times New Roman;sans-serif" w:hAnsi="Times New Roman;sans-serif"/>
          <w:b w:val="false"/>
          <w:color w:val="000000"/>
          <w:sz w:val="20"/>
        </w:rPr>
        <w:t>and therefore are not classified in stockholders</w:t>
      </w:r>
      <w:r>
        <w:rPr>
          <w:color w:val="000000"/>
        </w:rPr>
        <w:t xml:space="preserve">’ </w:t>
      </w:r>
      <w:r>
        <w:rPr>
          <w:rFonts w:ascii="Times New Roman;sans-serif" w:hAnsi="Times New Roman;sans-serif"/>
          <w:b w:val="false"/>
          <w:color w:val="000000"/>
          <w:sz w:val="20"/>
        </w:rPr>
        <w:t xml:space="preserve">equity. As the Private Placement Warrants meet the definition of a derivative, the Company recorded these warrants as liabilities on the condensed consolidated balance sheet at fair value, with subsequent changes in their respective fair values recognized in the condensed consolidated statements of operations and comprehensive loss at each reporting date.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Private Placement Warrants were initially recognized as a liability on the Closing Date, at a fair value of $0.6 million and the estimated fair value of the Private Placement Warrants at December 31, 2022 was $0.1 million. See Note 3 — Fair Value Measurements for a summary of the change in the fair value of the Private Placement Warrants during the three and nine months ended September 30, 2023 and 2022. The remeasurement of the Private Placement Warrant liability to a fair value of $0.1 million as of September 30, 2023 resulted in an insignificant non-cash gain and a non-cash loss of $0.1 million for the three and nine months ended September 30, 2023, respectively, compared to a non-cash loss of $0.1 million and a non-cash gain of $0.2 million for the three and nine months ended September 30, 2022. The remeasurement of the Private Placement Warrant liability is classified within Change in fair value of derivative liabilities in the condensed consolidated statements of operations and comprehensive loss.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Private Placement Warrants were valued using the following assumptions under the Monte Carlo simulation value model:</w:t>
      </w:r>
    </w:p>
    <w:tbl>
      <w:tblPr>
        <w:tblW w:w="5217" w:type="dxa"/>
        <w:jc w:val="left"/>
        <w:tblInd w:w="0" w:type="dxa"/>
        <w:tblLayout w:type="fixed"/>
        <w:tblCellMar>
          <w:top w:w="28" w:type="dxa"/>
          <w:left w:w="28" w:type="dxa"/>
          <w:bottom w:w="28" w:type="dxa"/>
          <w:right w:w="28" w:type="dxa"/>
        </w:tblCellMar>
      </w:tblPr>
      <w:tblGrid>
        <w:gridCol w:w="943"/>
        <w:gridCol w:w="831"/>
        <w:gridCol w:w="836"/>
        <w:gridCol w:w="406"/>
        <w:gridCol w:w="209"/>
        <w:gridCol w:w="525"/>
        <w:gridCol w:w="109"/>
        <w:gridCol w:w="109"/>
        <w:gridCol w:w="109"/>
        <w:gridCol w:w="377"/>
        <w:gridCol w:w="195"/>
        <w:gridCol w:w="568"/>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of public stock</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 price</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Contingent Earnout Liability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Following the closing of the Merger (the “Closing”), former holders of Legacy Humacyte common and preferred shares are eligible to receive up to 15,000,000 additional shares of Common Stock (the “Contingent Earnout Shares”) in the aggregate, in two equal tranches of 7,500,000 shares of Common Stock per tranche. The first and second tranches are issuable if the closing volume weighted average price (</w:t>
      </w:r>
      <w:r>
        <w:rPr>
          <w:color w:val="000000"/>
        </w:rPr>
        <w:t>“</w:t>
      </w:r>
      <w:r>
        <w:rPr>
          <w:rFonts w:ascii="Times New Roman;sans-serif" w:hAnsi="Times New Roman;sans-serif"/>
          <w:b w:val="false"/>
          <w:color w:val="000000"/>
          <w:sz w:val="20"/>
        </w:rPr>
        <w:t>VWAP</w:t>
      </w:r>
      <w:r>
        <w:rPr>
          <w:color w:val="000000"/>
        </w:rPr>
        <w:t>”</w:t>
      </w:r>
      <w:r>
        <w:rPr>
          <w:rFonts w:ascii="Times New Roman;sans-serif" w:hAnsi="Times New Roman;sans-serif"/>
          <w:b w:val="false"/>
          <w:color w:val="000000"/>
          <w:sz w:val="20"/>
        </w:rPr>
        <w:t>) per share of Common Stock quoted on The Nasdaq Stock Market LLC (“Nasdaq”) (or the exchange on which the shares of Common Stock are then listed), is greater or equal to $15.00 and $20.00, respectively, over any 20 trading days within any 30 consecutive trading day period.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Upon the Closing, the contingent obligation to issue Contingent Earnout Shares was accounted for as a liability because the triggering events that determine the number of Contingent Earnout Shares required to be issued include events that are not solely indexed to the Common Stock. The Contingent Earnout Shares are subsequently remeasured at each reporting date with changes in fair value recorded as a component of other income (expense), net in the condensed consolidated statements of operations and comprehensive loss. The estimated fair value of the total Contingent Earnout Shares at the Closing on August 26, 2021 was $159.4 million based on a Monte Carlo simulation valuation model using a distribution of potential outcomes on a monthly basis over a 10-year period using the most reliable information available. The estimated fair value of the total Contingent Earnout Shares at December 31, 2022 was $27.9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73685"/>
                <wp:effectExtent l="0" t="0" r="0" b="0"/>
                <wp:wrapNone/>
                <wp:docPr id="23" name="Frame2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23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Note 3 — Fair Value Measurements for a summary of the change in the fair value of the Contingent Earnout Liability during the three and nine months ended September 30, 2023 and 2022. The remeasurement of the Contingent Earnout Liability to a fair value of $39.6 million as of September 30, 2023 resulted in non-cash losses of $1.1 million and $11.7 million for the three and nine months ended September 30, 2023, respectively, compared to a non-cash loss of $1.0 million and a non-cash gain of $58.6 million for the three and nine months ended September 30, 2022, respectively. The remeasurement of the Contingent Earnout Liability is classified within Change in fair value of Contingent Earnout Liability in the condensed consolidated statements of operations and comprehensive loss. The assumptions utilized in the calculations of fair value were based on the achievement of certain stock price milestones, including the current Common Stock price, expected volatility, risk-free rate, expected term and expected dividend yield.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Assumptions used in the valuations are described below:</w:t>
      </w:r>
    </w:p>
    <w:tbl>
      <w:tblPr>
        <w:tblW w:w="5217" w:type="dxa"/>
        <w:jc w:val="left"/>
        <w:tblInd w:w="0" w:type="dxa"/>
        <w:tblLayout w:type="fixed"/>
        <w:tblCellMar>
          <w:top w:w="28" w:type="dxa"/>
          <w:left w:w="28" w:type="dxa"/>
          <w:bottom w:w="28" w:type="dxa"/>
          <w:right w:w="28" w:type="dxa"/>
        </w:tblCellMar>
      </w:tblPr>
      <w:tblGrid>
        <w:gridCol w:w="944"/>
        <w:gridCol w:w="829"/>
        <w:gridCol w:w="837"/>
        <w:gridCol w:w="406"/>
        <w:gridCol w:w="209"/>
        <w:gridCol w:w="525"/>
        <w:gridCol w:w="109"/>
        <w:gridCol w:w="109"/>
        <w:gridCol w:w="109"/>
        <w:gridCol w:w="377"/>
        <w:gridCol w:w="195"/>
        <w:gridCol w:w="568"/>
      </w:tblGrid>
      <w:tr>
        <w:trPr/>
        <w:tc>
          <w:tcPr>
            <w:tcW w:w="94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stock price</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6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4.59 </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5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6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5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9. Stock-based Compensation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At Closing, the 2021 Long-Term Incentive Plan, (the “2021 Plan”), and the 2021 Employee Stock Purchase Plan, (the “ESPP”), became effective. As of September 30, 2023, 6,501,655 and 1,030,033 shares of Common Stock were available under the 2021 Plan and ESPP, respectively. The 2021 Plan and ESPP provide that on January 1 of each year commencing January 1, 2022, the 2021 Plan and the ESPP reserve will automatically increase in an amount equal to the lesser of (a) 5% and 1%, respectively, of the number of shares of the Company</w:t>
      </w:r>
      <w:r>
        <w:rPr>
          <w:color w:val="000000"/>
        </w:rPr>
        <w:t>’</w:t>
      </w:r>
      <w:r>
        <w:rPr>
          <w:rFonts w:ascii="Times New Roman;sans-serif" w:hAnsi="Times New Roman;sans-serif"/>
          <w:b w:val="false"/>
          <w:color w:val="000000"/>
          <w:sz w:val="20"/>
        </w:rPr>
        <w:t>s Common Stock outstanding on December 31 of the preceding year and (b) a number of shares of Common Stock determined by the Company</w:t>
      </w:r>
      <w:r>
        <w:rPr>
          <w:color w:val="000000"/>
        </w:rPr>
        <w:t>’</w:t>
      </w:r>
      <w:r>
        <w:rPr>
          <w:rFonts w:ascii="Times New Roman;sans-serif" w:hAnsi="Times New Roman;sans-serif"/>
          <w:b w:val="false"/>
          <w:color w:val="000000"/>
          <w:sz w:val="20"/>
        </w:rPr>
        <w:t>s board of directors. In both December 2021 and 2022, the Company’s board of directors determined that there would be no automatic increase in the number of shares reserved under the 2021 Plan or the ESPP on either January 1, 2022 or January 1, 2023.</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2021 Plan, the Company can grant non-statutory stock options, incentive stock options, stock appreciation rights, restricted stock, restricted stock units, unrestricted stock, performance awards and other forms of awards. Under the ESPP, when and if implemented, eligible employees will be permitted to purchase shares of the Company’s Common Stock at the lower of 85% of the closing trading price per share of the Company’s Common Stock on the first day of the offering or 85% of the closing trading price per share on the exercise date, which will occur on the last day of each offering.</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Closing, Legacy Humacyte had two equity incentive plans, the 2015 Omnibus Incentive Plan, as amended (the “2015 Plan”), and the 2005 Stock Option Plan (the “2005 Plan”). As a result of the Merger, no further awards may be granted under either the 2015 Plan or the 2005 Plan. All awards previously granted and outstanding as of the effective date of the Merger were adjusted to reflect the impact of the Merger as set forth in the Merger Agreement, but otherwise remain in effect pursuant to their original terms. The shares underlying any award granted under the 2021 Plan or the 2015 Plan that are forfeited, cancelled or reacquired by the Company prior to vesting, that expire or that are paid out in cash rather than shares will become available for grant and issuance under the 2021 Plan. As of September 30, 2023, 3,405,878, 3,485,882 and 279,131 shares of Common Stock remain reserved for outstanding options issued under the 2021 Plan, the 2015 Plan and the 2005 Plan, respectively.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s stock option plans allow for the grant of awards that the Company believes aid in aligning the interests of award recipients with those of its stockholders. The Company</w:t>
      </w:r>
      <w:r>
        <w:rPr>
          <w:color w:val="000000"/>
        </w:rPr>
        <w:t>’</w:t>
      </w:r>
      <w:r>
        <w:rPr>
          <w:rFonts w:ascii="Times New Roman;sans-serif" w:hAnsi="Times New Roman;sans-serif"/>
          <w:b w:val="false"/>
          <w:color w:val="000000"/>
          <w:sz w:val="20"/>
        </w:rPr>
        <w:t>s board of directors or compensation committee determines the specific terms of equity incentive grants, including the exercise price per share and vesting period for option awards. Option awards are granted with an exercise price equal to the fair market value of the Company</w:t>
      </w:r>
      <w:r>
        <w:rPr>
          <w:color w:val="000000"/>
        </w:rPr>
        <w:t>’</w:t>
      </w:r>
      <w:r>
        <w:rPr>
          <w:rFonts w:ascii="Times New Roman;sans-serif" w:hAnsi="Times New Roman;sans-serif"/>
          <w:b w:val="false"/>
          <w:color w:val="000000"/>
          <w:sz w:val="20"/>
        </w:rPr>
        <w:t>s Common Stock at the date of grant.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73685"/>
                <wp:effectExtent l="0" t="0" r="0" b="0"/>
                <wp:wrapNone/>
                <wp:docPr id="24" name="Frame2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24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granted options that include either a service-based or performance-based vesting condition, or both, and a 10-year contractual term. The service-based vesting condition for the plans is generally satisfied over 36 to 48 months from the date of grant. The performance-based vesting conditions are satisfied upon the attainment of certain product development milestones. The Company recognizes stock-based compensation expense based on the grant date fair value of the awards measured using the Black-Scholes option pricing model. Compensation expense related to awards with service-based vesting conditions is recognized on a straight-line basis over the requisite service period. Option valuation models, including the Black-Scholes option-pricing model, require the input of highly subjective assumptions, and changes in the assumptions used can materially affect the grant-date fair value of an award. These assumptions include the risk-free rate of interest, expected dividend yield, expected volatility, the expected term of the award, and the fair value of the underlying Common Stock on the date of grant. Forfeitures are accounted for as they occur.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expense related to awards with performance-based vesting conditions is recognized over the requisite service period using the accelerated attribution method to the extent achievement of the performance-based condition is probable. The Company does not recognize compensation expense related to awards with performance-based vesting conditions until it is probable that the performance-based vesting condition will be achieved. Forfeitures are accounted for as they occur.</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Option awards under the Company</w:t>
      </w:r>
      <w:r>
        <w:rPr>
          <w:color w:val="000000"/>
        </w:rPr>
        <w:t>’</w:t>
      </w:r>
      <w:r>
        <w:rPr>
          <w:rFonts w:ascii="Times New Roman;sans-serif" w:hAnsi="Times New Roman;sans-serif"/>
          <w:b w:val="false"/>
          <w:color w:val="000000"/>
          <w:sz w:val="20"/>
        </w:rPr>
        <w:t>s option plans generally provide for accelerated vesting of the unvested portions of any option award in the event of an involuntary termination, as such term is defined in the relevant stock option agreement, of a grantee</w:t>
      </w:r>
      <w:r>
        <w:rPr>
          <w:color w:val="000000"/>
        </w:rPr>
        <w:t>’</w:t>
      </w:r>
      <w:r>
        <w:rPr>
          <w:rFonts w:ascii="Times New Roman;sans-serif" w:hAnsi="Times New Roman;sans-serif"/>
          <w:b w:val="false"/>
          <w:color w:val="000000"/>
          <w:sz w:val="20"/>
        </w:rPr>
        <w:t>s employment during the period that commences 30 days prior to the effective date of a corporate transaction and that ends 12 months following the effective date of such transaction. Additionally, the Company</w:t>
      </w:r>
      <w:r>
        <w:rPr>
          <w:color w:val="000000"/>
        </w:rPr>
        <w:t>’</w:t>
      </w:r>
      <w:r>
        <w:rPr>
          <w:rFonts w:ascii="Times New Roman;sans-serif" w:hAnsi="Times New Roman;sans-serif"/>
          <w:b w:val="false"/>
          <w:color w:val="000000"/>
          <w:sz w:val="20"/>
        </w:rPr>
        <w:t>s board of directors may, in its sole discretion, accelerate the vesting of any unvested stock options in the event of a corporate transaction.</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estimated the fair value of the stock options on the date of grant using the following assumptions in the Black-Scholes option-pricing model:</w:t>
      </w:r>
    </w:p>
    <w:tbl>
      <w:tblPr>
        <w:tblW w:w="10205" w:type="dxa"/>
        <w:jc w:val="left"/>
        <w:tblInd w:w="0" w:type="dxa"/>
        <w:tblLayout w:type="fixed"/>
        <w:tblCellMar>
          <w:top w:w="28" w:type="dxa"/>
          <w:left w:w="28" w:type="dxa"/>
          <w:bottom w:w="28" w:type="dxa"/>
          <w:right w:w="28" w:type="dxa"/>
        </w:tblCellMar>
      </w:tblPr>
      <w:tblGrid>
        <w:gridCol w:w="1451"/>
        <w:gridCol w:w="1258"/>
        <w:gridCol w:w="1267"/>
        <w:gridCol w:w="188"/>
        <w:gridCol w:w="178"/>
        <w:gridCol w:w="420"/>
        <w:gridCol w:w="178"/>
        <w:gridCol w:w="178"/>
        <w:gridCol w:w="178"/>
        <w:gridCol w:w="338"/>
        <w:gridCol w:w="297"/>
        <w:gridCol w:w="700"/>
        <w:gridCol w:w="109"/>
        <w:gridCol w:w="109"/>
        <w:gridCol w:w="109"/>
        <w:gridCol w:w="338"/>
        <w:gridCol w:w="297"/>
        <w:gridCol w:w="700"/>
        <w:gridCol w:w="172"/>
        <w:gridCol w:w="172"/>
        <w:gridCol w:w="172"/>
        <w:gridCol w:w="338"/>
        <w:gridCol w:w="304"/>
        <w:gridCol w:w="754"/>
      </w:tblGrid>
      <w:tr>
        <w:trPr/>
        <w:tc>
          <w:tcPr>
            <w:tcW w:w="1451"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r>
      <w:tr>
        <w:trPr/>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dividend yield</w:t>
            </w:r>
          </w:p>
        </w:tc>
        <w:tc>
          <w:tcPr>
            <w:tcW w:w="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4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0 </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share price volatility (weighted average and range, if applicable)</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89.8% </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89.3% (89.2% to 89.4%)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89.0% (88.6% to 89.8%)</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93.3% (89.0% to 100.0%)</w:t>
            </w:r>
          </w:p>
        </w:tc>
      </w:tr>
      <w:tr>
        <w:trPr/>
        <w:tc>
          <w:tcPr>
            <w:tcW w:w="3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 (weighted average and range, if applicable)</w:t>
            </w:r>
          </w:p>
        </w:tc>
        <w:tc>
          <w:tcPr>
            <w:tcW w:w="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 xml:space="preserve">4.39% </w:t>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3.58% (3.46% to 3.65%)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3.91% (3.58% to 4.39%)</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rFonts w:ascii="Times New Roman;sans-serif" w:hAnsi="Times New Roman;sans-serif"/>
                <w:b w:val="false"/>
                <w:color w:val="000000"/>
                <w:sz w:val="18"/>
              </w:rPr>
            </w:pPr>
            <w:r>
              <w:rPr>
                <w:rFonts w:ascii="Times New Roman;sans-serif" w:hAnsi="Times New Roman;sans-serif"/>
                <w:b w:val="false"/>
                <w:color w:val="000000"/>
                <w:sz w:val="18"/>
              </w:rPr>
              <w:t>2.96% (1.89% to 3.65%)</w:t>
            </w:r>
          </w:p>
        </w:tc>
      </w:tr>
      <w:tr>
        <w:trPr/>
        <w:tc>
          <w:tcPr>
            <w:tcW w:w="3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of options (in years)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6.25</w:t>
            </w:r>
          </w:p>
        </w:tc>
      </w:tr>
    </w:tbl>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Fair Value of Common Stock.</w:t>
      </w:r>
      <w:r>
        <w:rPr>
          <w:color w:val="000000"/>
        </w:rPr>
        <w:t xml:space="preserve"> </w:t>
      </w:r>
      <w:r>
        <w:rPr>
          <w:rFonts w:ascii="Times New Roman;sans-serif" w:hAnsi="Times New Roman;sans-serif"/>
          <w:b w:val="false"/>
          <w:color w:val="000000"/>
          <w:sz w:val="20"/>
        </w:rPr>
        <w:t>The fair value of the Common Stock has been determined based on the closing price of the shares on Nasdaq.</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Expected Term.</w:t>
      </w:r>
      <w:r>
        <w:rPr>
          <w:color w:val="000000"/>
        </w:rPr>
        <w:t xml:space="preserve"> </w:t>
      </w:r>
      <w:r>
        <w:rPr>
          <w:rFonts w:ascii="Times New Roman;sans-serif" w:hAnsi="Times New Roman;sans-serif"/>
          <w:b w:val="false"/>
          <w:color w:val="000000"/>
          <w:sz w:val="20"/>
        </w:rPr>
        <w:t>The expected term represents the period that stock options are expected to be outstanding. The Company calculated the expected term using the simplified method for options, which is available where there is insufficient historical data 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 For awards with multiple vesting-tranches, the times from grant until the mid-points for each of the tranches may be averaged to provide an overall expected term.</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Expected Volatility.</w:t>
      </w:r>
      <w:r>
        <w:rPr>
          <w:color w:val="000000"/>
        </w:rPr>
        <w:t xml:space="preserve"> </w:t>
      </w:r>
      <w:r>
        <w:rPr>
          <w:rFonts w:ascii="Times New Roman;sans-serif" w:hAnsi="Times New Roman;sans-serif"/>
          <w:b w:val="false"/>
          <w:color w:val="000000"/>
          <w:sz w:val="20"/>
        </w:rPr>
        <w:t>The expected volatility was determined based on a blended approach using the historical share volatility of the Company’s Common Stock and that of several publicly traded peer companies over a period of time equal to the expected term of the options, as the Company has a limited trading history. For purposes of identifying these peer companies, the Company considered the industry, stage of development, size and financial leverage of potential comparable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73685"/>
                <wp:effectExtent l="0" t="0" r="0" b="0"/>
                <wp:wrapNone/>
                <wp:docPr id="25" name="Frame2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25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Risk-Free Interest Rate.</w:t>
      </w:r>
      <w:r>
        <w:rPr>
          <w:color w:val="000000"/>
        </w:rPr>
        <w:t xml:space="preserve"> </w:t>
      </w:r>
      <w:r>
        <w:rPr>
          <w:rFonts w:ascii="Times New Roman;sans-serif" w:hAnsi="Times New Roman;sans-serif"/>
          <w:b w:val="false"/>
          <w:color w:val="000000"/>
          <w:sz w:val="20"/>
        </w:rPr>
        <w:t>The risk-free interest rate was based on the yields of U.S. Treasury zero-coupon securities with maturities similar in duration to the expected term of the options.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i/>
          <w:color w:val="000000"/>
          <w:sz w:val="20"/>
        </w:rPr>
        <w:t>Expected Dividend Yield.</w:t>
      </w:r>
      <w:r>
        <w:rPr>
          <w:color w:val="000000"/>
        </w:rPr>
        <w:t xml:space="preserve"> </w:t>
      </w:r>
      <w:r>
        <w:rPr>
          <w:rFonts w:ascii="Times New Roman;sans-serif" w:hAnsi="Times New Roman;sans-serif"/>
          <w:b w:val="false"/>
          <w:color w:val="000000"/>
          <w:sz w:val="20"/>
        </w:rPr>
        <w:t>The Company has not paid dividends on its Common Stock nor does it expect to pay dividends in the foreseeable future. Accordingly, the Company has estimated the dividend yield to be zero.</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there were 6,501,655 options remaining available for grant under the 2021 Plan. The Company has sufficient authorized and unissued shares to issue Common Stock in satisfaction of any awards available for grant under the 2021 Plan.</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stock-based compensation expense included in the condensed consolidated statements of operations and comprehensive loss for the three and nine months ended September 30, 2023 and 2022:</w:t>
      </w:r>
    </w:p>
    <w:tbl>
      <w:tblPr>
        <w:tblW w:w="8284" w:type="dxa"/>
        <w:jc w:val="left"/>
        <w:tblInd w:w="0" w:type="dxa"/>
        <w:tblLayout w:type="fixed"/>
        <w:tblCellMar>
          <w:top w:w="28" w:type="dxa"/>
          <w:left w:w="28" w:type="dxa"/>
          <w:bottom w:w="28" w:type="dxa"/>
          <w:right w:w="28" w:type="dxa"/>
        </w:tblCellMar>
      </w:tblPr>
      <w:tblGrid>
        <w:gridCol w:w="836"/>
        <w:gridCol w:w="735"/>
        <w:gridCol w:w="739"/>
        <w:gridCol w:w="109"/>
        <w:gridCol w:w="109"/>
        <w:gridCol w:w="109"/>
        <w:gridCol w:w="257"/>
        <w:gridCol w:w="752"/>
        <w:gridCol w:w="133"/>
        <w:gridCol w:w="133"/>
        <w:gridCol w:w="133"/>
        <w:gridCol w:w="133"/>
        <w:gridCol w:w="257"/>
        <w:gridCol w:w="752"/>
        <w:gridCol w:w="133"/>
        <w:gridCol w:w="109"/>
        <w:gridCol w:w="109"/>
        <w:gridCol w:w="109"/>
        <w:gridCol w:w="248"/>
        <w:gridCol w:w="724"/>
        <w:gridCol w:w="128"/>
        <w:gridCol w:w="128"/>
        <w:gridCol w:w="128"/>
        <w:gridCol w:w="128"/>
        <w:gridCol w:w="248"/>
        <w:gridCol w:w="724"/>
        <w:gridCol w:w="181"/>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unrecognized stock-based compensation cost for options was $8.5 million and is expected to be recognized over a weighted-average period of 2.4 years.</w:t>
      </w:r>
    </w:p>
    <w:p>
      <w:pPr>
        <w:pStyle w:val="TextBody"/>
        <w:bidi w:val="0"/>
        <w:spacing w:lineRule="auto" w:line="288" w:before="240" w:after="283"/>
        <w:ind w:left="0" w:right="0" w:firstLine="360"/>
        <w:jc w:val="left"/>
        <w:rPr/>
      </w:pPr>
      <w:r>
        <w:rPr>
          <w:rFonts w:ascii="Times New Roman;sans-serif" w:hAnsi="Times New Roman;sans-serif"/>
          <w:b w:val="false"/>
          <w:color w:val="000000"/>
          <w:sz w:val="20"/>
        </w:rPr>
        <w:t>A summary of option activity under the Company</w:t>
      </w:r>
      <w:r>
        <w:rPr>
          <w:color w:val="000000"/>
        </w:rPr>
        <w:t>’</w:t>
      </w:r>
      <w:r>
        <w:rPr>
          <w:rFonts w:ascii="Times New Roman;sans-serif" w:hAnsi="Times New Roman;sans-serif"/>
          <w:b w:val="false"/>
          <w:color w:val="000000"/>
          <w:sz w:val="20"/>
        </w:rPr>
        <w:t>s stock option plans during the nine months ended September 30, 2023 is presented below:</w:t>
      </w:r>
    </w:p>
    <w:tbl>
      <w:tblPr>
        <w:tblW w:w="10205" w:type="dxa"/>
        <w:jc w:val="left"/>
        <w:tblInd w:w="0" w:type="dxa"/>
        <w:tblLayout w:type="fixed"/>
        <w:tblCellMar>
          <w:top w:w="28" w:type="dxa"/>
          <w:left w:w="28" w:type="dxa"/>
          <w:bottom w:w="28" w:type="dxa"/>
          <w:right w:w="28" w:type="dxa"/>
        </w:tblCellMar>
      </w:tblPr>
      <w:tblGrid>
        <w:gridCol w:w="1410"/>
        <w:gridCol w:w="1235"/>
        <w:gridCol w:w="1239"/>
        <w:gridCol w:w="488"/>
        <w:gridCol w:w="488"/>
        <w:gridCol w:w="453"/>
        <w:gridCol w:w="109"/>
        <w:gridCol w:w="109"/>
        <w:gridCol w:w="109"/>
        <w:gridCol w:w="336"/>
        <w:gridCol w:w="814"/>
        <w:gridCol w:w="173"/>
        <w:gridCol w:w="109"/>
        <w:gridCol w:w="109"/>
        <w:gridCol w:w="109"/>
        <w:gridCol w:w="463"/>
        <w:gridCol w:w="463"/>
        <w:gridCol w:w="465"/>
        <w:gridCol w:w="109"/>
        <w:gridCol w:w="109"/>
        <w:gridCol w:w="109"/>
        <w:gridCol w:w="301"/>
        <w:gridCol w:w="668"/>
        <w:gridCol w:w="228"/>
      </w:tblGrid>
      <w:tr>
        <w:trPr/>
        <w:tc>
          <w:tcPr>
            <w:tcW w:w="141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 Exercise</w:t>
              <w:br/>
              <w:t>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 xml:space="preserve">Average </w:t>
              <w:br/>
              <w:t xml:space="preserve">Remaining </w:t>
              <w:br/>
              <w:t>Contractual Term</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Intrinsic Value</w:t>
              <w:br/>
              <w:t>(in thousands)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7,203,874 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564,150 </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(231,823)</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(365,310)</w:t>
            </w:r>
          </w:p>
        </w:tc>
        <w:tc>
          <w:tcPr>
            <w:tcW w:w="4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outstanding at September 30, 2023</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7,170,891 </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exercisable, September 30, 2023</w:t>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3,463,584 </w:t>
            </w:r>
          </w:p>
        </w:tc>
        <w:tc>
          <w:tcPr>
            <w:tcW w:w="45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17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September 30, 2023</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7,170,891 </w:t>
            </w:r>
          </w:p>
        </w:tc>
        <w:tc>
          <w:tcPr>
            <w:tcW w:w="4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w:t>
      </w:r>
      <w:r>
        <w:rPr>
          <w:color w:val="000000"/>
        </w:rPr>
        <w:t>’</w:t>
      </w:r>
      <w:r>
        <w:rPr>
          <w:rFonts w:ascii="Times New Roman;sans-serif" w:hAnsi="Times New Roman;sans-serif"/>
          <w:b w:val="false"/>
          <w:color w:val="000000"/>
          <w:sz w:val="20"/>
        </w:rPr>
        <w:t>s tax provision for interim periods is determined using an estimate of its annual effective tax rate, adjusted for discrete items, if any, that arise during the period. Each quarter, the Company updates its estimate of the annual effective tax rate and, if the estimated annual effective tax rate changes, the Company makes a cumulative adjustment in such period. No such adjustment was made as of September 30, 2023. The Company</w:t>
      </w:r>
      <w:r>
        <w:rPr>
          <w:color w:val="000000"/>
        </w:rPr>
        <w:t>’</w:t>
      </w:r>
      <w:r>
        <w:rPr>
          <w:rFonts w:ascii="Times New Roman;sans-serif" w:hAnsi="Times New Roman;sans-serif"/>
          <w:b w:val="false"/>
          <w:color w:val="000000"/>
          <w:sz w:val="20"/>
        </w:rPr>
        <w:t>s effective federal and state tax rate for the three and nine months ended September 30, 2023 and 2022 was 0%, primarily as a result of estimated net operating losses for the fiscal year to date offset by the increase in the valuation allowance against its deferred tax asset.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did not record any income tax expense or benefit during the three and nine months ended September 30, 2023 and 2022. The Company has a net operating loss and has provided a valuation allowance against net deferred tax assets due to uncertainties regarding the Company</w:t>
      </w:r>
      <w:r>
        <w:rPr>
          <w:color w:val="000000"/>
        </w:rPr>
        <w:t>’</w:t>
      </w:r>
      <w:r>
        <w:rPr>
          <w:rFonts w:ascii="Times New Roman;sans-serif" w:hAnsi="Times New Roman;sans-serif"/>
          <w:b w:val="false"/>
          <w:color w:val="000000"/>
          <w:sz w:val="20"/>
        </w:rPr>
        <w:t>s ability to realize these assets. All losses before income taxes arose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73685"/>
                <wp:effectExtent l="0" t="0" r="0" b="0"/>
                <wp:wrapNone/>
                <wp:docPr id="26" name="Frame2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26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11. Commitments and Contingencies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Patent License Agreements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Duke University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March</w:t>
      </w:r>
      <w:r>
        <w:rPr>
          <w:color w:val="000000"/>
        </w:rPr>
        <w:t xml:space="preserve"> </w:t>
      </w:r>
      <w:r>
        <w:rPr>
          <w:rFonts w:ascii="Times New Roman;sans-serif" w:hAnsi="Times New Roman;sans-serif"/>
          <w:b w:val="false"/>
          <w:color w:val="000000"/>
          <w:sz w:val="20"/>
        </w:rPr>
        <w:t>2006, the Company entered into a license agreement with Duke University (“Duke”), which was subsequently amended in 2011, 2014, 2015, 2018, 2019 and 2022. Under this license agreement, Duke granted the Company a worldwide, exclusive, sublicensable license to certain patents related to decellularized tissue engineering, referred to as the patent rights, as well as a non-exclusive license to use and practice certain know-how related to the patent rights. The relevant licensed patent on decellularization of tissue expired in 2021. The Company has agreed to use commercially reasonable efforts to develop, register, market and sell products utilizing the patent rights, referred to as the licensed products. Any services provided to a third party utilizing licensed products are referred to as licensed services. The Company has also agreed to meet certain benchmarks in its development efforts, including as to development events, clinical trials, regulatory submissions and marketing approval, within specified timeframes. Under the license agreement, Duke retains the right to use the patent rights for its own educational and research purposes, and to provide the patent rights to other non-profit, governmental or higher-learning institutions for non-commercial purposes without paying royalties or other fees.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connection with the Company</w:t>
      </w:r>
      <w:r>
        <w:rPr>
          <w:color w:val="000000"/>
        </w:rPr>
        <w:t>’</w:t>
      </w:r>
      <w:r>
        <w:rPr>
          <w:rFonts w:ascii="Times New Roman;sans-serif" w:hAnsi="Times New Roman;sans-serif"/>
          <w:b w:val="false"/>
          <w:color w:val="000000"/>
          <w:sz w:val="20"/>
        </w:rPr>
        <w:t>s entry into the license agreement, the Company granted equity consideration to Duke in the form of 52,693 shares of Common Stock. Under the license agreement, the Company also agreed to pay Duke: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low single-digit percentage royalty on eligible sales of licensed products and licensed services, plus a low double-digit percentage of any sublicensing revenue;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annual minimum royalty beginning in 2012, which increases in the calendar year immediately following the first commercial sale of licensed products or licensed services (whichever occurs first);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additional amount in license fees, as certain milestones are met.</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license agreement remains effective until the later of (i) the last of the patent rights expires or (ii) four years after the Company</w:t>
      </w:r>
      <w:r>
        <w:rPr>
          <w:color w:val="000000"/>
        </w:rPr>
        <w:t>’</w:t>
      </w:r>
      <w:r>
        <w:rPr>
          <w:rFonts w:ascii="Times New Roman;sans-serif" w:hAnsi="Times New Roman;sans-serif"/>
          <w:b w:val="false"/>
          <w:color w:val="000000"/>
          <w:sz w:val="20"/>
        </w:rPr>
        <w:t>s first commercial sale, unless terminated earlier. Either party may terminate the agreement for fraud, willful misconduct or illegal conduct, or uncured material breach. Duke may terminate the agreement if the Company becomes insolvent. Duke may also terminate the license, convert the license into a non-exclusive license or seek assignment of any sublicense if the Company fails to reach diligence milestones within the applicable time period. If the Company abandons any claim, patent or patent application, its rights under the license with respect to such patent rights will be terminated in the territory in which the Company abandons such rights. The Company may terminate the license agreement unilaterally upon three months’ prior notice to Duke. The Company agrees to indemnify Duke against certain third-party claims. Payments to Duke under the license agreement were immaterial during the periods presented.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Yale University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In February 2014, the Company entered into a license agreement with Yale University (“Yale”) that granted the Company a worldwide license to the patents related to coatings for small-diameter vessels to inhibit clotting (the “Small Diameter Vessel License Agreement”). The license granted under the Small Diameter Vessel License Agreement is exclusive in the field of engineered vascular tissues and extracellular matrix-based implants used for vascular repair, reconstruction and replacement (provided that all uses are vascular tissues within the range of 1 </w:t>
      </w:r>
      <w:r>
        <w:rPr>
          <w:color w:val="231F20"/>
        </w:rPr>
        <w:t xml:space="preserve">– </w:t>
      </w:r>
      <w:r>
        <w:rPr>
          <w:rFonts w:ascii="Times New Roman;sans-serif" w:hAnsi="Times New Roman;sans-serif"/>
          <w:b w:val="false"/>
          <w:color w:val="000000"/>
          <w:sz w:val="20"/>
        </w:rPr>
        <w:t>12mm in diameter), except that it was subject to Yale</w:t>
      </w:r>
      <w:r>
        <w:rPr>
          <w:color w:val="000000"/>
        </w:rPr>
        <w:t>’</w:t>
      </w:r>
      <w:r>
        <w:rPr>
          <w:rFonts w:ascii="Times New Roman;sans-serif" w:hAnsi="Times New Roman;sans-serif"/>
          <w:b w:val="false"/>
          <w:color w:val="000000"/>
          <w:sz w:val="20"/>
        </w:rPr>
        <w:t>s non-exclusive right, on behalf of itself and all other non-profit academic institutions, to use the licensed products for research, teaching, and other non-commercial purposes. The Company agreed to pay to Yale an annual maintenance fee, increasing between the first and fourth anniversaries of the Small Diameter Vessel License Agreement up to a maximum of less than $0.1 million per year for this license. In December 2022, in accordance with the terms of the Small Diameter Vessel License Agreement, the Company provided Yale with 90 days written notice of termination, effective March 21,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73685"/>
                <wp:effectExtent l="0" t="0" r="0" b="0"/>
                <wp:wrapNone/>
                <wp:docPr id="27" name="Frame2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27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August 2019, the Company entered into a license agreement with Yale that granted the Company a worldwide license to the patents related to the BVP (the “BVP License Agreement”). The license granted under the BVP License Agreement is exclusive in the field of engineered vascular tissues that deliver pancreatic islet cells to patients, except that it is subject to Yale</w:t>
      </w:r>
      <w:r>
        <w:rPr>
          <w:color w:val="000000"/>
        </w:rPr>
        <w:t>’</w:t>
      </w:r>
      <w:r>
        <w:rPr>
          <w:rFonts w:ascii="Times New Roman;sans-serif" w:hAnsi="Times New Roman;sans-serif"/>
          <w:b w:val="false"/>
          <w:color w:val="000000"/>
          <w:sz w:val="20"/>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BVP License Agreement up to a maximum of less than $0.1 million per year for this license.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August 2019, the Company entered into a license agreement with Yale that granted the Company a worldwide license to the patents related to tubular prostheses (the “Tubular Prosthesis License Agreement”). The license granted under the Tubular Prosthesis License Agreement is exclusive in the field of engineered urinary conduits, engineered tracheas/airways, and engineered esophagi, except that it is subject to Yale</w:t>
      </w:r>
      <w:r>
        <w:rPr>
          <w:color w:val="000000"/>
        </w:rPr>
        <w:t>’</w:t>
      </w:r>
      <w:r>
        <w:rPr>
          <w:rFonts w:ascii="Times New Roman;sans-serif" w:hAnsi="Times New Roman;sans-serif"/>
          <w:b w:val="false"/>
          <w:color w:val="000000"/>
          <w:sz w:val="20"/>
        </w:rPr>
        <w:t>s non-exclusive right, on behalf of itself and all other non-profit academic institutions, to use the licensed products for research, teaching, and other non-commercial purposes. The Company has agreed to pay to Yale an annual maintenance fee, increasing between the first and fourth anniversaries of the Tubular Prosthesis License Agreement up to a maximum of less than $0.1 million per year for this license.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has agreed to use reasonable commercial efforts to develop and commercialize the licensed patents and any licensed products and methods, and to use reasonable efforts to make the licensed products available to patients in low and low-middle income countries. The Company is also obligated to provide Yale periodically an updated and revised copy of its plan for each license, which must indicate progress of its development and commercialization. The Company may also sublicense the Company</w:t>
      </w:r>
      <w:r>
        <w:rPr>
          <w:color w:val="000000"/>
        </w:rPr>
        <w:t>’</w:t>
      </w:r>
      <w:r>
        <w:rPr>
          <w:rFonts w:ascii="Times New Roman;sans-serif" w:hAnsi="Times New Roman;sans-serif"/>
          <w:b w:val="false"/>
          <w:color w:val="000000"/>
          <w:sz w:val="20"/>
        </w:rPr>
        <w:t>s rights without Yale</w:t>
      </w:r>
      <w:r>
        <w:rPr>
          <w:color w:val="000000"/>
        </w:rPr>
        <w:t>’</w:t>
      </w:r>
      <w:r>
        <w:rPr>
          <w:rFonts w:ascii="Times New Roman;sans-serif" w:hAnsi="Times New Roman;sans-serif"/>
          <w:b w:val="false"/>
          <w:color w:val="000000"/>
          <w:sz w:val="20"/>
        </w:rPr>
        <w:t>s prior written consent, but such sublicense is subject to certain conditions.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its entry into the Tubular Prosthesis License Agreement, the Company paid Yale upfront cash fees. The Company has also agreed to pay Yale:</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annual maintenance fees, increasing between the first anniversary of the Tubular Prosthesis License Agreement until the fifth anniversary for the Small Diameter Vessel License Agreement (through the termination of the agreement on March 21, 2023) and the BVP License Agreement and until the fourth anniversary for the Tubular Prostheses License Agreement up to a maximum of less than $0.1 million per year;</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milestone payments upon achievement of certain regulatory and commercial milestones of $0.2 million and $0.6 million, respectively;</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low single-digit percentage royalty on worldwide net sales, subject to reductions for third-party license fees;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low double-digit percentage of sublicensing income.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If the Company or any of its future sublicensees bring a patent challenge against Yale or assists another party in bringing a patent challenge against Yale, the license fees described above will be subject to certain increases and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73685"/>
                <wp:effectExtent l="0" t="0" r="0" b="0"/>
                <wp:wrapNone/>
                <wp:docPr id="28" name="Frame2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28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BVP License Agreement and Tubular Prosthesis License Agreement expire on a country-by-country basis on the date on which the last of the patents in such country expires, lapses or is declared invalid. Yale may terminate the BVP License Agreement and Tubular Prosthesis License Agreement if the Company fails to (i)</w:t>
      </w:r>
      <w:r>
        <w:rPr>
          <w:color w:val="000000"/>
        </w:rPr>
        <w:t xml:space="preserve"> </w:t>
      </w:r>
      <w:r>
        <w:rPr>
          <w:rFonts w:ascii="Times New Roman;sans-serif" w:hAnsi="Times New Roman;sans-serif"/>
          <w:b w:val="false"/>
          <w:color w:val="000000"/>
          <w:sz w:val="20"/>
        </w:rPr>
        <w:t>provide written diligence reports, (ii)</w:t>
      </w:r>
      <w:r>
        <w:rPr>
          <w:color w:val="000000"/>
        </w:rPr>
        <w:t xml:space="preserve"> </w:t>
      </w:r>
      <w:r>
        <w:rPr>
          <w:rFonts w:ascii="Times New Roman;sans-serif" w:hAnsi="Times New Roman;sans-serif"/>
          <w:b w:val="false"/>
          <w:color w:val="000000"/>
          <w:sz w:val="20"/>
        </w:rPr>
        <w:t>provide commercially reasonable diligence plans, (iii)</w:t>
      </w:r>
      <w:r>
        <w:rPr>
          <w:color w:val="000000"/>
        </w:rPr>
        <w:t xml:space="preserve"> </w:t>
      </w:r>
      <w:r>
        <w:rPr>
          <w:rFonts w:ascii="Times New Roman;sans-serif" w:hAnsi="Times New Roman;sans-serif"/>
          <w:b w:val="false"/>
          <w:color w:val="000000"/>
          <w:sz w:val="20"/>
        </w:rPr>
        <w:t>implement the plans in accordance with the obligations under the agreements, or (iv)</w:t>
      </w:r>
      <w:r>
        <w:rPr>
          <w:color w:val="000000"/>
        </w:rPr>
        <w:t xml:space="preserve"> </w:t>
      </w:r>
      <w:r>
        <w:rPr>
          <w:rFonts w:ascii="Times New Roman;sans-serif" w:hAnsi="Times New Roman;sans-serif"/>
          <w:b w:val="false"/>
          <w:color w:val="000000"/>
          <w:sz w:val="20"/>
        </w:rPr>
        <w:t>reach certain research and development milestones within the scheduled timeframe set forth in the agreements; however, any such termination right would be limited in scope to the country to which such failure relates. Yale may also terminate for the Company</w:t>
      </w:r>
      <w:r>
        <w:rPr>
          <w:color w:val="000000"/>
        </w:rPr>
        <w:t>’</w:t>
      </w:r>
      <w:r>
        <w:rPr>
          <w:rFonts w:ascii="Times New Roman;sans-serif" w:hAnsi="Times New Roman;sans-serif"/>
          <w:b w:val="false"/>
          <w:color w:val="000000"/>
          <w:sz w:val="20"/>
        </w:rPr>
        <w:t>s non-payment, uncured material breach, failure to obtain adequate insurance, bringing or assisting in bringing of a patent challenge against Yale, abandonment of the research and development of the Company</w:t>
      </w:r>
      <w:r>
        <w:rPr>
          <w:color w:val="000000"/>
        </w:rPr>
        <w:t>’</w:t>
      </w:r>
      <w:r>
        <w:rPr>
          <w:rFonts w:ascii="Times New Roman;sans-serif" w:hAnsi="Times New Roman;sans-serif"/>
          <w:b w:val="false"/>
          <w:color w:val="000000"/>
          <w:sz w:val="20"/>
        </w:rPr>
        <w:t>s products or insolvency. The Company may terminate the BVP License Agreement and Tubular Prosthesis License Agreement (i)</w:t>
      </w:r>
      <w:r>
        <w:rPr>
          <w:color w:val="000000"/>
        </w:rPr>
        <w:t xml:space="preserve"> </w:t>
      </w:r>
      <w:r>
        <w:rPr>
          <w:rFonts w:ascii="Times New Roman;sans-serif" w:hAnsi="Times New Roman;sans-serif"/>
          <w:b w:val="false"/>
          <w:color w:val="000000"/>
          <w:sz w:val="20"/>
        </w:rPr>
        <w:t>on 90 days’ prior written notice to Yale, provided the Company is not in breach of the license agreements and has made all required payments to Yale thereunder and (ii)</w:t>
      </w:r>
      <w:r>
        <w:rPr>
          <w:color w:val="000000"/>
        </w:rPr>
        <w:t xml:space="preserve"> </w:t>
      </w:r>
      <w:r>
        <w:rPr>
          <w:rFonts w:ascii="Times New Roman;sans-serif" w:hAnsi="Times New Roman;sans-serif"/>
          <w:b w:val="false"/>
          <w:color w:val="000000"/>
          <w:sz w:val="20"/>
        </w:rPr>
        <w:t>on written notice to Yale following an uncured material breach. With respect to the BVP License Agreement, the Company</w:t>
      </w:r>
      <w:r>
        <w:rPr>
          <w:color w:val="000000"/>
        </w:rPr>
        <w:t>’</w:t>
      </w:r>
      <w:r>
        <w:rPr>
          <w:rFonts w:ascii="Times New Roman;sans-serif" w:hAnsi="Times New Roman;sans-serif"/>
          <w:b w:val="false"/>
          <w:color w:val="000000"/>
          <w:sz w:val="20"/>
        </w:rPr>
        <w:t>s rights under the agreement will also terminate automatically with respect to a patent application or patent within the licensed patents in a specified country if, upon receipt of written notice from Yale, the Company does not agree to pay the patent filing, prosecution and maintenance fees incurred by Yale for such patent applications or patents in the specified country. Under certain circumstances, Yale may, at its option, convert the exclusive licenses to non-exclusive licenses if the Company declines to initiate certain infringement or interference proceedings with respect to the licensed patents. The Company has agreed to indemnify Yale against certain third-party claims. Payments to Yale under the Small Diameter Vessel License Agreement, BVP License Agreement and Tubular Prosthesis License Agreement were immaterial during the periods presented.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JDRF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April 1, 2023, the Company entered into the JDRF Agreement to further develop and perform preclinical testing of the BVP, as discussed in Note 2 — Summary of Significant Accounting Policies. According to the terms of the JDRF Agreement, JDRF will provide funding up to $0.8 million based on the achievement of certain research and development milestones. The Company received the first milestone payment of $80 thousand in April 2023 upon execution of the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accordance with the JDRF Agreement, the Company has agreed to pay JDRF: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 one-time royalty in an amount equal to four times the Actual Award, to be paid in three equal installments following the first commercial sale of any product containing the Company’s technology identified in the JDRF Agreement;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an additional royalty equal to the Actual Award at a specified payment date after net sales exceed $250 million;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in the event of a license, sale or transfer of the Company’s rights to the product’s technology identified in the JDRF Agreement or a change of control transaction, a payment equal to 10% of any license or purchase price payments received by the Company up to the Royalty Cap, less any previous royalty payments paid towards the Royalty Cap.</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JDRF Agreement expires on the date on which the Company has paid all of the royalty payments described above. Either party may terminate the JDRF Agreement for cause by providing the other party with written notice and allowing the other party 30 days to cure such breach. JDRF may terminate the JDRF Agreement without cause by providing 90 days’ notice to the Company at any time after April 1, 2024. Royalties on previously received milestone payments would remain due after a termination by JDRF without cause.</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currently is not aware of any legal proceedings or claims that management believes will have, individually or in the aggregate, a material adverse effect on the Company</w:t>
      </w:r>
      <w:r>
        <w:rPr>
          <w:color w:val="000000"/>
        </w:rPr>
        <w:t>’</w:t>
      </w:r>
      <w:r>
        <w:rPr>
          <w:rFonts w:ascii="Times New Roman;sans-serif" w:hAnsi="Times New Roman;sans-serif"/>
          <w:b w:val="false"/>
          <w:color w:val="000000"/>
          <w:sz w:val="20"/>
        </w:rPr>
        <w:t>s business, financial condition,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73685"/>
                <wp:effectExtent l="0" t="0" r="0" b="0"/>
                <wp:wrapNone/>
                <wp:docPr id="29" name="Frame2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29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To the extent permitted under Delaware law, the Company has agreed to indemnify its directors and officers for certain events or occurrences while the director or officer is, or was serving, at the Company</w:t>
      </w:r>
      <w:r>
        <w:rPr>
          <w:color w:val="000000"/>
        </w:rPr>
        <w:t>’</w:t>
      </w:r>
      <w:r>
        <w:rPr>
          <w:rFonts w:ascii="Times New Roman;sans-serif" w:hAnsi="Times New Roman;sans-serif"/>
          <w:b w:val="false"/>
          <w:color w:val="000000"/>
          <w:sz w:val="20"/>
        </w:rPr>
        <w:t>s request in such capacity. The indemnification period covers all pertinent events and occurrences during the director</w:t>
      </w:r>
      <w:r>
        <w:rPr>
          <w:color w:val="000000"/>
        </w:rPr>
        <w:t>’</w:t>
      </w:r>
      <w:r>
        <w:rPr>
          <w:rFonts w:ascii="Times New Roman;sans-serif" w:hAnsi="Times New Roman;sans-serif"/>
          <w:b w:val="false"/>
          <w:color w:val="000000"/>
          <w:sz w:val="20"/>
        </w:rPr>
        <w:t>s or officer</w:t>
      </w:r>
      <w:r>
        <w:rPr>
          <w:color w:val="000000"/>
        </w:rPr>
        <w:t>’</w:t>
      </w:r>
      <w:r>
        <w:rPr>
          <w:rFonts w:ascii="Times New Roman;sans-serif" w:hAnsi="Times New Roman;sans-serif"/>
          <w:b w:val="false"/>
          <w:color w:val="000000"/>
          <w:sz w:val="20"/>
        </w:rPr>
        <w:t>s service. The maximum potential amount of future payments the Company could be required to make under these indemnification arrangements is not specified in such arrangements; however, the Company has director and officer insurance coverage that is intended to reduce its exposure and enable the Company to recover a portion of any potential future amounts the Company could be required to make. To date, the Company has not incurred any costs as a result of such obligations and has not accrued any liabilities related to such obligations in the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12. Related Party Transactions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Fresenius Medical Care investments and distribution agreement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June 2018, the Company completed a $150 million financing transaction pursuant to which Fresenius Medical Care purchased shares of series D redeemable convertible preferred stock that at the Closing converted into 15,812,735 shares of Common Stock. In August 2021, Fresenius Medical Care invested $25 million as part of the PIPE Financing and received an additional 2.5 million shares of Common Stock.</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In addition, the Company entered into a distribution agreement with Fresenius Medical Care in June 2018 which, as amended as of February 16, 2021, granted Fresenius Medical Care and its affiliates exclusive rights to develop outside the United States and European Union (the “EU”) and commercialize outside of the United States the Company</w:t>
      </w:r>
      <w:r>
        <w:rPr>
          <w:color w:val="000000"/>
        </w:rPr>
        <w:t>’</w:t>
      </w:r>
      <w:r>
        <w:rPr>
          <w:rFonts w:ascii="Times New Roman;sans-serif" w:hAnsi="Times New Roman;sans-serif"/>
          <w:b w:val="false"/>
          <w:color w:val="000000"/>
          <w:sz w:val="20"/>
        </w:rPr>
        <w:t>s 6 millimeter x 42 centimeter HAV and all improvements thereto, and modifications and derivatives thereof (including any changes to the length, diameter or configuration of the foregoing), for use in vascular creation, repair, replacement or construction, including renal replacement therapy for dialysis access, the treatment of peripheral artery disease, and the treatment of vascular trauma, but excluding coronary artery bypass graft, pediatric heart surgery, or adhering pancreatic islet cells onto the outer surface of the distribution product for use in diabetic patients. Within the United States, Fresenius Medical Care will collaborate with the Company in its commercialization of the product in the field, including adoption of the distribution product as a standard of care in patients for which such use is supported by clinical results and health economic analyses.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responsible for developing and seeking regulatory approval for the distribution product in the field in the United States. For countries outside the United States, the parties agreed to use commercially reasonable efforts to satisfy certain agreed minimum market entry criteria for the distribution product in the field in such country. For the EU, once such criteria have been satisfied for the applicable country, or if the parties otherwise mutually agree to obtain regulatory approval for the distribution product in the field in the applicable country, the Company agreed to use commercially reasonable efforts to obtain such regulatory approval (other than pricing approval), and Fresenius Medical Care agreed to use commercially reasonable efforts to obtain the corresponding pricing approval. For the rest of the world (i.e., outside the United States and the EU), once such criteria have been satisfied for the applicable country, or if the parties otherwise mutually agree to obtain regulatory and pricing approval for the distribution product in the field in the applicable country, Fresenius Medical Care agreed to use commercially reasonable efforts to obtain such approvals, and the Company agreed to use commercially reasonable efforts to support Fresenius Medical Care in its efforts.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Under the distribution agreement, the Company grants an exclusive, sublicensable license to Fresenius Medical Care under the patents, know-how and regulatory materials controlled by the Company during the term to commercialize the distribution product in the field outside the United States, subject to the Company</w:t>
      </w:r>
      <w:r>
        <w:rPr>
          <w:color w:val="000000"/>
        </w:rPr>
        <w:t>’</w:t>
      </w:r>
      <w:r>
        <w:rPr>
          <w:rFonts w:ascii="Times New Roman;sans-serif" w:hAnsi="Times New Roman;sans-serif"/>
          <w:b w:val="false"/>
          <w:color w:val="000000"/>
          <w:sz w:val="20"/>
        </w:rPr>
        <w:t>s retained rights to carry out its obligations under the distribution agreement. The Company also grants a non-exclusive, sublicensable license to Fresenius Medical Care under the patents, know-how and regulatory materials controlled by the Company during the term to develop the distribution product in accordance with the terms of the distribution agreement. In addition, the Company grants to Fresenius Medical Care, among other things, a perpetual, irrevocable, non-exclusive sublicensable license under the patents and know-how that primarily relate to the distribution product or its manufacture and that were created, conceived or developed solely or jointly by or on behalf of Fresenius Medical Care in the performance of its activities under the distribution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73685"/>
                <wp:effectExtent l="0" t="0" r="0" b="0"/>
                <wp:wrapNone/>
                <wp:docPr id="30" name="Frame3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30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Humacyte,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distribution agreement provides that the Company will own all know-how and patents that primarily relate to the distribution product or its manufacture that are created, conceived or developed by or on behalf of either party in the performance of activities under the distribution agreement. Ownership of all other know-how, patents, materials and other intellectual property created, conceived or developed during the performance of activities under the distribution agreement will be determined in accordance with U.S. patent laws for determining inventorship.</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 is obligated to make payments to Fresenius Medical Care based on a share of aggregate net sales by or on behalf of the Company of the distribution product in the United States in the field. Such revenue-share payments will be a percentage of net sales in the low double digits, without regard to the calendar year in which such net sales are attributable, until such time that the Company has paid to Fresenius Medical Care a certain total amount, at which time the revenue-share will decrease to a percentage of net sales in the mid-single digits. The amounts that Fresenius Medical Care will be obligated to pay the Company under the distribution agreement for sales of the distribution product in the field outside of the United States will vary. Fresenius Medical Care agreed to pay the Company initially, on a country-by-country basis for sales outside of the United States, the amount equal to the average cost of manufacturing the Company</w:t>
      </w:r>
      <w:r>
        <w:rPr>
          <w:color w:val="000000"/>
        </w:rPr>
        <w:t>’</w:t>
      </w:r>
      <w:r>
        <w:rPr>
          <w:rFonts w:ascii="Times New Roman;sans-serif" w:hAnsi="Times New Roman;sans-serif"/>
          <w:b w:val="false"/>
          <w:color w:val="000000"/>
          <w:sz w:val="20"/>
        </w:rPr>
        <w:t>s distribution product plus a fixed dollar amount per unit. Following a specified period, on a country-by-country basis outside of the United States, Fresenius Medical Care will pay the Company a fixed percentage of net sales for each unit sold in such country, such that the Company will receive more than half of such net sales.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distribution agreement will generally continue on a country-by-country basis until the later of (a) the tenth anniversary of the launch date of the distribution product in the relevant country or (b) the expiration of the last-to-expire valid claim of specified patents in such country. Each party is permitted to terminate the distribution agreement for insolvency of, or, under certain circumstances, including various cure periods, material breach by the other party. Subject to a cure period, Fresenius Medical Care may also terminate the distribution agreement in its entirety or on a country-by-country basis (i) for certain withdrawals of regulatory approval or (ii) for termination or expiration of any of our in-licenses that is necessary for the exercise of Fresenius Medical Care</w:t>
      </w:r>
      <w:r>
        <w:rPr>
          <w:color w:val="000000"/>
        </w:rPr>
        <w:t>’</w:t>
      </w:r>
      <w:r>
        <w:rPr>
          <w:rFonts w:ascii="Times New Roman;sans-serif" w:hAnsi="Times New Roman;sans-serif"/>
          <w:b w:val="false"/>
          <w:color w:val="000000"/>
          <w:sz w:val="20"/>
        </w:rPr>
        <w:t>s rights, or the satisfaction of its obligations, under the distribution agreement. In addition, Fresenius Medical Care may terminate the distribution agreement for convenience on a country-by-country basis upon not less than 12 months’ written notice to the Company, although Fresenius Medical Care is not permitted to give such notice prior to the end of the second year following launch of the distribution product in such country. Each party is required to indemnify one another for certain third-party claims.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expensed less than $0.1 million and approximately $0.2 million during the three and nine months ended September 30, 2023, respectively, for clinical research services performed by Frenova Renal Research, a subsidiary of Fresenius Medical Care. The Company expensed approximately $0.2 million for such services during each of the three and nine months ended September 30, 2022. As of September 30, 2023, less than $0.1 million payable to Frenova Renal Research was included in accounts payable on the Company’s consolidated balance sheet.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with Yale University</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The Company’s President and Chief Executive Officer, Laura Niklason M.D., PhD., serves as an Adjunct Professor in Anesthesia at Yale University. As of September 30, 2023 and December 31, 2022, the Company was a party to license agreements with Yale University as described in Note 11</w:t>
      </w:r>
      <w:r>
        <w:rPr>
          <w:color w:val="000000"/>
        </w:rPr>
        <w:t xml:space="preserve"> — </w:t>
      </w:r>
      <w:r>
        <w:rPr>
          <w:rFonts w:ascii="Times New Roman;sans-serif" w:hAnsi="Times New Roman;sans-serif"/>
          <w:b w:val="false"/>
          <w:color w:val="000000"/>
          <w:sz w:val="20"/>
        </w:rPr>
        <w:t xml:space="preserve">Commitments and Contingencies, above.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related party expenses pertaining to Yale University included in the statements of operations and comprehensive loss for the three and nine months ended September 30, 2023 and 2022:</w:t>
      </w:r>
    </w:p>
    <w:tbl>
      <w:tblPr>
        <w:tblW w:w="7502" w:type="dxa"/>
        <w:jc w:val="left"/>
        <w:tblInd w:w="0" w:type="dxa"/>
        <w:tblLayout w:type="fixed"/>
        <w:tblCellMar>
          <w:top w:w="28" w:type="dxa"/>
          <w:left w:w="28" w:type="dxa"/>
          <w:bottom w:w="28" w:type="dxa"/>
          <w:right w:w="28" w:type="dxa"/>
        </w:tblCellMar>
      </w:tblPr>
      <w:tblGrid>
        <w:gridCol w:w="554"/>
        <w:gridCol w:w="487"/>
        <w:gridCol w:w="489"/>
        <w:gridCol w:w="109"/>
        <w:gridCol w:w="109"/>
        <w:gridCol w:w="109"/>
        <w:gridCol w:w="318"/>
        <w:gridCol w:w="612"/>
        <w:gridCol w:w="164"/>
        <w:gridCol w:w="164"/>
        <w:gridCol w:w="164"/>
        <w:gridCol w:w="164"/>
        <w:gridCol w:w="318"/>
        <w:gridCol w:w="612"/>
        <w:gridCol w:w="164"/>
        <w:gridCol w:w="109"/>
        <w:gridCol w:w="109"/>
        <w:gridCol w:w="109"/>
        <w:gridCol w:w="321"/>
        <w:gridCol w:w="549"/>
        <w:gridCol w:w="166"/>
        <w:gridCol w:w="166"/>
        <w:gridCol w:w="166"/>
        <w:gridCol w:w="166"/>
        <w:gridCol w:w="321"/>
        <w:gridCol w:w="549"/>
        <w:gridCol w:w="234"/>
      </w:tblGrid>
      <w:tr>
        <w:trP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1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492"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104" w:type="dxa"/>
            <w:gridSpan w:val="3"/>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66"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9" w:type="dxa"/>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34" w:type="dxa"/>
            <w:tcBorders>
              <w:top w:val="single" w:sz="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6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3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73685"/>
                <wp:effectExtent l="0" t="0" r="0" b="0"/>
                <wp:wrapNone/>
                <wp:docPr id="31" name="Frame3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31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of our financial condition and results of operations should be read in conjunction with our unaudited condensed consolidated financial statements and related notes appearing elsewhere in this Quarterly Report on Form 10-Q (“Quarterly Report”) and with our audited financial statements and the notes thereto included in our Annual Report. In addition, you should read the “Risk Factors” and “Information Regarding Forward-Looking Statements” sections of this Quarterly Report and our Annual Report for a discussion of important factors that could cause actual results to differ materially from the results described in or implied by the forward-looking statements contained in the following discussion and analysis.</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Unless the context indicates otherwise, references in this Quarterly Report to the “Company,” “Humacyte,” “we,” “us,” “our” and similar terms refer to Humacyte, Inc. (formerly known as Alpha Healthcare Acquisition Corp.) and its consolidated subsidiaries (including Humacyte Global, Inc.) following the Merger (defined below); references to “Legacy Humacyte” refer to Humacyte, Inc. prior to the Merger; and references to “AHAC” refer to Alpha Healthcare Acquisition Corp. prior to the Merger.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pioneering the development and manufacture of off-the-shelf, universally implantable, bioengineered human tissues, advanced tissue constructs and organ systems with the goal of improving the lives of patients and transforming the practice of medicine. We believe our regenerative medicine technology has the potential to overcome limitations in existing standards of care and address the lack of significant innovation in products that support tissue repair, reconstruction and replacement. We are leveraging our novel, scalable technology platform to develop proprietary product candidates for use in the treatment of diseases and conditions across a range of anatomic locations in multiple therapeutic areas.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initially using our proprietary, scientific technology platform to engineer and manufacture HAVs. Our investigational HAVs are designed to be easily implanted into any patient without inducing a foreign body response or leading to immune rejection. We are developing a portfolio, or “cabinet”, of HAVs with varying diameters and lengths. The HAV cabinet would initially target the vascular repair, reconstruction and replacement market, including use in vascular trauma; arteriovenous (“AV”) access for hemodialysis, peripheral artery disease (“PAD”); and coronary artery bypass grafting (“CABG”). In addition, we are developing our HAVs for pediatric heart surgery and the delivery of cellular therapies, including pancreatic islet cell transplantation to treat Type 1 diabetes (our biovascular pancreas). We will continue to explore the application of our technology across a broad range of markets and indications, including the development of urinary conduit, trachea, esophagus and other novel cell delivery systems.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there is substantial clinical demand for safe and effective vascular conduits to replace and repair blood vessels throughout the body. Vascular injuries resulting from trauma are common in civilian and military populations, frequently resulting in the loss of either life or limb. Existing treatment options in the vascular repair, reconstruction and replacement market include the use of autologous vessels and synthetic grafts, which we believe suffer from significant limitations. For example, the use of autologous veins to repair traumatic vascular injuries can lead to significant morbidity associated with the surgical wounds created for vein harvest and prolonged times to restore blood flow to injured limbs leading to an increased risk of amputation and infection. Synthetic grafts are often contraindicated in the setting of vascular trauma due to higher infection risk that can lead to prolonged hospitalization and limb loss. Given the competitive advantages our HAVs are designed to have over existing vascular substitutes, we believe that HAVs have the potential to become the standard of care and lead to improved patient outcomes and lower healthcare costs.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and our collaborators are currently conducting Phase 2 and Phase 3 trials of our 6 millimeter HAV across three therapeutic indications: Vascular trauma, AV access for hemodialysis and PAD. We were granted Fast Track designation by the FDA for our 6 millimeter HAV for use in AV access for hemodialysis in 2014. We also received the first Regenerative Medicine Advanced Therapy (“RMAT”) designation from the FDA, for the creation of vascular access for performing hemodialysis, in March 2017. In May 2023, we were granted the RMAT designation for the HAV for urgent arterial repair following extremity vascular trauma. In addition, in 2018 our HAV product candidate was assigned a priority designation by the Secretary of Defense under Public Law 115-92, enacted to expedite the FDA’s review of products that are intended to diagnose, treat or prevent serious or life-threatening conditions facing American military personnel. In September 2023 we announced positive top line results from our V005 Phase 2/3 trial in vascular trauma, and we plan to file a BLA for an indication in extremity vascular trauma with the FDA during the fourth quarter of 2023. In March 2023, we announced completion of enrollment of our V007 Phase 3 trial of the HAV for use in AV access for hemodialysis. Upon completion of our V007 Phase 3 trial and dependent upon clinical results, we intend to submit a BLA-supplement to the FDA for an indication in AV access for hemodialysis.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73685"/>
                <wp:effectExtent l="0" t="0" r="0" b="0"/>
                <wp:wrapNone/>
                <wp:docPr id="32" name="Frame3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32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generated no product revenue and incurred operating losses and negative cash flows from operations in each year since our inception in 2004. As of September 30, 2023 and December 31, 2022, we had an accumulated deficit of $512.2 million and $426.5 million, respectively, and working capital of $87.7 million and $134.6 million, respectively. Our operating losses were approximately $24.6 million and $73.9 million for the three and nine months ended September 30, 2023, respectively, and $23.5 million and $63.8 million for the three and nine months ended September 30, 2022, respectively.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operating activities were $54.3 million and $52.2 million during the nine months ended September 30, 2023 and 2022, respectively. Substantially all of our operating losses resulted from costs incurred in connection with our research and development programs and from general and administrative costs associated with our operations. We expect to incur substantial operating losses and negative cash flows from operations for the foreseeable future as we advance our product candidates.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and cash equivalents of $100.0 million. We believe our cash and cash equivalents on hand will be sufficient to fund operations, including clinical trial expenses and capital expenditure requirements, for at least 12 months from the date of this Quarterly Report. See Note 1 — Organization and Description of Business in the notes to our unaudited condensed consolidated financial statements included elsewhere in this Quarterly Report for additional information regarding this assessment.</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need for additional capital will depend in part on the scope and costs of our development and commercial manufacturing activities. To date, we have not generated any revenue from the sale of commercialized products. Our ability to generate product revenue will depend on the successful development and eventual commercialization of one or more of our product candidates. Until such time, if ever, we expect to finance our operations through the use of existing cash and cash equivalents, the sale of equity or debt, proceeds from the Purchase Agreement, borrowings under credit facilities, or through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 See “Risk Factors” for additional information.</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continue to incur significant expenses and to increase operating losses for at least the next several years. We anticipate that our expenses will increase substantially as we seek to:</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obtain marketing approval for our 6 millimeter HAV for vascular repair, reconstruction and replacement, including for vascular trauma and AV access for hemodialysis;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commercialize the HAV via U.S. market launches in vascular trauma and hemodialysis AV access;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scale out our manufacturing facility to the extent required to satisfy potential demand following any receipt of marketing approval;</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our preclinical and clinical development efforts;</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maintain, expand and protect our intellectual property portfolio;</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add operational, financial and management information systems and personnel to support, among other things, our product development and commercialization efforts and operations; and</w:t>
      </w:r>
    </w:p>
    <w:p>
      <w:pPr>
        <w:pStyle w:val="TextBody"/>
        <w:bidi w:val="0"/>
        <w:spacing w:lineRule="auto" w:line="288" w:before="120" w:after="283"/>
        <w:ind w:left="0" w:right="0" w:hanging="360"/>
        <w:jc w:val="left"/>
        <w:rPr/>
      </w:pPr>
      <w:r>
        <w:rPr>
          <w:color w:val="231F20"/>
        </w:rPr>
        <w:t>•</w:t>
      </w:r>
      <w:r>
        <w:rPr>
          <w:rFonts w:ascii="Times New Roman;sans-serif" w:hAnsi="Times New Roman;sans-serif"/>
          <w:b w:val="false"/>
          <w:color w:val="231F20"/>
          <w:sz w:val="20"/>
        </w:rPr>
        <w:t>continue operating as a public company, which includes higher costs associated with hiring additional personnel, director and officer insurance premiums, audit and legal fees and expenses for compliance with public company reporting requirements under the Exchange Act and rules implemented by the SEC and Nasdaq.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73685"/>
                <wp:effectExtent l="0" t="0" r="0" b="0"/>
                <wp:wrapNone/>
                <wp:docPr id="33" name="Frame3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33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generated revenue from the sale of any products. All of our revenue has been derived from government and other grants. From inception through September 30, 2023 we have been awarded grants, including grants from the California Institute of Regenerative Medicine (“CIRM”), the National Institutes of Health (“NIH”), and the DoD, to support our development, production scaling and clinical trials of our product candidates. We may generate revenue in the future from government and other grants, payments from future license or collaboration agreements and, if any of our product candidates receive marketing approval, from product sales. We expect that any revenue we generate will fluctuate from quarter to quarter. If we fail to complete the development of, or obtain marketing approval for, our product candidates in a timely manner, our ability to generate future revenue, and our results of operations and financial position, would be materially adversely affected.</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focused our resources on our research and development activities, including conducting preclinical studies and clinical trials, developing our manufacturing process and activities related to regulatory filings for our product candidates. We recognize research and development expenses as they are incurred. Our research and development expenses consist primarily of:</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salaries and related overhead expenses for personnel in research and development functions, including stock-based compensation and benefits;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fees paid to consultants and clinical research organizations (“CROs”), including in connection with our clinical trials, and other related clinical trial fees, such as for investigator grants, patient screening, laboratory work and statistical compilation and analysis;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allocation of facility lease and maintenance costs;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depreciation of leasehold improvements, laboratory equipment and computers;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costs related to purchasing raw materials and producing our product candidates for clinical trials;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costs related to compliance with regulatory requirements;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costs related to our manufacturing development and expanded-capabilities initiatives;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license fees related to in-licensed technologies.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majority of our research and development resources are currently focused on our Phase 2 and 3 clinical trials for our 6 millimeter HAV and other work needed to obtain marketing approval for our 6 millimeter HAV for use for vascular repair, reconstruction and replacement, including vascular trauma and AV access in hemodialysis in the United States. We have incurred and expect to continue to incur significant expenses in connection with these and our other clinical development efforts, including expenses related to regulatory filings, trial enrollment and conduct, data analysis, patient follow up and study report generation for our Phase 2 and Phase 3 clinical trials. We do not allocate all of our costs by each research and development program for which we are developing our cabinet of HAVs, as a significant amount of our development activities broadly support multiple programs that use our technology platform. We plan to further increase our research and development expenses for the foreseeable future as we continue the development of our proprietary scientific technology platform and our novel manufacturing paradigm.</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successful development of our preclinical and clinical product candidates is highly uncertain. At this time, we cannot estimate with any reasonable certainty the nature, timing or costs of the efforts that will be necessary to complete the remainder of the development of any of our preclinical or clinical product candidates or the period, if any, in which material net cash inflows from these product candidates may commence. This is due to the numerous risks and uncertainties associated with the development of our product candidates, including:</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scope, rate of progress, expense and results of our preclinical development activities, our ongoing clinical trials and any additional clinical trials that we may conduct, and other research and development activities;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successful patient enrollment in and the initiation and completion of clinical trials;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73685"/>
                <wp:effectExtent l="0" t="0" r="0" b="0"/>
                <wp:wrapNone/>
                <wp:docPr id="34" name="Frame3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34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timing, receipt and terms of any marketing approvals from applicable regulatory authorities including the FDA and non-U.S. regulators;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extent of any required post-marketing approval commitments to applicable regulatory authorities;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development of clinical and commercial manufacturing capabilities or making arrangements with third-party manufacturers in order to ensure that it or its third-party manufacturers are able to successfully manufacture our product;</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obtaining, maintaining, defending and enforcing patent claims and other intellectual property rights;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significant and changing government regulations;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launching commercial sales of our product candidates, if approved, whether alone or in collaboration with others;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the degree of market acceptance of any product candidates that obtain marketing approval; and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maintaining a continued acceptable safety profile following approval, if any, of our product candidates.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change in the outcome of any of these variables could lead to significant changes in the costs and timing associated with the development of our product candidates. For example, if the FDA or another regulatory authority were to require us to conduct clinical trials beyond those that we currently anticipate being required to conduct in order to complete the clinical development of any of our product candidates, or if we experience significant delays in the enrollment or the conduct of any of our clinical trials, we could be required to expend significant additional financial resources and time on the completion of clinical development.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salaries and related costs for employees in executive, finance, human resources, commercialization, and administrative support functions, which also include stock-based compensation expenses and benefits for such employees. Other significant general and administrative expenses include facilities costs, professional fees for accounting and legal services and expenses associated with obtaining and maintaining patents.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expect our general and administrative expenses will continue to increase for the foreseeable future to support our expanded infrastructure and increased costs of operating as a public company and as we prepare for our anticipated commercial launch of the HAV. These increases are expected to include increased employee-related expenses, increased sales and marketing expenses, and increased director and officer insurance premiums, audit and legal fees, and expenses for compliance with public company reporting requirements under the Exchange Act and rules implemented by the SEC, as well as Nasdaq rules.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Income (Expense),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consists of (i) the change in fair value of the Contingent Earnout Liability that was accounted for as a liability as of the date of the Merger, and is remeasured to fair value at each reporting period, resulting in a non-cash gain or loss, (ii) interest income earned on our cash and cash equivalents and short-term investments, (iii) interest expense incurred on our Loan Agreement, Purchase Agreement and finance leases during the periods each were outstanding, (iv) the change in fair value of our derivative liabilities including the private placement Common Stock warrant liabilities related to the Private Placement Warrants, which we assumed in connection with the Merger; the contingent derivative liability related to the Purchase Agreement; the liability related to our Option Agreement; and the derivative liability related to our JDRF Agreement, all of which are subject to remeasurement to fair value at each balance sheet date resulting in a non-cash gain or loss, (v) a loss on debt extinguishment related to the prepayment of our Loan Agreement in May 2023, and (vi) an employee retention credit we recognized in June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73685"/>
                <wp:effectExtent l="0" t="0" r="0" b="0"/>
                <wp:wrapNone/>
                <wp:docPr id="35" name="Frame35"/>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35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20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Comparison of the Three Months Ended September 30, 2023 and 2022</w:t>
      </w:r>
    </w:p>
    <w:tbl>
      <w:tblPr>
        <w:tblW w:w="9462" w:type="dxa"/>
        <w:jc w:val="left"/>
        <w:tblInd w:w="0" w:type="dxa"/>
        <w:tblLayout w:type="fixed"/>
        <w:tblCellMar>
          <w:top w:w="28" w:type="dxa"/>
          <w:left w:w="28" w:type="dxa"/>
          <w:bottom w:w="28" w:type="dxa"/>
          <w:right w:w="28" w:type="dxa"/>
        </w:tblCellMar>
      </w:tblPr>
      <w:tblGrid>
        <w:gridCol w:w="1596"/>
        <w:gridCol w:w="1401"/>
        <w:gridCol w:w="1412"/>
        <w:gridCol w:w="221"/>
        <w:gridCol w:w="835"/>
        <w:gridCol w:w="114"/>
        <w:gridCol w:w="114"/>
        <w:gridCol w:w="114"/>
        <w:gridCol w:w="114"/>
        <w:gridCol w:w="221"/>
        <w:gridCol w:w="835"/>
        <w:gridCol w:w="114"/>
        <w:gridCol w:w="109"/>
        <w:gridCol w:w="109"/>
        <w:gridCol w:w="109"/>
        <w:gridCol w:w="211"/>
        <w:gridCol w:w="541"/>
        <w:gridCol w:w="109"/>
        <w:gridCol w:w="109"/>
        <w:gridCol w:w="109"/>
        <w:gridCol w:w="109"/>
        <w:gridCol w:w="269"/>
        <w:gridCol w:w="271"/>
        <w:gridCol w:w="316"/>
      </w:tblGrid>
      <w:tr>
        <w:trPr/>
        <w:tc>
          <w:tcPr>
            <w:tcW w:w="1596"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Grant revenue</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23,525 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(24,622)</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(23,494)</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(1,128)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1,369 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A2299"/>
                <w:sz w:val="20"/>
              </w:rPr>
            </w:pPr>
            <w:r>
              <w:rPr>
                <w:rFonts w:ascii="Times New Roman;sans-serif" w:hAnsi="Times New Roman;sans-serif"/>
                <w:b w:val="false"/>
                <w:color w:val="0A2299"/>
                <w:sz w:val="20"/>
              </w:rPr>
              <w:t>883 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Earnout Liability</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liabilities</w:t>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(25,995)</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(25,281)</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Grant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revenue for the three months ended September 30, 2023, and revenue was insignificant for the three months ended September 30, 2022.</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the breakdown of research and development expenses:</w:t>
      </w:r>
    </w:p>
    <w:tbl>
      <w:tblPr>
        <w:tblW w:w="8475" w:type="dxa"/>
        <w:jc w:val="left"/>
        <w:tblInd w:w="0" w:type="dxa"/>
        <w:tblLayout w:type="fixed"/>
        <w:tblCellMar>
          <w:top w:w="28" w:type="dxa"/>
          <w:left w:w="28" w:type="dxa"/>
          <w:bottom w:w="28" w:type="dxa"/>
          <w:right w:w="28" w:type="dxa"/>
        </w:tblCellMar>
      </w:tblPr>
      <w:tblGrid>
        <w:gridCol w:w="1271"/>
        <w:gridCol w:w="1116"/>
        <w:gridCol w:w="1122"/>
        <w:gridCol w:w="232"/>
        <w:gridCol w:w="810"/>
        <w:gridCol w:w="120"/>
        <w:gridCol w:w="120"/>
        <w:gridCol w:w="120"/>
        <w:gridCol w:w="120"/>
        <w:gridCol w:w="232"/>
        <w:gridCol w:w="810"/>
        <w:gridCol w:w="120"/>
        <w:gridCol w:w="109"/>
        <w:gridCol w:w="109"/>
        <w:gridCol w:w="109"/>
        <w:gridCol w:w="211"/>
        <w:gridCol w:w="631"/>
        <w:gridCol w:w="109"/>
        <w:gridCol w:w="109"/>
        <w:gridCol w:w="109"/>
        <w:gridCol w:w="109"/>
        <w:gridCol w:w="179"/>
        <w:gridCol w:w="182"/>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services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personnel expenses</w:t>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research and development expenses</w:t>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18,552</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17,337</w:t>
            </w: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$1.2 million, or 7%, from $17.3 million for the three months ended September 30, 2022 to $18.6 million for the three months ended September 30, 2023. The increase was primarily driven by $1.2 million in additional payroll and personnel expenses incurred to support our expanded research and development initiatives, including preparation for the completion of our V005 Phase 2/3 trial for the use of the HAV in extremity vascular trauma and planned BLA filing, and expansion of clinical development of the HAV for use in AV access for hemodialysis.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$6.1 million and $6.2 million for the three months ended September 30, 2023 and 2022, respectively. The decrease in general and administrative expenses during this period of $0.1 million, or 2%, was primarily driven by the net effect of a $0.4 million decrease in external services and a $0.4 million decrease in professional fees, partially offset by a $0.4 million increase in payroll and personnel expenses and a $0.3 million increase in other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73685"/>
                <wp:effectExtent l="0" t="0" r="0" b="0"/>
                <wp:wrapNone/>
                <wp:docPr id="36" name="Frame3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36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Other Income (Expense),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was expense of $1.4 million for the three months ended September 30, 2023 compared to expense of $1.8 million for the three months ended September 30, 2022, respectively. The decrease in net expense of $0.4 million primarily resulted from a $0.5 million increase in interest income earned on our cash and cash equivalents during 2023 primarily due to higher interest rates.</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Comparison of the Nine Months Ended September 30, 2023 and 2022</w:t>
      </w:r>
    </w:p>
    <w:tbl>
      <w:tblPr>
        <w:tblW w:w="9674" w:type="dxa"/>
        <w:jc w:val="left"/>
        <w:tblInd w:w="0" w:type="dxa"/>
        <w:tblLayout w:type="fixed"/>
        <w:tblCellMar>
          <w:top w:w="28" w:type="dxa"/>
          <w:left w:w="28" w:type="dxa"/>
          <w:bottom w:w="28" w:type="dxa"/>
          <w:right w:w="28" w:type="dxa"/>
        </w:tblCellMar>
      </w:tblPr>
      <w:tblGrid>
        <w:gridCol w:w="1611"/>
        <w:gridCol w:w="1419"/>
        <w:gridCol w:w="1425"/>
        <w:gridCol w:w="223"/>
        <w:gridCol w:w="842"/>
        <w:gridCol w:w="115"/>
        <w:gridCol w:w="115"/>
        <w:gridCol w:w="115"/>
        <w:gridCol w:w="115"/>
        <w:gridCol w:w="223"/>
        <w:gridCol w:w="730"/>
        <w:gridCol w:w="115"/>
        <w:gridCol w:w="109"/>
        <w:gridCol w:w="109"/>
        <w:gridCol w:w="109"/>
        <w:gridCol w:w="211"/>
        <w:gridCol w:w="796"/>
        <w:gridCol w:w="109"/>
        <w:gridCol w:w="109"/>
        <w:gridCol w:w="109"/>
        <w:gridCol w:w="109"/>
        <w:gridCol w:w="269"/>
        <w:gridCol w:w="271"/>
        <w:gridCol w:w="316"/>
      </w:tblGrid>
      <w:tr>
        <w:trPr/>
        <w:tc>
          <w:tcPr>
            <w:tcW w:w="1611"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expenses: </w:t>
            </w:r>
          </w:p>
        </w:tc>
        <w:tc>
          <w:tcPr>
            <w:tcW w:w="11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operating expenses </w:t>
            </w:r>
          </w:p>
        </w:tc>
        <w:tc>
          <w:tcPr>
            <w:tcW w:w="1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73,865 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65,353 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Loss from operations </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(73,865)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(63,788)</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(10,077)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(expense), net: </w:t>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 in fair value of Contingent Earnout Liability </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retention credit</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w:t>
            </w:r>
          </w:p>
        </w:tc>
        <w:tc>
          <w:tcPr>
            <w:tcW w:w="1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 liabilities</w:t>
            </w:r>
          </w:p>
        </w:tc>
        <w:tc>
          <w:tcPr>
            <w:tcW w:w="1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other income (expense), net </w:t>
            </w:r>
          </w:p>
        </w:tc>
        <w:tc>
          <w:tcPr>
            <w:tcW w:w="1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(11,805)</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55,543 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loss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(85,670)</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(8,245)</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(77,425)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Grant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revenue for the nine months ended September 30, 2023, compared to $1.6 million in revenue for the nine months ended September 30, 2022. Revenue for 2022 related to the reimbursement of qualifying expenses incurred in connection with our grant from DoD, which totaled approximately $6.8 million over the life of the grant before this program ended in November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73685"/>
                <wp:effectExtent l="0" t="0" r="0" b="0"/>
                <wp:wrapNone/>
                <wp:docPr id="37" name="Frame37"/>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37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discloses the breakdown of research and development expenses for the periods indicated:</w:t>
      </w:r>
    </w:p>
    <w:tbl>
      <w:tblPr>
        <w:tblW w:w="8385" w:type="dxa"/>
        <w:jc w:val="left"/>
        <w:tblInd w:w="0" w:type="dxa"/>
        <w:tblLayout w:type="fixed"/>
        <w:tblCellMar>
          <w:top w:w="28" w:type="dxa"/>
          <w:left w:w="28" w:type="dxa"/>
          <w:bottom w:w="28" w:type="dxa"/>
          <w:right w:w="28" w:type="dxa"/>
        </w:tblCellMar>
      </w:tblPr>
      <w:tblGrid>
        <w:gridCol w:w="1271"/>
        <w:gridCol w:w="1116"/>
        <w:gridCol w:w="1122"/>
        <w:gridCol w:w="224"/>
        <w:gridCol w:w="783"/>
        <w:gridCol w:w="116"/>
        <w:gridCol w:w="116"/>
        <w:gridCol w:w="116"/>
        <w:gridCol w:w="116"/>
        <w:gridCol w:w="224"/>
        <w:gridCol w:w="783"/>
        <w:gridCol w:w="116"/>
        <w:gridCol w:w="109"/>
        <w:gridCol w:w="109"/>
        <w:gridCol w:w="109"/>
        <w:gridCol w:w="211"/>
        <w:gridCol w:w="631"/>
        <w:gridCol w:w="109"/>
        <w:gridCol w:w="109"/>
        <w:gridCol w:w="109"/>
        <w:gridCol w:w="109"/>
        <w:gridCol w:w="180"/>
        <w:gridCol w:w="181"/>
        <w:gridCol w:w="316"/>
      </w:tblGrid>
      <w:tr>
        <w:trPr/>
        <w:tc>
          <w:tcPr>
            <w:tcW w:w="1271"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External services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12,202 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Materials and supplies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Payroll and personnel expenses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research and development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56,370</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48,303</w:t>
            </w: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8,067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increased by $8.1 million, or 17%, from $48.3 million for the nine months ended September 30, 2022 to $56.4 million for the nine months ended September 30, 2023. The increase was primarily driven by expenses incurred to support our expanded research and development initiatives, including preparation for the completion of our V005 Phase 2/3 trial for the use of the HAV in extremity vascular trauma and planned BLA filing, and expansion of clinical development of the HAV for use in AV access for hemodialysis. Expense increases were primarily comprised of (i) a $4.8 million increase in payroll and personnel expenses, (ii) a $2.4 million increase in external services, including the support of clinical studies, (iii) a $0.5 million increase in other research and development expenses, and (iv) a $0.3 million increase in the purchase of materials and supplies.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Expenses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were $17.5 million and $17.1 million for the nine months ended September 30, 2023 and 2022, respectively. The increase in general and administrative expenses during this period of $0.4 million, or 3%, was primarily driven by preparation for the planned commercial launch of the HAV for an indication in vascular trauma, including a $0.8 million increase in payroll and personnel expenses and a $0.5 million increase in other general and administrative expenses, including insurance expense, partially offset by a $0.9 million decrease in professional fees, including a reduction in legal fees.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Total Other Income (Expense),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 was expense of $11.8 million for the nine months ended September 30, 2023, compared to income of $55.5 million for the nine months ended September 30, 2022. The increase in expense of $67.3 million primarily resulted from the remeasurement of the Contingent Earnout Liability as of September 30, 2023, which resulted in non-cash expense of $11.7 million for the nine months ended September 30, 2023, compared to $58.6 million in non-cash gain for the nine months ended September 30, 2022, and a $2.4 million loss on extinguishment of debt related to the prepayment of our Loan Agreement, partially offset by a $3.1 million employee retention credit and a $3.1 million increase in interest income earned on our cash, cash equivalents and short-term investments during 2023 primarily due to higher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Sources of Liquidity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the sale of equity securities and convertible debt, proceeds from the Merger and related PIPE Financing, borrowings under loan facilities, the Purchase Agreement and, to a lesser extent, through grants from governmental and other agencies. Since our inception, we have incurred significant operating losses and negative cash flows. As of September 30, 2023 and December 31, 2022, we had an accumulated deficit of $512.2 million and $426.5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73685"/>
                <wp:effectExtent l="0" t="0" r="0" b="0"/>
                <wp:wrapNone/>
                <wp:docPr id="38" name="Frame38"/>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38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As of September 30, 2023 and December 31, 2022, we had working capital of $87.7 million and $134.6 million, respectively. As of September 30, 2023, we had cash and cash equivalents of $100.0 million and as of December 31, 2022, we had cash and cash equivalents and short-term investments of $151.9 million. We believe our cash and cash equivalents will be sufficient to fund operations, including clinical trial expenses and capital expenditure requirements for at least 12 months from the date of this Quarterly Report. See Note 1 — Organization and Description of Business to our accompanying unaudited condensed consolidated financial statements included elsewhere in this Quarterly Report for additional information regarding our assessment. We believe that our longer-term working capital, planned research and development, capital expenditures and other general corporate funding requirements may be satisfied through the sale of equity, debt, borrowings under credit facilities or through potential collaborations with other companies, other strategic transactions or government or other grants. Our liquidity plans are subject to a number of risks and uncertainties, including those described in the sections entitled “Forward-Looking Statements” and “Risk Factors” in this Quarterly Report and our Annual Report. </w:t>
      </w:r>
      <w:r>
        <w:rPr>
          <w:rFonts w:ascii="Times New Roman;sans-serif" w:hAnsi="Times New Roman;sans-serif"/>
          <w:b w:val="false"/>
          <w:color w:val="231F20"/>
          <w:sz w:val="20"/>
        </w:rPr>
        <w:t>Adequate capital may not be available to us when needed or on acceptable terms.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On May 12, 2023, we entered into the Purchase Agreement with the Purchasers and another affiliate of Oberland Capital Management LLC, as agent for the Purchasers, to obtain financing in respect to the further development and commercialization of our HAV, to repay our credit facility with SVB, and for other general corporate purposes. </w:t>
      </w:r>
      <w:r>
        <w:rPr>
          <w:rFonts w:ascii="Times New Roman;sans-serif" w:hAnsi="Times New Roman;sans-serif"/>
          <w:b w:val="false"/>
          <w:color w:val="000000"/>
          <w:sz w:val="20"/>
          <w:shd w:fill="FFFFFF" w:val="clear"/>
        </w:rPr>
        <w:t xml:space="preserve">Pursuant to the Purchase Agreement and subject to customary closing conditions, the Purchasers have agreed to pay us an aggregate investment amount of up to $150.0 million. Under the terms of the Purchase Agreement, $40.0 million of the Investment Amount, less certain transaction expenses, was funded on </w:t>
      </w:r>
      <w:r>
        <w:rPr>
          <w:rFonts w:ascii="Times New Roman;sans-serif" w:hAnsi="Times New Roman;sans-serif"/>
          <w:b w:val="false"/>
          <w:color w:val="000000"/>
          <w:sz w:val="20"/>
        </w:rPr>
        <w:t>May 12, 2023</w:t>
      </w:r>
      <w:r>
        <w:rPr>
          <w:rFonts w:ascii="Times New Roman;sans-serif" w:hAnsi="Times New Roman;sans-serif"/>
          <w:b w:val="false"/>
          <w:color w:val="000000"/>
          <w:sz w:val="20"/>
          <w:shd w:fill="FFFFFF" w:val="clear"/>
        </w:rPr>
        <w:t>, which was used to repay in full and retire our indebtedness under the Loan Agreement, with the remaining proceeds funded to the Company. See Note 6 — Revenue Interest Purchase Agreement</w:t>
      </w:r>
      <w:r>
        <w:rPr>
          <w:color w:val="000000"/>
        </w:rPr>
        <w:t xml:space="preserve"> </w:t>
      </w:r>
      <w:r>
        <w:rPr>
          <w:rFonts w:ascii="Times New Roman;sans-serif" w:hAnsi="Times New Roman;sans-serif"/>
          <w:b w:val="false"/>
          <w:color w:val="000000"/>
          <w:sz w:val="20"/>
        </w:rPr>
        <w:t>to the condensed consolidated financial statements for additional details about this financing transaction.</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Material Cash Requirements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Our known material cash requirements include: (1) the purchase of supplies and services that are primarily for research and development; (2) repayments pursuant to the Purchase Agreement; (3) employee wages, benefits, and incentives; (4) financing and operating lease payments (for additional information see below), and (5) payments under our JDRF Agreement (see Note 11 — Commitments and Contingencies</w:t>
      </w:r>
      <w:r>
        <w:rPr>
          <w:color w:val="231F20"/>
        </w:rPr>
        <w:t xml:space="preserve"> </w:t>
      </w:r>
      <w:r>
        <w:rPr>
          <w:rFonts w:ascii="Times New Roman;sans-serif" w:hAnsi="Times New Roman;sans-serif"/>
          <w:b w:val="false"/>
          <w:color w:val="231F20"/>
          <w:sz w:val="20"/>
        </w:rPr>
        <w:t>to our unaudited condensed consolidated financial statements contained elsewhere in this Quarterly Report)</w:t>
      </w:r>
      <w:r>
        <w:rPr>
          <w:rFonts w:ascii="Times New Roman;sans-serif" w:hAnsi="Times New Roman;sans-serif"/>
          <w:b w:val="false"/>
          <w:color w:val="000000"/>
          <w:sz w:val="20"/>
        </w:rPr>
        <w:t>. We have also entered into contracts with CROs primarily for clinical trials. These contracts generally provide for termination upon limited notice, and therefore we believe that our non-cancellable obligations under these agreements are not material. Moreover, we may be subject to additional material cash requirements that are contingent upon the occurrence of certain events, for example, legal contingencies, uncertain tax positions, and other matters.</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As of September 30, 2023, we had non-cancellable purchase com</w:t>
      </w:r>
      <w:r>
        <w:rPr>
          <w:rFonts w:ascii="Times New Roman;sans-serif" w:hAnsi="Times New Roman;sans-serif"/>
          <w:b w:val="false"/>
          <w:color w:val="231F20"/>
          <w:sz w:val="20"/>
        </w:rPr>
        <w:t>mitments of $17.4 million for supplies and services that are primarily for research and development. We have existing license agreements with Duke University and Yale University, a distribution agreement with Fresenius Medical Care and our JDRF Agreement. The amount and timing of any potential milestone payments, license fee payments, royalties and other payments that we may be required to make under these agreements are unknown or uncertain at September 30, 2023. For additional information regarding our agreement with Fresenius Medical Care, see Note 12 — Related Party Transactions to our unaudited condensed consolidated financial statements contained elsewhere in this Quarterly Report. For additional information regarding our agreements with Duke University, Yale University and JDRF, see Note 11 — Commitments and Contingencies to our unaudited condensed consolidated financial statements contained elsewhere in this Quarterly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73685"/>
                <wp:effectExtent l="0" t="0" r="0" b="0"/>
                <wp:wrapNone/>
                <wp:docPr id="39" name="Frame39"/>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39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Interest Purchase Agreement</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On </w:t>
      </w:r>
      <w:r>
        <w:rPr>
          <w:rFonts w:ascii="Times New Roman;sans-serif" w:hAnsi="Times New Roman;sans-serif"/>
          <w:b w:val="false"/>
          <w:color w:val="000000"/>
          <w:sz w:val="20"/>
        </w:rPr>
        <w:t xml:space="preserve">May 12, 2023, we entered into the Purchase Agreement and repaid in full all of the outstanding obligations under our Loan Agreement. Under the Purchase Agreement, as of September 30, 2023, we had </w:t>
      </w:r>
      <w:r>
        <w:rPr>
          <w:rFonts w:ascii="Times New Roman;sans-serif" w:hAnsi="Times New Roman;sans-serif"/>
          <w:b w:val="false"/>
          <w:color w:val="231F20"/>
          <w:sz w:val="20"/>
        </w:rPr>
        <w:t>$37.3 million</w:t>
      </w:r>
      <w:r>
        <w:rPr>
          <w:color w:val="000000"/>
        </w:rPr>
        <w:t xml:space="preserve"> </w:t>
      </w:r>
      <w:r>
        <w:rPr>
          <w:rFonts w:ascii="Times New Roman;sans-serif" w:hAnsi="Times New Roman;sans-serif"/>
          <w:b w:val="false"/>
          <w:color w:val="000000"/>
          <w:sz w:val="20"/>
        </w:rPr>
        <w:t>recorded as a revenue interest liability on our condensed consolidated financial statements. For additional information regarding repayment, see Note 6 — Revenue Interest Purchase Agreement to our unaudited condensed consolidated financial statements contained elsewhere in this Quarterly Report.</w:t>
      </w:r>
    </w:p>
    <w:p>
      <w:pPr>
        <w:pStyle w:val="TextBody"/>
        <w:bidi w:val="0"/>
        <w:spacing w:lineRule="auto" w:line="288" w:before="200" w:after="283"/>
        <w:ind w:left="0" w:right="0" w:firstLine="360"/>
        <w:jc w:val="left"/>
        <w:rPr>
          <w:rFonts w:ascii="Times New Roman;sans-serif" w:hAnsi="Times New Roman;sans-serif"/>
          <w:b w:val="false"/>
          <w:i/>
          <w:color w:val="231F20"/>
          <w:sz w:val="20"/>
        </w:rPr>
      </w:pPr>
      <w:r>
        <w:rPr>
          <w:rFonts w:ascii="Times New Roman;sans-serif" w:hAnsi="Times New Roman;sans-serif"/>
          <w:b w:val="false"/>
          <w:i/>
          <w:color w:val="231F20"/>
          <w:sz w:val="20"/>
        </w:rPr>
        <w:t>Leases</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finance lease relates to our headquarters facility containing our manufacturing, research and development and general and administrative functions, which was substantially completed in June 2018 and leased through May 2033, and our operating lease relates to the land lease associated with our headquarters. Our future contractual obligations under our lease agreements as of September 30, 2023 are as follows:</w:t>
      </w:r>
    </w:p>
    <w:tbl>
      <w:tblPr>
        <w:tblW w:w="7593" w:type="dxa"/>
        <w:jc w:val="left"/>
        <w:tblInd w:w="0" w:type="dxa"/>
        <w:tblLayout w:type="fixed"/>
        <w:tblCellMar>
          <w:top w:w="28" w:type="dxa"/>
          <w:left w:w="28" w:type="dxa"/>
          <w:bottom w:w="28" w:type="dxa"/>
          <w:right w:w="28" w:type="dxa"/>
        </w:tblCellMar>
      </w:tblPr>
      <w:tblGrid>
        <w:gridCol w:w="527"/>
        <w:gridCol w:w="463"/>
        <w:gridCol w:w="465"/>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5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w:t>
              <w:br/>
              <w:t>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 – 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 – 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w:t>
              <w:br/>
              <w:t>5 years</w:t>
            </w:r>
          </w:p>
        </w:tc>
      </w:tr>
      <w:tr>
        <w:trPr/>
        <w:tc>
          <w:tcPr>
            <w:tcW w:w="14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ATM Facility</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1, 2022, we entered into an agreement for the sale from time to time up to $80.0 million of shares of Common Stock pursuant to a sales agreement (the “ATM Facility”). As of September 30, 2023, we have not conducted any sales of Common Stock under the ATM Facility.</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Future Funding Requirements</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We expect to incur significant expenses in connection with our ongoing activities as we seek to (i) continue clinical development of our 6 millimeter HAV for use in vascular trauma and hemodialysis AV access and submit BLAs for FDA approval, (ii) if marketing approval is obtained, to launch and commercialize our HAVs for hemodialysis AV access and vascular repair in the U.S. market, including subsequent launches in key international markets, (iii) advance our pipeline in major markets, including PAD Phase 3 trials and continue preclinical development and advance to planned clinical studies in CABG and biovascular pancreas for diabetes, and (iv) scale out our manufacturing facility as required to satisfy potential demand if our HAVs receive marketing approval. We will need additional funding in connection with these activities.</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future funding requirements, both short-term and long-term, will depend on many factors, including:</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progress and results of our clinical trials and interpretation of those results by the FDA and other regulatory authorities;</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cost, timing and outcome of regulatory review of our product candidates, particularly for marketing approval of our HAVs in the United States;</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scope, progress, results and costs of preclinical development, laboratory testing and clinical trials for our additional product candidates;</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cost and timing of our future commercialization activities, including product manufacturing, marketing and distribution for our HAVs if approved by the FDA, and any other product candidate for which we receive marketing approval in the future;</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amount and timing of revenues, if any, that we receive from commercial sales of any product candidates for which we receive marketing approval;</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costs and timing of preparing, filing and prosecuting patent applications, maintaining and enforcing our intellectual property rights and defending any intellectual property-related claims; and</w:t>
      </w:r>
    </w:p>
    <w:p>
      <w:pPr>
        <w:pStyle w:val="TextBody"/>
        <w:bidi w:val="0"/>
        <w:spacing w:lineRule="auto" w:line="288" w:before="200" w:after="283"/>
        <w:ind w:left="0" w:right="0" w:hanging="360"/>
        <w:jc w:val="left"/>
        <w:rPr/>
      </w:pPr>
      <w:r>
        <w:rPr>
          <w:color w:val="231F20"/>
        </w:rPr>
        <w:t>•</w:t>
      </w:r>
      <w:r>
        <w:rPr>
          <w:rFonts w:ascii="Times New Roman;sans-serif" w:hAnsi="Times New Roman;sans-serif"/>
          <w:b w:val="false"/>
          <w:color w:val="231F20"/>
          <w:sz w:val="20"/>
        </w:rPr>
        <w:t>the costs of operating as a public company, including hiring additional personnel as well as increased director and officer insurance premiums, audit and legal fees, and expenses for compliance with public company reporting requirements under the Exchange Act and rules implemented by the SEC and Nasdaq.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73685"/>
                <wp:effectExtent l="0" t="0" r="0" b="0"/>
                <wp:wrapNone/>
                <wp:docPr id="40" name="Frame40"/>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40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Until such time, if ever, as we are able to successfully develop and commercialize one or more of our product candidates,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 Other than the Purchase Agreement, we do not currently have any committed external source of funds.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capital, we could be forced to delay, reduce, suspend or cease our research and development programs or any future commercialization efforts, which would have a negative impact on our business, prospects, operating results and financial condition.</w:t>
      </w:r>
    </w:p>
    <w:p>
      <w:pPr>
        <w:pStyle w:val="TextBody"/>
        <w:bidi w:val="0"/>
        <w:spacing w:lineRule="auto" w:line="288" w:before="200" w:after="283"/>
        <w:ind w:left="0" w:right="0" w:firstLine="360"/>
        <w:jc w:val="left"/>
        <w:rPr>
          <w:rFonts w:ascii="Times New Roman;sans-serif" w:hAnsi="Times New Roman;sans-serif"/>
          <w:b w:val="false"/>
          <w:color w:val="231F20"/>
          <w:sz w:val="20"/>
        </w:rPr>
      </w:pPr>
      <w:r>
        <w:rPr>
          <w:rFonts w:ascii="Times New Roman;sans-serif" w:hAnsi="Times New Roman;sans-serif"/>
          <w:b w:val="false"/>
          <w:color w:val="231F20"/>
          <w:sz w:val="20"/>
        </w:rPr>
        <w:t>Our principal use of cash in recent periods has been primarily to fund our operations, including the clinical and preclinical development of our product candidates. Our future capital requirements, both short-term and long-term, will depend on many factors, including the progress and results of our clinical trials and preclinical development, timing and extent of spending to support development efforts, cost and timing of future commercialization activities, and the amount and timing of revenues, if any, that we receive from commercial sales.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the section of this Quarterly Report entitled “Risk Factors” for additional risks associated with our substantial capital requirements.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summary of our cash flows for each of the periods shown below:</w:t>
      </w:r>
    </w:p>
    <w:tbl>
      <w:tblPr>
        <w:tblW w:w="9842" w:type="dxa"/>
        <w:jc w:val="left"/>
        <w:tblInd w:w="0" w:type="dxa"/>
        <w:tblLayout w:type="fixed"/>
        <w:tblCellMar>
          <w:top w:w="28" w:type="dxa"/>
          <w:left w:w="28" w:type="dxa"/>
          <w:bottom w:w="28" w:type="dxa"/>
          <w:right w:w="28" w:type="dxa"/>
        </w:tblCellMar>
      </w:tblPr>
      <w:tblGrid>
        <w:gridCol w:w="2519"/>
        <w:gridCol w:w="2215"/>
        <w:gridCol w:w="2226"/>
        <w:gridCol w:w="211"/>
        <w:gridCol w:w="826"/>
        <w:gridCol w:w="109"/>
        <w:gridCol w:w="109"/>
        <w:gridCol w:w="109"/>
        <w:gridCol w:w="109"/>
        <w:gridCol w:w="211"/>
        <w:gridCol w:w="826"/>
        <w:gridCol w:w="109"/>
        <w:gridCol w:w="109"/>
        <w:gridCol w:w="154"/>
      </w:tblGrid>
      <w:tr>
        <w:trPr/>
        <w:tc>
          <w:tcPr>
            <w:tcW w:w="251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Non-cash adjustments to reconcile net loss to net cash used in operating activities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beginning of the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60" w:after="283"/>
        <w:ind w:left="0" w:right="0" w:hanging="18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Includes depreciation, amortization related to our leases and our debt discount, stock-based compensation expense, non-cash interest expense related to our revenue interest liability and our JDRF Award liability, the changes in fair value of our Contingent Earnout Liability and our derivative liabilities, and in 2023 includes a loss on extinguishment of debt and an immaterial amount of loss on disposal of property and equipment. </w:t>
      </w:r>
    </w:p>
    <w:p>
      <w:pPr>
        <w:pStyle w:val="TextBody"/>
        <w:bidi w:val="0"/>
        <w:spacing w:lineRule="auto" w:line="288" w:before="26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Cash Flow from Operating Activities</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The increase in net cash used in operating activities from </w:t>
      </w:r>
      <w:r>
        <w:rPr>
          <w:rFonts w:ascii="Times New Roman;sans-serif" w:hAnsi="Times New Roman;sans-serif"/>
          <w:b w:val="false"/>
          <w:color w:val="000000"/>
          <w:sz w:val="20"/>
        </w:rPr>
        <w:t>the nine months ended September 30, 2022</w:t>
      </w:r>
      <w:r>
        <w:rPr>
          <w:color w:val="231F20"/>
        </w:rPr>
        <w:t xml:space="preserve"> </w:t>
      </w:r>
      <w:r>
        <w:rPr>
          <w:rFonts w:ascii="Times New Roman;sans-serif" w:hAnsi="Times New Roman;sans-serif"/>
          <w:b w:val="false"/>
          <w:color w:val="231F20"/>
          <w:sz w:val="20"/>
        </w:rPr>
        <w:t xml:space="preserve">to </w:t>
      </w:r>
      <w:r>
        <w:rPr>
          <w:rFonts w:ascii="Times New Roman;sans-serif" w:hAnsi="Times New Roman;sans-serif"/>
          <w:b w:val="false"/>
          <w:color w:val="000000"/>
          <w:sz w:val="20"/>
        </w:rPr>
        <w:t>the nine months ended September 30, 2023 was primarily due to increased spending on pre-clinical, clinical and pre-commercial activities as well as payroll and personnel expenses, primarily those related to preparation for the completion of our trial for the use of the HAV in vascular trauma and planned BLA filing, expansion of clinical development of the HAV for use in AV access, and preparation for the planned commercial launch of the HAV for an indication in vascular trauma.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73685"/>
                <wp:effectExtent l="0" t="0" r="0" b="0"/>
                <wp:wrapNone/>
                <wp:docPr id="41" name="Frame41"/>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41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Cash Flow from Investing Activities</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Net cash used in investing activities for </w:t>
      </w:r>
      <w:r>
        <w:rPr>
          <w:rFonts w:ascii="Times New Roman;sans-serif" w:hAnsi="Times New Roman;sans-serif"/>
          <w:b w:val="false"/>
          <w:color w:val="000000"/>
          <w:sz w:val="20"/>
        </w:rPr>
        <w:t xml:space="preserve">the nine months ended September 30, 2023 consisted of purchases of property and equipment partially offset by proceeds from the maturity of our short-term investments (certificates of deposit). </w:t>
      </w:r>
      <w:r>
        <w:rPr>
          <w:rFonts w:ascii="Times New Roman;sans-serif" w:hAnsi="Times New Roman;sans-serif"/>
          <w:b w:val="false"/>
          <w:color w:val="231F20"/>
          <w:sz w:val="20"/>
        </w:rPr>
        <w:t xml:space="preserve">Net cash used in investing activities for </w:t>
      </w:r>
      <w:r>
        <w:rPr>
          <w:rFonts w:ascii="Times New Roman;sans-serif" w:hAnsi="Times New Roman;sans-serif"/>
          <w:b w:val="false"/>
          <w:color w:val="000000"/>
          <w:sz w:val="20"/>
        </w:rPr>
        <w:t xml:space="preserve">the nine months ended September 30, 2022 primarily consisted of the purchases of property and equipment. </w:t>
      </w:r>
    </w:p>
    <w:p>
      <w:pPr>
        <w:pStyle w:val="TextBody"/>
        <w:bidi w:val="0"/>
        <w:spacing w:lineRule="auto" w:line="288" w:before="200" w:after="283"/>
        <w:jc w:val="left"/>
        <w:rPr>
          <w:rFonts w:ascii="Times New Roman;sans-serif" w:hAnsi="Times New Roman;sans-serif"/>
          <w:b w:val="false"/>
          <w:i/>
          <w:color w:val="231F20"/>
          <w:sz w:val="20"/>
        </w:rPr>
      </w:pPr>
      <w:r>
        <w:rPr>
          <w:rFonts w:ascii="Times New Roman;sans-serif" w:hAnsi="Times New Roman;sans-serif"/>
          <w:b w:val="false"/>
          <w:i/>
          <w:color w:val="231F20"/>
          <w:sz w:val="20"/>
        </w:rPr>
        <w:t>Cash Flow from Financing Activities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nine months ended September 30, 2023 consisted primarily of net proceeds from our Purchase Agreement, partially offset by the repayment of our Loan Agreement. Net cash used in financing activities for the nine months ended September 30, 2022 consisted primarily of principal payments of our finance leases.</w:t>
      </w:r>
    </w:p>
    <w:p>
      <w:pPr>
        <w:pStyle w:val="TextBody"/>
        <w:bidi w:val="0"/>
        <w:spacing w:lineRule="auto" w:line="288" w:before="24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Off-Balance Sheet Arrangements</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did not have during the periods presented, and we do not currently have, any off-balance sheet arrangements, as defined in SEC rules and regulations.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Critical Accounting Estimates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discussion and analysis of our financial condition and results of operations are based upon our unaudited condensed consolidated financial statements, which have been prepared in accordance with accounting principles generally accepted in the United States of America. The preparation of our unaudited condensed consolidated financial statements requires us to make estimates, assumptions and judgments that affect the reported amounts of assets, liabilities, revenues, and expenses, and disclosure of contingent liabilities. We base our estimates and assumptions on historical experience and other factors that we believe to be reasonable under the circumstances. We evaluate our estimates and assumptions on an ongoing basis. Although we believe that our estimates, assumptions, and judgments are reasonable, they are based upon information presently available. Actual results may differ significantly from these estimates based on different assumptions, judgments, or conditions.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 accounting estimate or assumption is considered critical if both (a) the nature of the estimate or assumption involves a significant level of estimation uncertainty, and (b) the impact within a reasonable range of outcomes of the estimate and assumption is material to our financial condition. There have been no material changes to our critical accounting policies and estimates as compared to those disclosed in our audited consolidated financial statements as of and for the years ended December 31, 2022 and 2021, included in our Annual Report, except as described below.</w:t>
      </w:r>
    </w:p>
    <w:p>
      <w:pPr>
        <w:pStyle w:val="TextBody"/>
        <w:bidi w:val="0"/>
        <w:spacing w:lineRule="auto" w:line="288" w:before="240" w:after="283"/>
        <w:ind w:left="0" w:right="0" w:firstLine="36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 Interest Liability</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May 12, 2023, we entered into the Purchase Agreement to obtain financing in respect to the further development and commercialization of our HAV, to repay our credit facility with SVB, and for other general corporate purposes. We recorded a revenue interest liability related to the Purchase Agreement on our condensed consolidated balance sheet on the date we entered into the Purchase Agreement, which is presented net of issuance costs and a debt discount. We impute interest expense associated with this liability using the effective interest rate method. The estimated effective interest rate is calculated based on the rate that would enable the debt to be repaid in full over the anticipated life of the arrangement. Interest expense and amortization of our issuance costs and debt discount is recognized over the estimated term in our condensed consolidated statements of operations and comprehensive loss. The interest rate on the liability may vary during the term of the agreement primarily due to the level of forecasted net sales. We evaluate the interest rate quarterly based on our current net sales forecasts utilizing the prospective method. A significant increase or decrease in net sales could materially impact the revenue interest liability, interest expense and the time period for repayment.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revenue interest liability is calculated using our current estimate of forecasted global net sales of our products for our planned commercial launch and impacted by a debt discount comprising the estimated fair value of a bifurcated derivative liability related to the Put Option, the estimated fair value of the Option Agreement, and issuance costs incurred. As our product candidates are not yet approved for sale, the estimated probability and timing or amounts of repayment is likely to change each reporting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73685"/>
                <wp:effectExtent l="0" t="0" r="0" b="0"/>
                <wp:wrapNone/>
                <wp:docPr id="42" name="Frame42"/>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42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contingent derivative liability is valued using a “with-and-without” method. The “with-and-without” methodology involves valuing the whole instrument on an as-is basis and then valuing the instrument without the individual embedded derivative. The difference between the entire instrument with the embedded derivative compared to the instrument without the embedded derivative was the fair value of the contingent derivative liability. The estimated probability and timing of underlying events triggering the exercisability of the contingent derivative liability bifurcated from within the Purchase Agreement, forecasted cash flows and the discount rate are significant unobservable inputs used to determine the estimated fair value of the entire instrument with the embedded derivative.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Emerging Growth Company and Smaller Reporting Company Status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Jumpstart our Business Startups Act of 2012 (the “JOBS Act”), and may take advantage of certain exemptions from various reporting requirements that are applicable to other public companies that are not emerging growth companies until it is no longer an emerging growth company. Section 107 of the JOBS Act provides that an emerging growth company can take advantage of the extended transition period afforded by the JOBS Act for the implementation of new or revised accounting standards. We expect to use the extended transition period and, therefore, while we are an emerging growth company we will not be subject to new or revised accounting standards at the same time that they become applicable to other public companies that are not emerging growth companies, unless we choose to early adopt a new or revised accounting standard. This may make it difficult or impossible to compare our financial results with the financial results of another public company because of the potential differences in accounting standards used.</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we are a “smaller reporting company” as defined in Item 10(f)(1) of Regulation S-K under the Exchange Act (“Regulation S-K”). Smaller reporting companies may take advantage of certain reduced disclosure obligations, including, among other things, providing only two years of audited financial statements. We will remain a smaller reporting company if (1) the market value of Common Stock held by non-affiliates is less than $250 million as of the last business day of the second fiscal quarter, or (2) our annual revenues in our most recent fiscal year completed before the last business day of its second fiscal quarter are less than $100 million and the market value of Common Stock held by non-affiliates is less than $700 million as of the last business day of the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qualify as a smaller reporting company, as defined by Item 10 of Regulation S-K and, thus, are not required to provide the information required by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Disclosure controls and procedures are designed to ensure that information required to be disclosed in our reports filed or submitted under the Exchange Act is (i) recorded, processed, summarized, and reported within the time periods specified in the SEC’s rules and forms and (ii) accumulated and communicated to our management, including our Chief Executive Officer and Chief Financial Officer, to allow timely decisions regarding required disclosure.</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our management, under the supervision and with the participation of our Chief Executive Officer and Chief Financial Officer, evaluated the effectiveness of our disclosure controls and procedures (as defined in Rules 13a-15(e) and 15d-15(e) under the Exchange Act). Based on that evaluation, our Chief Executive Officer and Chief Financial Officer concluded that our disclosure controls and procedures were effective as of September 30, 2023.</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Rule 13a-15(f) and 15d-15(f) under the Exchange Act) during the three months ended September 30, 2023 that have materially affected, or are reasonably likely to materially affect, our internal control over financial reporting.</w:t>
      </w:r>
    </w:p>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73685"/>
                <wp:effectExtent l="0" t="0" r="0" b="0"/>
                <wp:wrapNone/>
                <wp:docPr id="43" name="Frame43"/>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43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currently is not aware of any legal proceedings or claims that management believes will have, individually or in the aggregate, a material adverse effect on the Company’s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200" w:after="283"/>
        <w:ind w:left="0" w:right="0" w:firstLine="360"/>
        <w:jc w:val="left"/>
        <w:rPr/>
      </w:pPr>
      <w:r>
        <w:rPr>
          <w:rFonts w:ascii="Times New Roman;sans-serif" w:hAnsi="Times New Roman;sans-serif"/>
          <w:b w:val="false"/>
          <w:color w:val="231F20"/>
          <w:sz w:val="20"/>
        </w:rPr>
        <w:t xml:space="preserve">Our risk factors are disclosed in Part I, Item 1A of our Annual Report. Except as described in Part II, Item 1A, </w:t>
      </w:r>
      <w:r>
        <w:fldChar w:fldCharType="begin"/>
      </w:r>
      <w:r>
        <w:rPr>
          <w:rStyle w:val="InternetLink"/>
        </w:rPr>
        <w:instrText xml:space="preserve"> HYPERLINK "http://www.sec.gov/ix?doc=/Archives/edgar/data/1818382/000181838223000114/huma-20230630.htm" \l "i9c1a5d46a0d04b81afc40d8a23a14898_118"</w:instrText>
      </w:r>
      <w:r>
        <w:rPr>
          <w:rStyle w:val="InternetLink"/>
        </w:rPr>
        <w:fldChar w:fldCharType="separate"/>
      </w:r>
      <w:r>
        <w:rPr>
          <w:rStyle w:val="InternetLink"/>
        </w:rPr>
        <w:t>Risk</w:t>
      </w:r>
      <w:r>
        <w:rPr>
          <w:rStyle w:val="InternetLink"/>
        </w:rPr>
        <w:fldChar w:fldCharType="end"/>
      </w:r>
      <w:r>
        <w:fldChar w:fldCharType="begin"/>
      </w:r>
      <w:r>
        <w:rPr>
          <w:rStyle w:val="InternetLink"/>
        </w:rPr>
        <w:instrText xml:space="preserve"> HYPERLINK "http://www.sec.gov/ix?doc=/Archives/edgar/data/1818382/000181838223000114/huma-20230630.htm" \l "i9c1a5d46a0d04b81afc40d8a23a14898_118"</w:instrText>
      </w:r>
      <w:r>
        <w:rPr>
          <w:rStyle w:val="InternetLink"/>
        </w:rPr>
        <w:fldChar w:fldCharType="separate"/>
      </w:r>
      <w:r>
        <w:rPr>
          <w:rStyle w:val="InternetLink"/>
        </w:rPr>
        <w:t xml:space="preserve"> Factors</w:t>
      </w:r>
      <w:r>
        <w:rPr>
          <w:rStyle w:val="InternetLink"/>
        </w:rPr>
        <w:fldChar w:fldCharType="end"/>
      </w:r>
      <w:r>
        <w:rPr>
          <w:color w:val="231F20"/>
        </w:rPr>
        <w:t xml:space="preserve"> </w:t>
      </w:r>
      <w:r>
        <w:rPr>
          <w:rFonts w:ascii="Times New Roman;sans-serif" w:hAnsi="Times New Roman;sans-serif"/>
          <w:b w:val="false"/>
          <w:color w:val="231F20"/>
          <w:sz w:val="20"/>
        </w:rPr>
        <w:t>of our Quarterly Report on Form 10-Q for the quarter ended June 30, 2023, which we filed with the SEC on August 14, 2023, there have been no material changes during the nine months ended September 30, 2023 from or updates to the risk factors</w:t>
      </w:r>
      <w:r>
        <w:rPr>
          <w:color w:val="000000"/>
        </w:rPr>
        <w:t xml:space="preserve"> </w:t>
      </w:r>
      <w:r>
        <w:rPr>
          <w:rFonts w:ascii="Times New Roman;sans-serif" w:hAnsi="Times New Roman;sans-serif"/>
          <w:b w:val="false"/>
          <w:color w:val="000000"/>
          <w:sz w:val="20"/>
        </w:rPr>
        <w:t xml:space="preserve">discussed in Part I, Item 1A, </w:t>
      </w:r>
      <w:r>
        <w:fldChar w:fldCharType="begin"/>
      </w:r>
      <w:r>
        <w:rPr>
          <w:rStyle w:val="InternetLink"/>
          <w:sz w:val="20"/>
          <w:u w:val="single"/>
          <w:b w:val="false"/>
          <w:rFonts w:ascii="Times New Roman;sans-serif" w:hAnsi="Times New Roman;sans-serif"/>
          <w:color w:val="0E32E1"/>
        </w:rPr>
        <w:instrText xml:space="preserve"> HYPERLINK "http://www.sec.gov/ix?doc=/Archives/edgar/data/1818382/000181838223000016/huma-20221231.htm" \l "i43a8d28983794b558666e7c66bde2363_19"</w:instrText>
      </w:r>
      <w:r>
        <w:rPr>
          <w:rStyle w:val="InternetLink"/>
          <w:sz w:val="20"/>
          <w:u w:val="single"/>
          <w:b w:val="false"/>
          <w:rFonts w:ascii="Times New Roman;sans-serif" w:hAnsi="Times New Roman;sans-serif"/>
          <w:color w:val="0E32E1"/>
        </w:rPr>
        <w:fldChar w:fldCharType="separate"/>
      </w:r>
      <w:r>
        <w:rPr>
          <w:rStyle w:val="InternetLink"/>
          <w:rFonts w:ascii="Times New Roman;sans-serif" w:hAnsi="Times New Roman;sans-serif"/>
          <w:b w:val="false"/>
          <w:color w:val="0E32E1"/>
          <w:sz w:val="20"/>
          <w:u w:val="single"/>
        </w:rPr>
        <w:t>Risk Factors</w:t>
      </w:r>
      <w:r>
        <w:rPr>
          <w:rStyle w:val="InternetLink"/>
          <w:sz w:val="20"/>
          <w:u w:val="single"/>
          <w:b w:val="false"/>
          <w:rFonts w:ascii="Times New Roman;sans-serif" w:hAnsi="Times New Roman;sans-serif"/>
          <w:color w:val="0E32E1"/>
        </w:rPr>
        <w:fldChar w:fldCharType="end"/>
      </w:r>
      <w:r>
        <w:rPr>
          <w:color w:val="000000"/>
        </w:rPr>
        <w:t xml:space="preserve"> </w:t>
      </w:r>
      <w:r>
        <w:rPr>
          <w:rFonts w:ascii="Times New Roman;sans-serif" w:hAnsi="Times New Roman;sans-serif"/>
          <w:b w:val="false"/>
          <w:color w:val="000000"/>
          <w:sz w:val="20"/>
        </w:rPr>
        <w:t>of our Annual Report</w:t>
      </w:r>
      <w:r>
        <w:rPr>
          <w:rFonts w:ascii="Times New Roman;sans-serif" w:hAnsi="Times New Roman;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200" w:after="283"/>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73685"/>
                <wp:effectExtent l="0" t="0" r="0" b="0"/>
                <wp:wrapNone/>
                <wp:docPr id="44" name="Frame44"/>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44 </w:t>
                      </w:r>
                    </w:p>
                  </w:txbxContent>
                </v:textbox>
                <w10:wrap type="none"/>
              </v:rect>
            </w:pict>
          </mc:Fallback>
        </mc:AlternateContent>
      </w:r>
    </w:p>
    <w:p>
      <w:pPr>
        <w:pStyle w:val="TextBody"/>
        <w:bidi w:val="0"/>
        <w:spacing w:lineRule="auto" w:line="288" w:before="0" w:after="0"/>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24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644"/>
        <w:gridCol w:w="2644"/>
        <w:gridCol w:w="377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2644" w:type="dxa"/>
            <w:tcBorders/>
            <w:vAlign w:val="center"/>
          </w:tcPr>
          <w:p>
            <w:pPr>
              <w:pStyle w:val="TableContents"/>
              <w:bidi w:val="0"/>
              <w:spacing w:before="0" w:after="283"/>
              <w:jc w:val="left"/>
              <w:rPr>
                <w:sz w:val="4"/>
                <w:szCs w:val="4"/>
              </w:rPr>
            </w:pPr>
            <w:r>
              <w:rPr>
                <w:sz w:val="4"/>
                <w:szCs w:val="4"/>
              </w:rPr>
            </w:r>
          </w:p>
        </w:tc>
        <w:tc>
          <w:tcPr>
            <w:tcW w:w="3779"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6" w:before="5" w:after="15"/>
              <w:jc w:val="left"/>
              <w:rPr>
                <w:rFonts w:ascii="Times New Roman;sans-serif" w:hAnsi="Times New Roman;sans-serif"/>
                <w:b/>
                <w:color w:val="000000"/>
                <w:sz w:val="20"/>
              </w:rPr>
            </w:pPr>
            <w:r>
              <w:rPr>
                <w:rFonts w:ascii="Times New Roman;sans-serif" w:hAnsi="Times New Roman;sans-serif"/>
                <w:b/>
                <w:color w:val="000000"/>
                <w:sz w:val="20"/>
              </w:rPr>
              <w:t>Exhibit</w:t>
            </w:r>
          </w:p>
          <w:p>
            <w:pPr>
              <w:pStyle w:val="TableContents"/>
              <w:bidi w:val="0"/>
              <w:spacing w:lineRule="auto" w:line="276" w:before="5" w:after="15"/>
              <w:jc w:val="left"/>
              <w:rPr>
                <w:rFonts w:ascii="Times New Roman;sans-serif" w:hAnsi="Times New Roman;sans-serif"/>
                <w:b/>
                <w:color w:val="000000"/>
                <w:sz w:val="20"/>
              </w:rPr>
            </w:pPr>
            <w:r>
              <w:rPr>
                <w:rFonts w:ascii="Times New Roman;sans-serif" w:hAnsi="Times New Roman;sans-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5" w:after="5"/>
              <w:jc w:val="left"/>
              <w:rPr/>
            </w:pPr>
            <w:hyperlink w:anchor="huma-20230930x10qxex311.htm">
              <w:r>
                <w:rPr>
                  <w:rStyle w:val="InternetLink"/>
                  <w:rFonts w:ascii="Times New Roman;sans-serif" w:hAnsi="Times New Roman;sans-serif"/>
                  <w:b w:val="false"/>
                  <w:color w:val="0000FF"/>
                  <w:sz w:val="20"/>
                  <w:u w:val="single"/>
                </w:rPr>
                <w:t>Certification of Chief Executive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5" w:after="5"/>
              <w:jc w:val="left"/>
              <w:rPr/>
            </w:pPr>
            <w:hyperlink w:anchor="huma-20230930x10qxex312.htm">
              <w:r>
                <w:rPr>
                  <w:rStyle w:val="InternetLink"/>
                  <w:rFonts w:ascii="Times New Roman;sans-serif" w:hAnsi="Times New Roman;sans-serif"/>
                  <w:b w:val="false"/>
                  <w:color w:val="0000FF"/>
                  <w:sz w:val="20"/>
                  <w:u w:val="single"/>
                </w:rPr>
                <w:t>Certification of Chief Financial Officer pursuant to Rules 13a-14(a) and 15d-14(a) under the Securities Exchange Act of 1934, as adopted pursuant to Section 302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5" w:after="5"/>
              <w:jc w:val="left"/>
              <w:rPr/>
            </w:pPr>
            <w:hyperlink w:anchor="huma-20230930x10q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6" w:before="5" w:after="5"/>
              <w:jc w:val="left"/>
              <w:rPr/>
            </w:pPr>
            <w:hyperlink w:anchor="huma-20230930x10q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Humacyte, Inc.’s Quarterly Report on Form 10-Q for the quarter ended September 30, 2023, formatted in Inline XBRL (Inline eXtensible Business Reporting Language): (i) Condensed Consolidated Balance Sheets (unaudited), (ii) Condensed Consolidated Statements of Operations and Comprehensive Loss (unaudited), (iii) Condensed Consolidated Statements of Changes in Stockholders’ Equity (unaudited), (iv) Condensed Consolidated Statements of Cash Flows (unaudited), (v) Notes to Condensed Consolidated Financial Statements (unaudited), and (vi) Cover Page.</w:t>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This exhibit is being furnished rather than filed, and shall not be deemed incorporated by reference into any filing, in accordance with Item 601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45 </w:t>
                      </w:r>
                    </w:p>
                  </w:txbxContent>
                </v:textbox>
                <w10:wrap type="none"/>
              </v:rect>
            </w:pict>
          </mc:Fallback>
        </mc:AlternateContent>
      </w:r>
    </w:p>
    <w:p>
      <w:pPr>
        <w:pStyle w:val="TextBody"/>
        <w:bidi w:val="0"/>
        <w:spacing w:lineRule="auto" w:line="288" w:before="432" w:after="283"/>
        <w:jc w:val="left"/>
        <w:rPr/>
      </w:pPr>
      <w:hyperlink w:anchor="i650e62f7038947ecb8856c389f21e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bidi w:val="0"/>
        <w:spacing w:lineRule="auto" w:line="288" w:before="24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 on this 9th day of November, 2023.</w:t>
      </w:r>
    </w:p>
    <w:tbl>
      <w:tblPr>
        <w:tblW w:w="10205" w:type="dxa"/>
        <w:jc w:val="left"/>
        <w:tblInd w:w="0" w:type="dxa"/>
        <w:tblLayout w:type="fixed"/>
        <w:tblCellMar>
          <w:top w:w="28" w:type="dxa"/>
          <w:left w:w="28" w:type="dxa"/>
          <w:bottom w:w="28" w:type="dxa"/>
          <w:right w:w="28" w:type="dxa"/>
        </w:tblCellMar>
      </w:tblPr>
      <w:tblGrid>
        <w:gridCol w:w="744"/>
        <w:gridCol w:w="654"/>
        <w:gridCol w:w="658"/>
        <w:gridCol w:w="220"/>
        <w:gridCol w:w="220"/>
        <w:gridCol w:w="220"/>
        <w:gridCol w:w="446"/>
        <w:gridCol w:w="444"/>
        <w:gridCol w:w="444"/>
        <w:gridCol w:w="1787"/>
        <w:gridCol w:w="1772"/>
        <w:gridCol w:w="2596"/>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9"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2"/>
              </w:rPr>
            </w:pPr>
            <w:r>
              <w:rPr>
                <w:rFonts w:ascii="Times New Roman;sans-serif" w:hAnsi="Times New Roman;sans-serif"/>
                <w:b/>
                <w:color w:val="000000"/>
                <w:sz w:val="22"/>
              </w:rPr>
              <w:t>HUMACYTE, INC.</w:t>
            </w:r>
          </w:p>
        </w:tc>
      </w:tr>
      <w:tr>
        <w:trPr/>
        <w:tc>
          <w:tcPr>
            <w:tcW w:w="2056"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9, 2023</w:t>
            </w:r>
          </w:p>
        </w:tc>
        <w:tc>
          <w:tcPr>
            <w:tcW w:w="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89"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/s/ Laura E. Niklason, M.D., Ph.D.</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6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Laura E. Niklason, M.D., Ph.D.</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89" w:type="dxa"/>
            <w:gridSpan w:val="6"/>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/s/ Dale A. Sander</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Name: </w:t>
            </w:r>
          </w:p>
        </w:tc>
        <w:tc>
          <w:tcPr>
            <w:tcW w:w="6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ans-serif" w:hAnsi="Times New Roman;sans-serif"/>
                <w:b w:val="false"/>
                <w:color w:val="000000"/>
                <w:sz w:val="20"/>
              </w:rPr>
              <w:t>Dale A. Sander</w:t>
            </w:r>
          </w:p>
        </w:tc>
      </w:tr>
      <w:tr>
        <w:trPr/>
        <w:tc>
          <w:tcPr>
            <w:tcW w:w="2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61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Chief Corporate Development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73685"/>
                <wp:effectExtent l="0" t="0" r="0" b="0"/>
                <wp:wrapNone/>
                <wp:docPr id="46" name="Frame46"/>
                <a:graphic xmlns:a="http://schemas.openxmlformats.org/drawingml/2006/main">
                  <a:graphicData uri="http://schemas.microsoft.com/office/word/2010/wordprocessingShape">
                    <wps:wsp>
                      <wps:cNvSpPr txBox="1"/>
                      <wps:spPr>
                        <a:xfrm>
                          <a:off x="0" y="0"/>
                          <a:ext cx="6480175" cy="273685"/>
                        </a:xfrm>
                        <a:prstGeom prst="rect"/>
                        <a:solidFill>
                          <a:srgbClr val="FFFFFF"/>
                        </a:solidFill>
                      </wps:spPr>
                      <wps:txb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46 </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Laura E. Niklason, certify that: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Humacyte, Inc. for the quarter ended September 30, 2023;</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7553" w:type="dxa"/>
        <w:jc w:val="left"/>
        <w:tblInd w:w="0" w:type="dxa"/>
        <w:tblLayout w:type="fixed"/>
        <w:tblCellMar>
          <w:top w:w="28" w:type="dxa"/>
          <w:left w:w="28" w:type="dxa"/>
          <w:bottom w:w="28" w:type="dxa"/>
          <w:right w:w="28" w:type="dxa"/>
        </w:tblCellMar>
      </w:tblPr>
      <w:tblGrid>
        <w:gridCol w:w="885"/>
        <w:gridCol w:w="778"/>
        <w:gridCol w:w="782"/>
        <w:gridCol w:w="144"/>
        <w:gridCol w:w="144"/>
        <w:gridCol w:w="146"/>
        <w:gridCol w:w="328"/>
        <w:gridCol w:w="328"/>
        <w:gridCol w:w="328"/>
        <w:gridCol w:w="1074"/>
        <w:gridCol w:w="1074"/>
        <w:gridCol w:w="1542"/>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9, 2023</w:t>
            </w:r>
          </w:p>
        </w:tc>
        <w:tc>
          <w:tcPr>
            <w:tcW w:w="4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74" w:type="dxa"/>
            <w:gridSpan w:val="6"/>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Laura E. Niklason</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Laura E. Niklason, M.D., Ph.D.</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69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 Dale A. Sander, certify that: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1.I have reviewed this Quarterly Report on Form 10-Q of Humacyte, Inc. for the quarter ended September 30, 2023;</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both"/>
        <w:rPr>
          <w:rFonts w:ascii="Times New Roman;sans-serif" w:hAnsi="Times New Roman;sans-serif"/>
          <w:b w:val="false"/>
          <w:color w:val="000000"/>
          <w:sz w:val="22"/>
        </w:rPr>
      </w:pPr>
      <w:r>
        <w:rPr>
          <w:rFonts w:ascii="Times New Roman;sans-serif" w:hAnsi="Times New Roman;sans-serif"/>
          <w:b w:val="false"/>
          <w:color w:val="000000"/>
          <w:sz w:val="22"/>
        </w:rPr>
        <w:t>b.Any fraud, whether or not material, that involves management or other employees who have a significant role in the registrant’s internal control over financial reporting.</w:t>
      </w:r>
    </w:p>
    <w:tbl>
      <w:tblPr>
        <w:tblW w:w="10205" w:type="dxa"/>
        <w:jc w:val="left"/>
        <w:tblInd w:w="0" w:type="dxa"/>
        <w:tblLayout w:type="fixed"/>
        <w:tblCellMar>
          <w:top w:w="28" w:type="dxa"/>
          <w:left w:w="28" w:type="dxa"/>
          <w:bottom w:w="28" w:type="dxa"/>
          <w:right w:w="28" w:type="dxa"/>
        </w:tblCellMar>
      </w:tblPr>
      <w:tblGrid>
        <w:gridCol w:w="813"/>
        <w:gridCol w:w="714"/>
        <w:gridCol w:w="718"/>
        <w:gridCol w:w="141"/>
        <w:gridCol w:w="141"/>
        <w:gridCol w:w="143"/>
        <w:gridCol w:w="296"/>
        <w:gridCol w:w="290"/>
        <w:gridCol w:w="277"/>
        <w:gridCol w:w="1953"/>
        <w:gridCol w:w="1953"/>
        <w:gridCol w:w="2766"/>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2766" w:type="dxa"/>
            <w:tcBorders/>
            <w:vAlign w:val="center"/>
          </w:tcPr>
          <w:p>
            <w:pPr>
              <w:pStyle w:val="TableContents"/>
              <w:bidi w:val="0"/>
              <w:spacing w:before="0" w:after="283"/>
              <w:jc w:val="left"/>
              <w:rPr>
                <w:sz w:val="4"/>
                <w:szCs w:val="4"/>
              </w:rPr>
            </w:pPr>
            <w:r>
              <w:rPr>
                <w:sz w:val="4"/>
                <w:szCs w:val="4"/>
              </w:rPr>
            </w:r>
          </w:p>
        </w:tc>
      </w:tr>
      <w:tr>
        <w:trPr/>
        <w:tc>
          <w:tcPr>
            <w:tcW w:w="22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9, 2023</w:t>
            </w:r>
          </w:p>
        </w:tc>
        <w:tc>
          <w:tcPr>
            <w:tcW w:w="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53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2"/>
              </w:rPr>
              <w:t>/s/ Dale A. Sander</w:t>
            </w:r>
          </w:p>
        </w:tc>
      </w:tr>
      <w:tr>
        <w:trPr/>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6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Dale A. Sander</w:t>
            </w:r>
          </w:p>
        </w:tc>
      </w:tr>
      <w:tr>
        <w:trPr/>
        <w:tc>
          <w:tcPr>
            <w:tcW w:w="2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6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 Chief Corporate Development Officer and Treasurer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on Form 10-Q of Humacyte, Inc. (the “Company”) for the quarter ended September 30, 2023 (the “Report”), as filed with the Securities and Exchange Commission on the date hereof, I, Laura E. Niklason, President and Chief Executive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left"/>
        <w:rPr/>
      </w:pPr>
      <w:r>
        <w:rPr>
          <w:rFonts w:ascii="Times New Roman;sans-serif" w:hAnsi="Times New Roman;sans-serif"/>
          <w:b w:val="false"/>
          <w:color w:val="000000"/>
          <w:sz w:val="24"/>
        </w:rPr>
        <w:t>1.</w:t>
      </w:r>
      <w:r>
        <w:rPr>
          <w:rFonts w:ascii="Times New Roman;sans-serif" w:hAnsi="Times New Roman;sans-serif"/>
          <w:b w:val="false"/>
          <w:color w:val="000000"/>
          <w:sz w:val="22"/>
        </w:rPr>
        <w:t>The Report fully complies with the requirements of Section 13(a) or 15(d) of the Securities Exchange Act of 1934, as amended; and</w:t>
      </w:r>
    </w:p>
    <w:p>
      <w:pPr>
        <w:pStyle w:val="TextBody"/>
        <w:bidi w:val="0"/>
        <w:spacing w:lineRule="auto" w:line="288" w:before="240" w:after="283"/>
        <w:ind w:left="0" w:right="0" w:hanging="360"/>
        <w:jc w:val="left"/>
        <w:rPr/>
      </w:pPr>
      <w:r>
        <w:rPr>
          <w:rFonts w:ascii="Times New Roman;sans-serif" w:hAnsi="Times New Roman;sans-serif"/>
          <w:b w:val="false"/>
          <w:color w:val="000000"/>
          <w:sz w:val="24"/>
        </w:rPr>
        <w:t>2.</w:t>
      </w:r>
      <w:r>
        <w:rPr>
          <w:rFonts w:ascii="Times New Roman;sans-serif" w:hAnsi="Times New Roman;sans-serif"/>
          <w:b w:val="false"/>
          <w:color w:val="000000"/>
          <w:sz w:val="22"/>
        </w:rPr>
        <w:t>The information contained in the Report fairly presents, in all material respects, the financial condition and results of operations of the Company.</w:t>
      </w:r>
    </w:p>
    <w:tbl>
      <w:tblPr>
        <w:tblW w:w="7553" w:type="dxa"/>
        <w:jc w:val="left"/>
        <w:tblInd w:w="0" w:type="dxa"/>
        <w:tblLayout w:type="fixed"/>
        <w:tblCellMar>
          <w:top w:w="28" w:type="dxa"/>
          <w:left w:w="28" w:type="dxa"/>
          <w:bottom w:w="28" w:type="dxa"/>
          <w:right w:w="28" w:type="dxa"/>
        </w:tblCellMar>
      </w:tblPr>
      <w:tblGrid>
        <w:gridCol w:w="885"/>
        <w:gridCol w:w="778"/>
        <w:gridCol w:w="782"/>
        <w:gridCol w:w="144"/>
        <w:gridCol w:w="144"/>
        <w:gridCol w:w="146"/>
        <w:gridCol w:w="328"/>
        <w:gridCol w:w="328"/>
        <w:gridCol w:w="328"/>
        <w:gridCol w:w="1074"/>
        <w:gridCol w:w="1074"/>
        <w:gridCol w:w="1542"/>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9, 2023</w:t>
            </w:r>
          </w:p>
        </w:tc>
        <w:tc>
          <w:tcPr>
            <w:tcW w:w="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67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Laura E. Niklason</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3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Laura E. Niklason, M.D., Ph.D.</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2"/>
        </w:rPr>
      </w:pPr>
      <w:r>
        <w:rPr>
          <w:rFonts w:ascii="Times New Roman;sans-serif" w:hAnsi="Times New Roman;sans-serif"/>
          <w:b/>
          <w:color w:val="000000"/>
          <w:sz w:val="22"/>
        </w:rPr>
        <w:t>Exhibit 32.2</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In connection with the Quarterly Report on Form 10-Q of Humacyte, Inc. (the “Company”) for the quarter ended September 30, 2023 (the “Report”), as filed with the Securities and Exchange Commission on the date hereof, I, Dale A. Sander, Chief Financial Officer of the Company, certify, pursuant to 18 U.S.C. Section 1350, as adopted pursuant to Section 906 of the Sarbanes-Oxley Act of 2002, that to the best of my knowledge:</w:t>
      </w:r>
    </w:p>
    <w:p>
      <w:pPr>
        <w:pStyle w:val="TextBody"/>
        <w:bidi w:val="0"/>
        <w:spacing w:lineRule="auto" w:line="288" w:before="24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1.The Report fully complies with the requirements of Section 13(a) or 15(d) of the Securities Exchange Act of 1934, as amended; and</w:t>
      </w:r>
    </w:p>
    <w:p>
      <w:pPr>
        <w:pStyle w:val="TextBody"/>
        <w:bidi w:val="0"/>
        <w:spacing w:lineRule="auto" w:line="288" w:before="240" w:after="283"/>
        <w:ind w:left="0" w:right="0" w:hanging="360"/>
        <w:jc w:val="left"/>
        <w:rPr>
          <w:rFonts w:ascii="Times New Roman;sans-serif" w:hAnsi="Times New Roman;sans-serif"/>
          <w:b w:val="false"/>
          <w:color w:val="000000"/>
          <w:sz w:val="22"/>
        </w:rPr>
      </w:pPr>
      <w:r>
        <w:rPr>
          <w:rFonts w:ascii="Times New Roman;sans-serif" w:hAnsi="Times New Roman;sans-serif"/>
          <w:b w:val="false"/>
          <w:color w:val="000000"/>
          <w:sz w:val="22"/>
        </w:rPr>
        <w:t>2.The information contained in the Report fairly presents, in all material respects, the financial condition and results of operations of the Company.</w:t>
      </w:r>
    </w:p>
    <w:tbl>
      <w:tblPr>
        <w:tblW w:w="10205" w:type="dxa"/>
        <w:jc w:val="left"/>
        <w:tblInd w:w="0" w:type="dxa"/>
        <w:tblLayout w:type="fixed"/>
        <w:tblCellMar>
          <w:top w:w="28" w:type="dxa"/>
          <w:left w:w="28" w:type="dxa"/>
          <w:bottom w:w="28" w:type="dxa"/>
          <w:right w:w="28" w:type="dxa"/>
        </w:tblCellMar>
      </w:tblPr>
      <w:tblGrid>
        <w:gridCol w:w="815"/>
        <w:gridCol w:w="716"/>
        <w:gridCol w:w="720"/>
        <w:gridCol w:w="142"/>
        <w:gridCol w:w="142"/>
        <w:gridCol w:w="143"/>
        <w:gridCol w:w="287"/>
        <w:gridCol w:w="283"/>
        <w:gridCol w:w="269"/>
        <w:gridCol w:w="1958"/>
        <w:gridCol w:w="1958"/>
        <w:gridCol w:w="2772"/>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1958" w:type="dxa"/>
            <w:tcBorders/>
            <w:vAlign w:val="center"/>
          </w:tcPr>
          <w:p>
            <w:pPr>
              <w:pStyle w:val="TableContents"/>
              <w:bidi w:val="0"/>
              <w:spacing w:before="0" w:after="283"/>
              <w:jc w:val="left"/>
              <w:rPr>
                <w:sz w:val="4"/>
                <w:szCs w:val="4"/>
              </w:rPr>
            </w:pPr>
            <w:r>
              <w:rPr>
                <w:sz w:val="4"/>
                <w:szCs w:val="4"/>
              </w:rPr>
            </w:r>
          </w:p>
        </w:tc>
        <w:tc>
          <w:tcPr>
            <w:tcW w:w="2772" w:type="dxa"/>
            <w:tcBorders/>
            <w:vAlign w:val="center"/>
          </w:tcPr>
          <w:p>
            <w:pPr>
              <w:pStyle w:val="TableContents"/>
              <w:bidi w:val="0"/>
              <w:spacing w:before="0" w:after="283"/>
              <w:jc w:val="left"/>
              <w:rPr>
                <w:sz w:val="4"/>
                <w:szCs w:val="4"/>
              </w:rPr>
            </w:pPr>
            <w:r>
              <w:rPr>
                <w:sz w:val="4"/>
                <w:szCs w:val="4"/>
              </w:rPr>
            </w:r>
          </w:p>
        </w:tc>
      </w:tr>
      <w:tr>
        <w:trPr/>
        <w:tc>
          <w:tcPr>
            <w:tcW w:w="22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Date: November 9, 2023</w:t>
            </w:r>
          </w:p>
        </w:tc>
        <w:tc>
          <w:tcPr>
            <w:tcW w:w="4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75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Dale A. Sander</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66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Dale A. Sander</w:t>
            </w:r>
          </w:p>
        </w:tc>
      </w:tr>
      <w:tr>
        <w:trPr/>
        <w:tc>
          <w:tcPr>
            <w:tcW w:w="2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66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 Chief Corporate Development Officer and Treasurer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25413</Words>
  <Characters>142430</Characters>
  <CharactersWithSpaces>166499</CharactersWithSpaces>
  <Paragraphs>2116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